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выполнения лабораторной работы, я скачала необходимый дистрибутив Linux Rocky, воспользовавшись сайтом (рис. 1).</w:t>
      </w:r>
    </w:p>
    <w:p>
      <w:pPr>
        <w:pStyle w:val="CaptionedFigure"/>
      </w:pPr>
      <w:r>
        <w:drawing>
          <wp:inline>
            <wp:extent cx="3733800" cy="1921028"/>
            <wp:effectExtent b="0" l="0" r="0" t="0"/>
            <wp:docPr descr="Скачивание дистрибутива Linux Rocky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дистрибутива Linux Rocky</w:t>
      </w:r>
    </w:p>
    <w:p>
      <w:pPr>
        <w:pStyle w:val="BodyText"/>
      </w:pPr>
      <w:r>
        <w:t xml:space="preserve">После этого мне потребовалось выполнить установку Linux версии Red Hat (64-bit) на виртуальную машину (рис. 2).</w:t>
      </w:r>
    </w:p>
    <w:p>
      <w:pPr>
        <w:pStyle w:val="CaptionedFigure"/>
      </w:pPr>
      <w:r>
        <w:drawing>
          <wp:inline>
            <wp:extent cx="3733800" cy="2016252"/>
            <wp:effectExtent b="0" l="0" r="0" t="0"/>
            <wp:docPr descr="Установка Linux версии Red Hat (64-bit)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Linux версии Red Hat (64-bit)</w:t>
      </w:r>
    </w:p>
    <w:p>
      <w:pPr>
        <w:pStyle w:val="BodyText"/>
      </w:pPr>
      <w:r>
        <w:t xml:space="preserve">Я указала объем объём основной памяти - 2048МБ, а колличество процессоров - 1 (рис. 3).</w:t>
      </w:r>
    </w:p>
    <w:p>
      <w:pPr>
        <w:pStyle w:val="CaptionedFigure"/>
      </w:pPr>
      <w:r>
        <w:drawing>
          <wp:inline>
            <wp:extent cx="3733800" cy="1979310"/>
            <wp:effectExtent b="0" l="0" r="0" t="0"/>
            <wp:docPr descr="Указание объёма памяти и колличества процессор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объёма памяти и колличества процессоров</w:t>
      </w:r>
    </w:p>
    <w:p>
      <w:pPr>
        <w:pStyle w:val="BodyText"/>
      </w:pPr>
      <w:r>
        <w:t xml:space="preserve">В размере виртуального жёсткого диска я поменяла значение на 40,00 Гб (рис. 4).</w:t>
      </w:r>
    </w:p>
    <w:p>
      <w:pPr>
        <w:pStyle w:val="CaptionedFigure"/>
      </w:pPr>
      <w:r>
        <w:drawing>
          <wp:inline>
            <wp:extent cx="3733800" cy="2064107"/>
            <wp:effectExtent b="0" l="0" r="0" t="0"/>
            <wp:docPr descr="Создание нового виртуального диск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нового виртуального диска</w:t>
      </w:r>
    </w:p>
    <w:p>
      <w:pPr>
        <w:pStyle w:val="BodyText"/>
      </w:pPr>
      <w:r>
        <w:t xml:space="preserve">После выставления всех требуемых параметров нужно запустить виртуальную машину (рис. 5).</w:t>
      </w:r>
    </w:p>
    <w:p>
      <w:pPr>
        <w:pStyle w:val="CaptionedFigure"/>
      </w:pPr>
      <w:r>
        <w:drawing>
          <wp:inline>
            <wp:extent cx="3733800" cy="2206437"/>
            <wp:effectExtent b="0" l="0" r="0" t="0"/>
            <wp:docPr descr="Запуск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p>
      <w:pPr>
        <w:pStyle w:val="BodyText"/>
      </w:pPr>
      <w:r>
        <w:t xml:space="preserve">Успешно устаналиваем Rocky Linux 9.4 (рис. 6).</w:t>
      </w:r>
    </w:p>
    <w:p>
      <w:pPr>
        <w:pStyle w:val="CaptionedFigure"/>
      </w:pPr>
      <w:r>
        <w:drawing>
          <wp:inline>
            <wp:extent cx="3733800" cy="2367642"/>
            <wp:effectExtent b="0" l="0" r="0" t="0"/>
            <wp:docPr descr="Установка Rocky Linux 9.4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Rocky Linux 9.4</w:t>
      </w:r>
    </w:p>
    <w:p>
      <w:pPr>
        <w:pStyle w:val="BodyText"/>
      </w:pPr>
      <w:r>
        <w:t xml:space="preserve">После этого я перехожу к настройкам установки операционной системы и выбираю английский язык для интерфейса (рис. 7).</w:t>
      </w:r>
    </w:p>
    <w:p>
      <w:pPr>
        <w:pStyle w:val="CaptionedFigure"/>
      </w:pPr>
      <w:r>
        <w:drawing>
          <wp:inline>
            <wp:extent cx="3733800" cy="2165425"/>
            <wp:effectExtent b="0" l="0" r="0" t="0"/>
            <wp:docPr descr="Выбор языка интерфейс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интерфейса</w:t>
      </w:r>
    </w:p>
    <w:p>
      <w:pPr>
        <w:pStyle w:val="BodyText"/>
      </w:pPr>
      <w:r>
        <w:t xml:space="preserve">При выборе места установки я оставила те параметры, которые были выставлены автоматически (рис. 8).</w:t>
      </w:r>
    </w:p>
    <w:p>
      <w:pPr>
        <w:pStyle w:val="CaptionedFigure"/>
      </w:pPr>
      <w:r>
        <w:drawing>
          <wp:inline>
            <wp:extent cx="3733800" cy="2124672"/>
            <wp:effectExtent b="0" l="0" r="0" t="0"/>
            <wp:docPr descr="Окно настройки установки: место установк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место установки</w:t>
      </w:r>
    </w:p>
    <w:p>
      <w:pPr>
        <w:pStyle w:val="BodyText"/>
      </w:pPr>
      <w:r>
        <w:t xml:space="preserve">После этого я отключила KDUMP (рис. 9).</w:t>
      </w:r>
    </w:p>
    <w:p>
      <w:pPr>
        <w:pStyle w:val="CaptionedFigure"/>
      </w:pPr>
      <w:r>
        <w:drawing>
          <wp:inline>
            <wp:extent cx="3733800" cy="1894764"/>
            <wp:effectExtent b="0" l="0" r="0" t="0"/>
            <wp:docPr descr="Окно настройки установки: отключение KDUMP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настройки установки: отключение KDUMP</w:t>
      </w:r>
    </w:p>
    <w:p>
      <w:pPr>
        <w:pStyle w:val="BodyText"/>
      </w:pPr>
      <w:r>
        <w:t xml:space="preserve">Я подключила сетевое соединение и в качестве имени узла указала mobihzova.localdomaim (рис. 10).</w:t>
      </w:r>
    </w:p>
    <w:p>
      <w:pPr>
        <w:pStyle w:val="CaptionedFigure"/>
      </w:pPr>
      <w:r>
        <w:drawing>
          <wp:inline>
            <wp:extent cx="3733800" cy="2010336"/>
            <wp:effectExtent b="0" l="0" r="0" t="0"/>
            <wp:docPr descr="Окно настройки установки: сеть и имя уз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настройки установки: сеть и имя узла</w:t>
      </w:r>
    </w:p>
    <w:p>
      <w:pPr>
        <w:pStyle w:val="BodyText"/>
      </w:pPr>
      <w:r>
        <w:t xml:space="preserve">Затем я установила пароль для root и пользователя с правами администратора (рис. 11, 12).</w:t>
      </w:r>
    </w:p>
    <w:p>
      <w:pPr>
        <w:pStyle w:val="CaptionedFigure"/>
      </w:pPr>
      <w:r>
        <w:drawing>
          <wp:inline>
            <wp:extent cx="3733800" cy="1593831"/>
            <wp:effectExtent b="0" l="0" r="0" t="0"/>
            <wp:docPr descr="Установка пароля для root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root</w:t>
      </w:r>
    </w:p>
    <w:p>
      <w:pPr>
        <w:pStyle w:val="CaptionedFigure"/>
      </w:pPr>
      <w:r>
        <w:drawing>
          <wp:inline>
            <wp:extent cx="3733800" cy="2098868"/>
            <wp:effectExtent b="0" l="0" r="0" t="0"/>
            <wp:docPr descr="Установка пароля для пользователя с правами администратор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пароля для пользователя с правами администратора</w:t>
      </w:r>
    </w:p>
    <w:p>
      <w:pPr>
        <w:pStyle w:val="BodyText"/>
      </w:pPr>
      <w:r>
        <w:t xml:space="preserve">После этого я запустила процесс установки ОС (рис. 13).</w:t>
      </w:r>
    </w:p>
    <w:p>
      <w:pPr>
        <w:pStyle w:val="CaptionedFigure"/>
      </w:pPr>
      <w:r>
        <w:drawing>
          <wp:inline>
            <wp:extent cx="3733800" cy="2177864"/>
            <wp:effectExtent b="0" l="0" r="0" t="0"/>
            <wp:docPr descr="Установка ОС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ОС</w:t>
      </w:r>
    </w:p>
    <w:p>
      <w:pPr>
        <w:pStyle w:val="BodyText"/>
      </w:pPr>
      <w:r>
        <w:t xml:space="preserve">Дожидаемся и завершаем установку. После успешной установки я выполнила перезагрузку системы. Последним пунктом нашей лабораторной работы становится подключение образа диска Дополнительной гостевой ОС (рис. 14, 15).</w:t>
      </w:r>
    </w:p>
    <w:p>
      <w:pPr>
        <w:pStyle w:val="CaptionedFigure"/>
      </w:pPr>
      <w:r>
        <w:drawing>
          <wp:inline>
            <wp:extent cx="2889196" cy="1444598"/>
            <wp:effectExtent b="0" l="0" r="0" t="0"/>
            <wp:docPr descr="подключение образа диска Дополнительной гостевой ОС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подключение образа диска Дополнительной гостевой ОС</w:t>
      </w:r>
    </w:p>
    <w:p>
      <w:pPr>
        <w:pStyle w:val="CaptionedFigure"/>
      </w:pPr>
      <w:r>
        <w:drawing>
          <wp:inline>
            <wp:extent cx="3733800" cy="1117556"/>
            <wp:effectExtent b="0" l="0" r="0" t="0"/>
            <wp:docPr descr="подключение образа диска Дополнительной гостевой ОС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образа диска Дополнительной гостевой ОС</w:t>
      </w:r>
    </w:p>
    <w:bookmarkEnd w:id="66"/>
    <w:bookmarkStart w:id="91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Перед началом выполнения домашнего задания посмотрим вывод команды dmesg (рис. 16).</w:t>
      </w:r>
    </w:p>
    <w:p>
      <w:pPr>
        <w:pStyle w:val="CaptionedFigure"/>
      </w:pPr>
      <w:r>
        <w:drawing>
          <wp:inline>
            <wp:extent cx="3073613" cy="207468"/>
            <wp:effectExtent b="0" l="0" r="0" t="0"/>
            <wp:docPr descr="Вывод команды dmesg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команды dmesg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pStyle w:val="FirstParagraph"/>
      </w:pPr>
      <w:r>
        <w:t xml:space="preserve">Версию ядра можно посмотреть командой dmesg | grep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. (рис. 17).</w:t>
      </w:r>
    </w:p>
    <w:p>
      <w:pPr>
        <w:pStyle w:val="CaptionedFigure"/>
      </w:pPr>
      <w:r>
        <w:drawing>
          <wp:inline>
            <wp:extent cx="3733800" cy="548025"/>
            <wp:effectExtent b="0" l="0" r="0" t="0"/>
            <wp:docPr descr="Версия ядра Linux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pStyle w:val="FirstParagraph"/>
      </w:pPr>
      <w:r>
        <w:t xml:space="preserve">Частоту процессора можно посмотреть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 *рис. 18).</w:t>
      </w:r>
    </w:p>
    <w:p>
      <w:pPr>
        <w:pStyle w:val="CaptionedFigure"/>
      </w:pPr>
      <w:r>
        <w:drawing>
          <wp:inline>
            <wp:extent cx="3733800" cy="333264"/>
            <wp:effectExtent b="0" l="0" r="0" t="0"/>
            <wp:docPr descr="Частота процессор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(CPU0).</w:t>
      </w:r>
    </w:p>
    <w:p>
      <w:pPr>
        <w:pStyle w:val="FirstParagraph"/>
      </w:pPr>
      <w:r>
        <w:t xml:space="preserve">Модель процессора можно посмотреть командой dmesg | grep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. (рис. 19).</w:t>
      </w:r>
    </w:p>
    <w:p>
      <w:pPr>
        <w:pStyle w:val="CaptionedFigure"/>
      </w:pPr>
      <w:r>
        <w:drawing>
          <wp:inline>
            <wp:extent cx="3733800" cy="322824"/>
            <wp:effectExtent b="0" l="0" r="0" t="0"/>
            <wp:docPr descr="Модель процессор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available).</w:t>
      </w:r>
    </w:p>
    <w:p>
      <w:pPr>
        <w:pStyle w:val="FirstParagraph"/>
      </w:pPr>
      <w:r>
        <w:t xml:space="preserve">Объём доступной памяти можно посмотреть командой free -m. (рис. 20).</w:t>
      </w:r>
    </w:p>
    <w:p>
      <w:pPr>
        <w:pStyle w:val="CaptionedFigure"/>
      </w:pPr>
      <w:r>
        <w:drawing>
          <wp:inline>
            <wp:extent cx="3733800" cy="436418"/>
            <wp:effectExtent b="0" l="0" r="0" t="0"/>
            <wp:docPr descr="Объём доступной памяти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Объём доступной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detected).</w:t>
      </w:r>
    </w:p>
    <w:p>
      <w:pPr>
        <w:pStyle w:val="FirstParagraph"/>
      </w:pPr>
      <w:r>
        <w:t xml:space="preserve">Тип обнаруженного гипервизора можно посмотреть командой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 (рис. 21).</w:t>
      </w:r>
    </w:p>
    <w:p>
      <w:pPr>
        <w:pStyle w:val="CaptionedFigure"/>
      </w:pPr>
      <w:r>
        <w:drawing>
          <wp:inline>
            <wp:extent cx="3733800" cy="218563"/>
            <wp:effectExtent b="0" l="0" r="0" t="0"/>
            <wp:docPr descr="Тип обнаружённого гипервизо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Тип обнаружённого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раздела.</w:t>
      </w:r>
    </w:p>
    <w:p>
      <w:pPr>
        <w:pStyle w:val="FirstParagraph"/>
      </w:pPr>
      <w:r>
        <w:t xml:space="preserve">Тип файловой системы корневого раздела можно посмотреть командой dmesg 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3733800" cy="539461"/>
            <wp:effectExtent b="0" l="0" r="0" t="0"/>
            <wp:docPr descr="Тип файловой системы коревого каталога раздела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Тип файловой системы коревого каталога раздела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FirstParagraph"/>
      </w:pPr>
      <w:r>
        <w:t xml:space="preserve">Последовательность монтирования файловых систем можно посмотреть 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 (рис. 23).</w:t>
      </w:r>
    </w:p>
    <w:p>
      <w:pPr>
        <w:pStyle w:val="CaptionedFigure"/>
      </w:pPr>
      <w:r>
        <w:drawing>
          <wp:inline>
            <wp:extent cx="3733800" cy="2177547"/>
            <wp:effectExtent b="0" l="0" r="0" t="0"/>
            <wp:docPr descr="Последовательность монтирования файловых систем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Последовательность монтирования файловых систем</w:t>
      </w:r>
    </w:p>
    <w:bookmarkEnd w:id="91"/>
    <w:bookmarkStart w:id="9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8"/>
        </w:numPr>
      </w:pPr>
      <w:r>
        <w:t xml:space="preserve">Содержит информацию об идентификаторе учетной записи пользователя и ее имени, идентификаторе основной группы пользователя и ее названии</w:t>
      </w:r>
    </w:p>
    <w:p>
      <w:pPr>
        <w:pStyle w:val="FirstParagraph"/>
      </w:pPr>
      <w:r>
        <w:t xml:space="preserve">• для получения справки по команде – info</w:t>
      </w:r>
      <w:r>
        <w:t xml:space="preserve"> </w:t>
      </w:r>
      <w:r>
        <w:t xml:space="preserve">“</w:t>
      </w:r>
      <w:r>
        <w:t xml:space="preserve">название команды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название команды</w:t>
      </w:r>
      <w:r>
        <w:t xml:space="preserve">”</w:t>
      </w:r>
      <w:r>
        <w:t xml:space="preserve"> </w:t>
      </w:r>
      <w:r>
        <w:t xml:space="preserve">–help</w:t>
      </w:r>
    </w:p>
    <w:p>
      <w:pPr>
        <w:pStyle w:val="BodyText"/>
      </w:pPr>
      <w:r>
        <w:t xml:space="preserve">• для перемещения по файловой системе – cd</w:t>
      </w:r>
      <w:r>
        <w:t xml:space="preserve"> </w:t>
      </w:r>
      <w:r>
        <w:t xml:space="preserve">“</w:t>
      </w:r>
      <w:r>
        <w:t xml:space="preserve">путь</w:t>
      </w:r>
      <w:r>
        <w:t xml:space="preserve">”</w:t>
      </w:r>
    </w:p>
    <w:p>
      <w:pPr>
        <w:pStyle w:val="BodyText"/>
      </w:pPr>
      <w:r>
        <w:t xml:space="preserve">• для просмотра содержимого каталога – dir либо ls</w:t>
      </w:r>
    </w:p>
    <w:p>
      <w:pPr>
        <w:pStyle w:val="BodyText"/>
      </w:pPr>
      <w:r>
        <w:t xml:space="preserve">• для определения объема каталога – du -sh</w:t>
      </w:r>
      <w:r>
        <w:t xml:space="preserve"> </w:t>
      </w:r>
      <w:r>
        <w:t xml:space="preserve">“</w:t>
      </w:r>
      <w:r>
        <w:t xml:space="preserve">путь</w:t>
      </w:r>
      <w:r>
        <w:t xml:space="preserve">”</w:t>
      </w:r>
    </w:p>
    <w:p>
      <w:pPr>
        <w:pStyle w:val="BodyText"/>
      </w:pPr>
      <w:r>
        <w:t xml:space="preserve">• для создания каталога - mkdir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 </w:t>
      </w:r>
      <w:r>
        <w:t xml:space="preserve">для удаления – rmdir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 </w:t>
      </w:r>
      <w:r>
        <w:t xml:space="preserve">для создания файла touch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 </w:t>
      </w:r>
      <w:r>
        <w:t xml:space="preserve">или cat &gt;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  <w:r>
        <w:t xml:space="preserve"> </w:t>
      </w:r>
      <w:r>
        <w:t xml:space="preserve">для удаления</w:t>
      </w:r>
      <w:r>
        <w:t xml:space="preserve"> </w:t>
      </w:r>
      <w:r>
        <w:t xml:space="preserve">rm</w:t>
      </w:r>
      <w:r>
        <w:t xml:space="preserve"> </w:t>
      </w:r>
      <w:r>
        <w:t xml:space="preserve">“</w:t>
      </w:r>
      <w:r>
        <w:t xml:space="preserve">название</w:t>
      </w:r>
      <w:r>
        <w:t xml:space="preserve">”</w:t>
      </w:r>
    </w:p>
    <w:p>
      <w:pPr>
        <w:pStyle w:val="BodyText"/>
      </w:pPr>
      <w:r>
        <w:t xml:space="preserve">• для создания каталога с правами mkdir –mode=</w:t>
      </w:r>
      <w:r>
        <w:t xml:space="preserve">“</w:t>
      </w:r>
      <w:r>
        <w:t xml:space="preserve">идентификатор</w:t>
      </w:r>
      <w:r>
        <w:t xml:space="preserve">”</w:t>
      </w:r>
      <w:r>
        <w:t xml:space="preserve"> </w:t>
      </w:r>
      <w:r>
        <w:t xml:space="preserve">“</w:t>
      </w:r>
      <w:r>
        <w:t xml:space="preserve">название каталога</w:t>
      </w:r>
      <w:r>
        <w:t xml:space="preserve">”</w:t>
      </w:r>
      <w:r>
        <w:t xml:space="preserve"> </w:t>
      </w:r>
      <w:r>
        <w:t xml:space="preserve">для правки прав доступа для файла chmod</w:t>
      </w:r>
    </w:p>
    <w:p>
      <w:pPr>
        <w:pStyle w:val="BodyText"/>
      </w:pPr>
      <w:r>
        <w:t xml:space="preserve">• для просмотра истории команд - history</w:t>
      </w:r>
    </w:p>
    <w:p>
      <w:pPr>
        <w:numPr>
          <w:ilvl w:val="0"/>
          <w:numId w:val="1009"/>
        </w:numPr>
        <w:pStyle w:val="Compact"/>
      </w:pPr>
      <w:r>
        <w:t xml:space="preserve">Файловая система определяет способ хранения, организации данных/информации на определенных носителях.</w:t>
      </w:r>
    </w:p>
    <w:p>
      <w:pPr>
        <w:pStyle w:val="FirstParagraph"/>
      </w:pPr>
      <w:bookmarkStart w:id="95" w:name="fig:024"/>
      <w:r>
        <w:drawing>
          <wp:inline>
            <wp:extent cx="3733800" cy="84046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10"/>
        </w:numPr>
      </w:pPr>
      <w:r>
        <w:t xml:space="preserve">dmesg | grep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</w:p>
    <w:p>
      <w:pPr>
        <w:numPr>
          <w:ilvl w:val="0"/>
          <w:numId w:val="1010"/>
        </w:numPr>
      </w:pPr>
      <w:r>
        <w:t xml:space="preserve">pkill «название процесса»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мной 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97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r>
        <w:t xml:space="preserve">Кулябов Д.С., Королькова А.В. Основы администрирования операционных систем. Лабораторная работа №1. Установка и конфигурация операционной системы на виртуальную машину.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Бызова Мария Олеговна</dc:creator>
  <dc:language>ru-RU</dc:language>
  <cp:keywords/>
  <dcterms:created xsi:type="dcterms:W3CDTF">2024-09-04T14:31:29Z</dcterms:created>
  <dcterms:modified xsi:type="dcterms:W3CDTF">2024-09-04T14:31:29Z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Основы администрирования операционных 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