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103.png" ContentType="image/png"/>
  <Override PartName="/word/media/rId108.png" ContentType="image/png"/>
  <Override PartName="/word/media/rId22.png" ContentType="image/png"/>
  <Override PartName="/word/media/rId114.png" ContentType="image/png"/>
  <Override PartName="/word/media/rId119.png" ContentType="image/png"/>
  <Override PartName="/word/media/rId124.png" ContentType="image/png"/>
  <Override PartName="/word/media/rId129.png" ContentType="image/png"/>
  <Override PartName="/word/media/rId134.png" ContentType="image/png"/>
  <Override PartName="/word/media/rId140.png" ContentType="image/png"/>
  <Override PartName="/word/media/rId145.png" ContentType="image/png"/>
  <Override PartName="/word/media/rId150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№16</w:t>
      </w:r>
    </w:p>
    <w:p>
      <w:pPr>
        <w:pStyle w:val="Subtitle"/>
      </w:pPr>
      <w:r>
        <w:t xml:space="preserve">Базовая защита от атак типа «brute force»</w:t>
      </w:r>
    </w:p>
    <w:p>
      <w:pPr>
        <w:pStyle w:val="Author"/>
      </w:pPr>
      <w:r>
        <w:t xml:space="preserve">Бызова Мария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работы с программным средством Fail2ban для обеспечения базовой защиты от атак типа «brute force».</w:t>
      </w:r>
    </w:p>
    <w:bookmarkEnd w:id="20"/>
    <w:bookmarkStart w:id="1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82" w:name="установка-и-базовая-настройка-fail2ban"/>
    <w:p>
      <w:pPr>
        <w:pStyle w:val="Heading2"/>
      </w:pPr>
      <w:r>
        <w:t xml:space="preserve">2.1 Установка и базовая настройка Fail2ban</w:t>
      </w:r>
    </w:p>
    <w:bookmarkStart w:id="21" w:name="установка-fail2ban-на-сервер"/>
    <w:p>
      <w:pPr>
        <w:pStyle w:val="Heading3"/>
      </w:pPr>
      <w:r>
        <w:t xml:space="preserve">2.1.1 Установка Fail2ban на сервер</w:t>
      </w:r>
    </w:p>
    <w:p>
      <w:pPr>
        <w:pStyle w:val="FirstParagraph"/>
      </w:pPr>
      <w:r>
        <w:t xml:space="preserve">Выполнена установка пакета Fail2ban на сервер</w:t>
      </w:r>
      <w:r>
        <w:t xml:space="preserve"> </w:t>
      </w:r>
      <w:r>
        <w:rPr>
          <w:rStyle w:val="VerbatimChar"/>
        </w:rPr>
        <w:t xml:space="preserve">server.mobihzova.net</w:t>
      </w:r>
      <w:r>
        <w:t xml:space="preserve"> </w:t>
      </w:r>
      <w:r>
        <w:t xml:space="preserve">(</w:t>
      </w:r>
      <w:r>
        <w:rPr>
          <w:b/>
          <w:bCs/>
        </w:rPr>
        <w:t xml:space="preserve">?@fig-001</w:t>
      </w:r>
      <w:r>
        <w:t xml:space="preserve">).</w:t>
      </w:r>
    </w:p>
    <w:p>
      <w:pPr>
        <w:pStyle w:val="BodyText"/>
      </w:pPr>
      <w:r>
        <w:t xml:space="preserve">![Установка Fail2ban на сервере.(image/1.PNG){#fig-001 width=70%}</w:t>
      </w:r>
    </w:p>
    <w:bookmarkEnd w:id="21"/>
    <w:bookmarkStart w:id="26" w:name="запуск-и-активация-службы-fail2ban"/>
    <w:p>
      <w:pPr>
        <w:pStyle w:val="Heading3"/>
      </w:pPr>
      <w:r>
        <w:t xml:space="preserve">2.1.2 Запуск и активация службы Fail2ban</w:t>
      </w:r>
    </w:p>
    <w:p>
      <w:pPr>
        <w:pStyle w:val="FirstParagraph"/>
      </w:pPr>
      <w:r>
        <w:t xml:space="preserve">После установки служба Fail2ban запущена и добавлена в автозагрузку (</w:t>
      </w:r>
      <w:hyperlink w:anchor="fig-002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2"/>
          <w:p>
            <w:pPr>
              <w:pStyle w:val="Compact"/>
              <w:jc w:val="center"/>
            </w:pPr>
            <w:r>
              <w:drawing>
                <wp:inline>
                  <wp:extent cx="3733800" cy="45877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и активация службы Fail2ban.</w:t>
            </w:r>
          </w:p>
          <w:bookmarkEnd w:id="25"/>
        </w:tc>
      </w:tr>
    </w:tbl>
    <w:bookmarkEnd w:id="26"/>
    <w:bookmarkStart w:id="31" w:name="просмотр-логов-fail2ban"/>
    <w:p>
      <w:pPr>
        <w:pStyle w:val="Heading3"/>
      </w:pPr>
      <w:r>
        <w:t xml:space="preserve">2.1.3 Просмотр логов Fail2ban</w:t>
      </w:r>
    </w:p>
    <w:p>
      <w:pPr>
        <w:pStyle w:val="FirstParagraph"/>
      </w:pPr>
      <w:r>
        <w:t xml:space="preserve">Для мониторинга работы Fail2ban выполнен просмотр журнала событий (</w:t>
      </w:r>
      <w:hyperlink w:anchor="fig-003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3"/>
          <w:p>
            <w:pPr>
              <w:pStyle w:val="Compact"/>
              <w:jc w:val="center"/>
            </w:pPr>
            <w:r>
              <w:drawing>
                <wp:inline>
                  <wp:extent cx="3733800" cy="76404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4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журнала событий Fail2ban.</w:t>
            </w:r>
          </w:p>
          <w:bookmarkEnd w:id="30"/>
        </w:tc>
      </w:tr>
    </w:tbl>
    <w:bookmarkEnd w:id="31"/>
    <w:bookmarkStart w:id="36" w:name="Xecaf24cb87d7a1c3c98d02a5575182ebc850942"/>
    <w:p>
      <w:pPr>
        <w:pStyle w:val="Heading3"/>
      </w:pPr>
      <w:r>
        <w:t xml:space="preserve">2.1.4 Создание локального конфигурационного файла</w:t>
      </w:r>
    </w:p>
    <w:p>
      <w:pPr>
        <w:pStyle w:val="FirstParagraph"/>
      </w:pPr>
      <w:r>
        <w:t xml:space="preserve">Создан файл для локальной конфигурации Fail2ban (</w:t>
      </w:r>
      <w:hyperlink w:anchor="fig-004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4"/>
          <w:p>
            <w:pPr>
              <w:pStyle w:val="Compact"/>
              <w:jc w:val="center"/>
            </w:pPr>
            <w:r>
              <w:drawing>
                <wp:inline>
                  <wp:extent cx="3733800" cy="233654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файла customisation.local.</w:t>
            </w:r>
          </w:p>
          <w:bookmarkEnd w:id="35"/>
        </w:tc>
      </w:tr>
    </w:tbl>
    <w:bookmarkEnd w:id="36"/>
    <w:bookmarkStart w:id="41" w:name="настройка-конфигурации-для-ssh"/>
    <w:p>
      <w:pPr>
        <w:pStyle w:val="Heading3"/>
      </w:pPr>
      <w:r>
        <w:t xml:space="preserve">2.1.5 Настройка конфигурации для SSH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customisation.local</w:t>
      </w:r>
      <w:r>
        <w:t xml:space="preserve"> </w:t>
      </w:r>
      <w:r>
        <w:t xml:space="preserve">добавлены настройки для защиты SSH-службы, включая порт 2022 (</w:t>
      </w:r>
      <w:hyperlink w:anchor="fig-005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29616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6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конфигурации SSH в customisation.local.</w:t>
            </w:r>
          </w:p>
          <w:bookmarkEnd w:id="40"/>
        </w:tc>
      </w:tr>
    </w:tbl>
    <w:bookmarkEnd w:id="41"/>
    <w:bookmarkStart w:id="46" w:name="перезапуск-fail2ban-после-настройки-ssh"/>
    <w:p>
      <w:pPr>
        <w:pStyle w:val="Heading3"/>
      </w:pPr>
      <w:r>
        <w:t xml:space="preserve">2.1.6 Перезапуск Fail2ban после настройки SSH</w:t>
      </w:r>
    </w:p>
    <w:p>
      <w:pPr>
        <w:pStyle w:val="FirstParagraph"/>
      </w:pPr>
      <w:r>
        <w:t xml:space="preserve">После настройки SSH-защиты выполнен перезапуск службы Fail2ban (</w:t>
      </w:r>
      <w:hyperlink w:anchor="fig-006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8120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Перезапуск Fail2ban после настройки SSH.</w:t>
            </w:r>
          </w:p>
          <w:bookmarkEnd w:id="45"/>
        </w:tc>
      </w:tr>
    </w:tbl>
    <w:bookmarkEnd w:id="46"/>
    <w:bookmarkStart w:id="51" w:name="просмотр-логов-после-настройки-ssh"/>
    <w:p>
      <w:pPr>
        <w:pStyle w:val="Heading3"/>
      </w:pPr>
      <w:r>
        <w:t xml:space="preserve">2.1.7 Просмотр логов после настройки SSH</w:t>
      </w:r>
    </w:p>
    <w:p>
      <w:pPr>
        <w:pStyle w:val="FirstParagraph"/>
      </w:pPr>
      <w:r>
        <w:t xml:space="preserve">Проверены логи Fail2ban после включения защиты SSH (</w:t>
      </w:r>
      <w:hyperlink w:anchor="fig-007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47216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2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Логи Fail2ban после настройки SSH-защиты.</w:t>
            </w:r>
          </w:p>
          <w:bookmarkEnd w:id="50"/>
        </w:tc>
      </w:tr>
    </w:tbl>
    <w:bookmarkEnd w:id="51"/>
    <w:bookmarkStart w:id="56" w:name="настройка-конфигурации-для-http"/>
    <w:p>
      <w:pPr>
        <w:pStyle w:val="Heading3"/>
      </w:pPr>
      <w:r>
        <w:t xml:space="preserve">2.1.8 Настройка конфигурации для HTTP</w:t>
      </w:r>
    </w:p>
    <w:p>
      <w:pPr>
        <w:pStyle w:val="FirstParagraph"/>
      </w:pPr>
      <w:r>
        <w:t xml:space="preserve">В конфигурационный файл добавлены настройки для защиты веб-сервера Apache (</w:t>
      </w:r>
      <w:hyperlink w:anchor="fig-008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1735486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5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защиты HTTP-служб.</w:t>
            </w:r>
          </w:p>
          <w:bookmarkEnd w:id="55"/>
        </w:tc>
      </w:tr>
    </w:tbl>
    <w:bookmarkEnd w:id="56"/>
    <w:bookmarkStart w:id="61" w:name="перезапуск-fail2ban-после-настройки-http"/>
    <w:p>
      <w:pPr>
        <w:pStyle w:val="Heading3"/>
      </w:pPr>
      <w:r>
        <w:t xml:space="preserve">2.1.9 Перезапуск Fail2ban после настройки HTTP</w:t>
      </w:r>
    </w:p>
    <w:p>
      <w:pPr>
        <w:pStyle w:val="FirstParagraph"/>
      </w:pPr>
      <w:r>
        <w:t xml:space="preserve">Выполнен перезапуск Fail2ban после добавления конфигурации для HTTP (</w:t>
      </w:r>
      <w:hyperlink w:anchor="fig-00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26142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Перезапуск Fail2ban после настройки HTTP.</w:t>
            </w:r>
          </w:p>
          <w:bookmarkEnd w:id="60"/>
        </w:tc>
      </w:tr>
    </w:tbl>
    <w:bookmarkEnd w:id="61"/>
    <w:bookmarkStart w:id="66" w:name="логи-после-перезапуска-с-http"/>
    <w:p>
      <w:pPr>
        <w:pStyle w:val="Heading3"/>
      </w:pPr>
      <w:r>
        <w:t xml:space="preserve">2.1.10 Логи после перезапуска с HTTP</w:t>
      </w:r>
    </w:p>
    <w:p>
      <w:pPr>
        <w:pStyle w:val="FirstParagraph"/>
      </w:pPr>
      <w:r>
        <w:t xml:space="preserve">Проверены логи после включения защиты HTTP-служб (</w:t>
      </w:r>
      <w:hyperlink w:anchor="fig-010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592196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2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Логи Fail2ban после настройки HTTP.</w:t>
            </w:r>
          </w:p>
          <w:bookmarkEnd w:id="65"/>
        </w:tc>
      </w:tr>
    </w:tbl>
    <w:bookmarkEnd w:id="66"/>
    <w:bookmarkStart w:id="71" w:name="Xaa9c50e61e2eb1e1726317bbd45b24d02b090dc"/>
    <w:p>
      <w:pPr>
        <w:pStyle w:val="Heading3"/>
      </w:pPr>
      <w:r>
        <w:t xml:space="preserve">2.1.11 Настройка конфигурации для почтовых служб</w:t>
      </w:r>
    </w:p>
    <w:p>
      <w:pPr>
        <w:pStyle w:val="FirstParagraph"/>
      </w:pPr>
      <w:r>
        <w:t xml:space="preserve">Добавлены настройки для защиты почтовых служб (Postfix и Dovecot) (</w:t>
      </w:r>
      <w:hyperlink w:anchor="fig-011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922914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2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защиты почтовых служб.</w:t>
            </w:r>
          </w:p>
          <w:bookmarkEnd w:id="70"/>
        </w:tc>
      </w:tr>
    </w:tbl>
    <w:bookmarkEnd w:id="71"/>
    <w:bookmarkStart w:id="76" w:name="Xa4dd6a3ca79c8f60239c6f759afbcddaa1441c8"/>
    <w:p>
      <w:pPr>
        <w:pStyle w:val="Heading3"/>
      </w:pPr>
      <w:r>
        <w:t xml:space="preserve">2.1.12 Перезапуск Fail2ban после настройки почтовых служб</w:t>
      </w:r>
    </w:p>
    <w:p>
      <w:pPr>
        <w:pStyle w:val="FirstParagraph"/>
      </w:pPr>
      <w:r>
        <w:t xml:space="preserve">Выполнен перезапуск Fail2ban после настройки почтовой защиты (</w:t>
      </w:r>
      <w:hyperlink w:anchor="fig-012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242608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Перезапуск Fail2ban после настройки почты.</w:t>
            </w:r>
          </w:p>
          <w:bookmarkEnd w:id="75"/>
        </w:tc>
      </w:tr>
    </w:tbl>
    <w:bookmarkEnd w:id="76"/>
    <w:bookmarkStart w:id="81" w:name="Xd473091d53f7620ecfc67aca03c955454e05a98"/>
    <w:p>
      <w:pPr>
        <w:pStyle w:val="Heading3"/>
      </w:pPr>
      <w:r>
        <w:t xml:space="preserve">2.1.13 Логи после перезапуска с почтовыми службами</w:t>
      </w:r>
    </w:p>
    <w:p>
      <w:pPr>
        <w:pStyle w:val="FirstParagraph"/>
      </w:pPr>
      <w:r>
        <w:t xml:space="preserve">Проверены логи Fail2ban после включения всех служб (</w:t>
      </w:r>
      <w:hyperlink w:anchor="fig-013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3"/>
          <w:p>
            <w:pPr>
              <w:pStyle w:val="Compact"/>
              <w:jc w:val="center"/>
            </w:pPr>
            <w:r>
              <w:drawing>
                <wp:inline>
                  <wp:extent cx="3733800" cy="86014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0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Логи Fail2ban после включения всех служб.</w:t>
            </w:r>
          </w:p>
          <w:bookmarkEnd w:id="80"/>
        </w:tc>
      </w:tr>
    </w:tbl>
    <w:bookmarkEnd w:id="81"/>
    <w:bookmarkEnd w:id="82"/>
    <w:bookmarkStart w:id="113" w:name="проверка-работы-fail2ban"/>
    <w:p>
      <w:pPr>
        <w:pStyle w:val="Heading2"/>
      </w:pPr>
      <w:r>
        <w:t xml:space="preserve">2.2 Проверка работы Fail2ban</w:t>
      </w:r>
    </w:p>
    <w:bookmarkStart w:id="87" w:name="просмотр-статуса-всех-служб"/>
    <w:p>
      <w:pPr>
        <w:pStyle w:val="Heading3"/>
      </w:pPr>
      <w:r>
        <w:t xml:space="preserve">2.2.1 Просмотр статуса всех служб</w:t>
      </w:r>
    </w:p>
    <w:p>
      <w:pPr>
        <w:pStyle w:val="FirstParagraph"/>
      </w:pPr>
      <w:r>
        <w:t xml:space="preserve">Проверен общий статус всех jail в Fail2ban (</w:t>
      </w:r>
      <w:hyperlink w:anchor="fig-014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4"/>
          <w:p>
            <w:pPr>
              <w:pStyle w:val="Compact"/>
              <w:jc w:val="center"/>
            </w:pPr>
            <w:r>
              <w:drawing>
                <wp:inline>
                  <wp:extent cx="3733800" cy="36054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Статус всех jail Fail2ban.</w:t>
            </w:r>
          </w:p>
          <w:bookmarkEnd w:id="86"/>
        </w:tc>
      </w:tr>
    </w:tbl>
    <w:bookmarkEnd w:id="87"/>
    <w:bookmarkStart w:id="92" w:name="просмотр-статуса-ssh-защиты"/>
    <w:p>
      <w:pPr>
        <w:pStyle w:val="Heading3"/>
      </w:pPr>
      <w:r>
        <w:t xml:space="preserve">2.2.2 Просмотр статуса SSH-защиты</w:t>
      </w:r>
    </w:p>
    <w:p>
      <w:pPr>
        <w:pStyle w:val="FirstParagraph"/>
      </w:pPr>
      <w:r>
        <w:t xml:space="preserve">Проверен статус конкретно SSH-защиты (</w:t>
      </w:r>
      <w:hyperlink w:anchor="fig-015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5"/>
          <w:p>
            <w:pPr>
              <w:pStyle w:val="Compact"/>
              <w:jc w:val="center"/>
            </w:pPr>
            <w:r>
              <w:drawing>
                <wp:inline>
                  <wp:extent cx="3733800" cy="662349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2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Статус SSH-защиты в Fail2ban.</w:t>
            </w:r>
          </w:p>
          <w:bookmarkEnd w:id="91"/>
        </w:tc>
      </w:tr>
    </w:tbl>
    <w:bookmarkEnd w:id="92"/>
    <w:bookmarkStart w:id="97" w:name="Xdc6b6448e928889d0826a3585899fb5d8676e35"/>
    <w:p>
      <w:pPr>
        <w:pStyle w:val="Heading3"/>
      </w:pPr>
      <w:r>
        <w:t xml:space="preserve">2.2.3 Изменение максимального количества попыток</w:t>
      </w:r>
    </w:p>
    <w:p>
      <w:pPr>
        <w:pStyle w:val="FirstParagraph"/>
      </w:pPr>
      <w:r>
        <w:t xml:space="preserve">Изменено максимальное количество неудачных попыток для SSH с 3 до 2 (</w:t>
      </w:r>
      <w:hyperlink w:anchor="fig-016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6"/>
          <w:p>
            <w:pPr>
              <w:pStyle w:val="Compact"/>
              <w:jc w:val="center"/>
            </w:pPr>
            <w:r>
              <w:drawing>
                <wp:inline>
                  <wp:extent cx="3733800" cy="372345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Изменение maxretry для SSH.</w:t>
            </w:r>
          </w:p>
          <w:bookmarkEnd w:id="96"/>
        </w:tc>
      </w:tr>
    </w:tbl>
    <w:bookmarkEnd w:id="97"/>
    <w:bookmarkStart w:id="102" w:name="Xf1450cd3b84b62ada009227e1b7a65d2d61c7fc"/>
    <w:p>
      <w:pPr>
        <w:pStyle w:val="Heading3"/>
      </w:pPr>
      <w:r>
        <w:t xml:space="preserve">2.2.4 Попытка несанкционированного доступа с клиента</w:t>
      </w:r>
    </w:p>
    <w:p>
      <w:pPr>
        <w:pStyle w:val="FirstParagraph"/>
      </w:pPr>
      <w:r>
        <w:t xml:space="preserve">С клиента</w:t>
      </w:r>
      <w:r>
        <w:t xml:space="preserve"> </w:t>
      </w:r>
      <w:r>
        <w:rPr>
          <w:rStyle w:val="VerbatimChar"/>
        </w:rPr>
        <w:t xml:space="preserve">client.mobihzova.net</w:t>
      </w:r>
      <w:r>
        <w:t xml:space="preserve"> </w:t>
      </w:r>
      <w:r>
        <w:t xml:space="preserve">выполнена попытка подключения по SSH с неправильным паролем (</w:t>
      </w:r>
      <w:hyperlink w:anchor="fig-0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7"/>
          <w:p>
            <w:pPr>
              <w:pStyle w:val="Compact"/>
              <w:jc w:val="center"/>
            </w:pPr>
            <w:r>
              <w:drawing>
                <wp:inline>
                  <wp:extent cx="3733800" cy="59589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58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Попытка SSH-подключения с неправильным паролем.</w:t>
            </w:r>
          </w:p>
          <w:bookmarkEnd w:id="101"/>
        </w:tc>
      </w:tr>
    </w:tbl>
    <w:bookmarkEnd w:id="102"/>
    <w:bookmarkStart w:id="107" w:name="проверка-блокировки-ip-адреса"/>
    <w:p>
      <w:pPr>
        <w:pStyle w:val="Heading3"/>
      </w:pPr>
      <w:r>
        <w:t xml:space="preserve">2.2.5 Проверка блокировки IP-адреса</w:t>
      </w:r>
    </w:p>
    <w:p>
      <w:pPr>
        <w:pStyle w:val="FirstParagraph"/>
      </w:pPr>
      <w:r>
        <w:t xml:space="preserve">Проверена блокировка IP-адреса клиента после неудачных попыток (</w:t>
      </w:r>
      <w:hyperlink w:anchor="fig-018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18"/>
          <w:p>
            <w:pPr>
              <w:pStyle w:val="Compact"/>
              <w:jc w:val="center"/>
            </w:pPr>
            <w:r>
              <w:drawing>
                <wp:inline>
                  <wp:extent cx="3733800" cy="713342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3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Блокировка IP-адреса клиента.</w:t>
            </w:r>
          </w:p>
          <w:bookmarkEnd w:id="106"/>
        </w:tc>
      </w:tr>
    </w:tbl>
    <w:bookmarkEnd w:id="107"/>
    <w:bookmarkStart w:id="112" w:name="разблокировка-ip-адреса"/>
    <w:p>
      <w:pPr>
        <w:pStyle w:val="Heading3"/>
      </w:pPr>
      <w:r>
        <w:t xml:space="preserve">2.2.6 Разблокировка IP-адреса</w:t>
      </w:r>
    </w:p>
    <w:p>
      <w:pPr>
        <w:pStyle w:val="FirstParagraph"/>
      </w:pPr>
      <w:r>
        <w:t xml:space="preserve">Выполнена разблокировка IP-адреса клиента (</w:t>
      </w:r>
      <w:hyperlink w:anchor="fig-019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19"/>
          <w:p>
            <w:pPr>
              <w:pStyle w:val="Compact"/>
              <w:jc w:val="center"/>
            </w:pPr>
            <w:r>
              <w:drawing>
                <wp:inline>
                  <wp:extent cx="3733800" cy="831503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1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Разблокировка IP-адреса.</w:t>
            </w:r>
          </w:p>
          <w:bookmarkEnd w:id="111"/>
        </w:tc>
      </w:tr>
    </w:tbl>
    <w:bookmarkEnd w:id="112"/>
    <w:bookmarkEnd w:id="113"/>
    <w:bookmarkStart w:id="139" w:name="настройка-исключений"/>
    <w:p>
      <w:pPr>
        <w:pStyle w:val="Heading2"/>
      </w:pPr>
      <w:r>
        <w:t xml:space="preserve">2.3 Настройка исключений</w:t>
      </w:r>
    </w:p>
    <w:bookmarkStart w:id="118" w:name="добавление-ip-адреса-в-игнорируемые"/>
    <w:p>
      <w:pPr>
        <w:pStyle w:val="Heading3"/>
      </w:pPr>
      <w:r>
        <w:t xml:space="preserve">2.3.1 Добавление IP-адреса в игнорируемые</w:t>
      </w:r>
    </w:p>
    <w:p>
      <w:pPr>
        <w:pStyle w:val="FirstParagraph"/>
      </w:pPr>
      <w:r>
        <w:t xml:space="preserve">IP-адрес клиента добавлен в список игнорируемых адресов (</w:t>
      </w:r>
      <w:hyperlink w:anchor="fig-020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0"/>
          <w:p>
            <w:pPr>
              <w:pStyle w:val="Compact"/>
              <w:jc w:val="center"/>
            </w:pPr>
            <w:r>
              <w:drawing>
                <wp:inline>
                  <wp:extent cx="3733800" cy="544824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4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Добавление IP-адреса в ignoreip.</w:t>
            </w:r>
          </w:p>
          <w:bookmarkEnd w:id="117"/>
        </w:tc>
      </w:tr>
    </w:tbl>
    <w:bookmarkEnd w:id="118"/>
    <w:bookmarkStart w:id="123" w:name="перезапуск-fail2ban-с-новыми-настройками"/>
    <w:p>
      <w:pPr>
        <w:pStyle w:val="Heading3"/>
      </w:pPr>
      <w:r>
        <w:t xml:space="preserve">2.3.2 Перезапуск Fail2ban с новыми настройками</w:t>
      </w:r>
    </w:p>
    <w:p>
      <w:pPr>
        <w:pStyle w:val="FirstParagraph"/>
      </w:pPr>
      <w:r>
        <w:t xml:space="preserve">Выполнен перезапуск Fail2ban после добавления исключений (</w:t>
      </w:r>
      <w:hyperlink w:anchor="fig-021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1"/>
          <w:p>
            <w:pPr>
              <w:pStyle w:val="Compact"/>
              <w:jc w:val="center"/>
            </w:pPr>
            <w:r>
              <w:drawing>
                <wp:inline>
                  <wp:extent cx="3733800" cy="234759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Перезапуск Fail2ban с обновлённой конфигурацией.</w:t>
            </w:r>
          </w:p>
          <w:bookmarkEnd w:id="122"/>
        </w:tc>
      </w:tr>
    </w:tbl>
    <w:bookmarkEnd w:id="123"/>
    <w:bookmarkStart w:id="128" w:name="логи-после-добавления-исключений"/>
    <w:p>
      <w:pPr>
        <w:pStyle w:val="Heading3"/>
      </w:pPr>
      <w:r>
        <w:t xml:space="preserve">2.3.3 Логи после добавления исключений</w:t>
      </w:r>
    </w:p>
    <w:p>
      <w:pPr>
        <w:pStyle w:val="FirstParagraph"/>
      </w:pPr>
      <w:r>
        <w:t xml:space="preserve">Проверены логи после добавления игнорируемых адресов (</w:t>
      </w:r>
      <w:hyperlink w:anchor="fig-022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2"/>
          <w:p>
            <w:pPr>
              <w:pStyle w:val="Compact"/>
              <w:jc w:val="center"/>
            </w:pPr>
            <w:r>
              <w:drawing>
                <wp:inline>
                  <wp:extent cx="3733800" cy="8507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Логи Fail2ban с включёнными почтовыми службами.</w:t>
            </w:r>
          </w:p>
          <w:bookmarkEnd w:id="127"/>
        </w:tc>
      </w:tr>
    </w:tbl>
    <w:bookmarkEnd w:id="128"/>
    <w:bookmarkStart w:id="133" w:name="X4543b564632e7cc00ffb7a5197153792142dca9"/>
    <w:p>
      <w:pPr>
        <w:pStyle w:val="Heading3"/>
      </w:pPr>
      <w:r>
        <w:t xml:space="preserve">2.3.4 Повторная попытка доступа с исключённого адреса</w:t>
      </w:r>
    </w:p>
    <w:p>
      <w:pPr>
        <w:pStyle w:val="FirstParagraph"/>
      </w:pPr>
      <w:r>
        <w:t xml:space="preserve">Выполнена повторная попытка SSH-подключения с клиента, IP-адрес которого добавлен в исключения (</w:t>
      </w:r>
      <w:hyperlink w:anchor="fig-023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3"/>
          <w:p>
            <w:pPr>
              <w:pStyle w:val="Compact"/>
              <w:jc w:val="center"/>
            </w:pPr>
            <w:r>
              <w:drawing>
                <wp:inline>
                  <wp:extent cx="3733800" cy="541673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Попытка доступа с исключённого IP-адреса.</w:t>
            </w:r>
          </w:p>
          <w:bookmarkEnd w:id="132"/>
        </w:tc>
      </w:tr>
    </w:tbl>
    <w:bookmarkEnd w:id="133"/>
    <w:bookmarkStart w:id="138" w:name="проверка-статуса-ssh-после-исключения"/>
    <w:p>
      <w:pPr>
        <w:pStyle w:val="Heading3"/>
      </w:pPr>
      <w:r>
        <w:t xml:space="preserve">2.3.5 Проверка статуса SSH после исключения</w:t>
      </w:r>
    </w:p>
    <w:p>
      <w:pPr>
        <w:pStyle w:val="FirstParagraph"/>
      </w:pPr>
      <w:r>
        <w:t xml:space="preserve">Убедились, что IP-адрес клиента не блокируется после добавления в ignoreip (</w:t>
      </w:r>
      <w:hyperlink w:anchor="fig-024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4"/>
          <w:p>
            <w:pPr>
              <w:pStyle w:val="Compact"/>
              <w:jc w:val="center"/>
            </w:pPr>
            <w:r>
              <w:drawing>
                <wp:inline>
                  <wp:extent cx="3733800" cy="67467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4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Статус SSH-защиты после добавления исключений.</w:t>
            </w:r>
          </w:p>
          <w:bookmarkEnd w:id="137"/>
        </w:tc>
      </w:tr>
    </w:tbl>
    <w:bookmarkEnd w:id="138"/>
    <w:bookmarkEnd w:id="139"/>
    <w:bookmarkStart w:id="155" w:name="автоматизация-настройки"/>
    <w:p>
      <w:pPr>
        <w:pStyle w:val="Heading2"/>
      </w:pPr>
      <w:r>
        <w:t xml:space="preserve">2.4 Автоматизация настройки</w:t>
      </w:r>
    </w:p>
    <w:bookmarkStart w:id="144" w:name="подготовка-каталогов-для-конфигурации"/>
    <w:p>
      <w:pPr>
        <w:pStyle w:val="Heading3"/>
      </w:pPr>
      <w:r>
        <w:t xml:space="preserve">2.4.1 Подготовка каталогов для конфигурации</w:t>
      </w:r>
    </w:p>
    <w:p>
      <w:pPr>
        <w:pStyle w:val="FirstParagraph"/>
      </w:pPr>
      <w:r>
        <w:t xml:space="preserve">Созданы каталоги и скопированы конфигурационные файлы для автоматизации (</w:t>
      </w:r>
      <w:hyperlink w:anchor="fig-025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25"/>
          <w:p>
            <w:pPr>
              <w:pStyle w:val="Compact"/>
              <w:jc w:val="center"/>
            </w:pPr>
            <w:r>
              <w:drawing>
                <wp:inline>
                  <wp:extent cx="3733800" cy="437127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7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Подготовка каталогов для автоматизации.</w:t>
            </w:r>
          </w:p>
          <w:bookmarkEnd w:id="143"/>
        </w:tc>
      </w:tr>
    </w:tbl>
    <w:bookmarkEnd w:id="144"/>
    <w:bookmarkStart w:id="149" w:name="создание-скрипта-автоматизации"/>
    <w:p>
      <w:pPr>
        <w:pStyle w:val="Heading3"/>
      </w:pPr>
      <w:r>
        <w:t xml:space="preserve">2.4.2 Создание скрипта автоматизации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 </w:t>
      </w:r>
      <w:r>
        <w:t xml:space="preserve">для автоматической настройки Fail2ban (</w:t>
      </w:r>
      <w:hyperlink w:anchor="fig-026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26"/>
          <w:p>
            <w:pPr>
              <w:pStyle w:val="Compact"/>
              <w:jc w:val="center"/>
            </w:pPr>
            <w:r>
              <w:drawing>
                <wp:inline>
                  <wp:extent cx="3733800" cy="931152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1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Создание скрипта protect.sh.</w:t>
            </w:r>
          </w:p>
          <w:bookmarkEnd w:id="148"/>
        </w:tc>
      </w:tr>
    </w:tbl>
    <w:bookmarkEnd w:id="149"/>
    <w:bookmarkStart w:id="154" w:name="интеграция-скрипта-в-vagrantfile"/>
    <w:p>
      <w:pPr>
        <w:pStyle w:val="Heading3"/>
      </w:pPr>
      <w:r>
        <w:t xml:space="preserve">2.4.3 Интеграция скрипта в Vagrantfile</w:t>
      </w:r>
    </w:p>
    <w:p>
      <w:pPr>
        <w:pStyle w:val="FirstParagraph"/>
      </w:pPr>
      <w:r>
        <w:t xml:space="preserve">Добавлен вызов скрипта в конфигурацию Vagrantfile (</w:t>
      </w:r>
      <w:hyperlink w:anchor="fig-027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27"/>
          <w:p>
            <w:pPr>
              <w:pStyle w:val="Compact"/>
              <w:jc w:val="center"/>
            </w:pPr>
            <w:r>
              <w:drawing>
                <wp:inline>
                  <wp:extent cx="3733800" cy="752298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2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Интеграция скрипта в Vagrantfile.</w:t>
            </w:r>
          </w:p>
          <w:bookmarkEnd w:id="153"/>
        </w:tc>
      </w:tr>
    </w:tbl>
    <w:bookmarkEnd w:id="154"/>
    <w:bookmarkEnd w:id="155"/>
    <w:bookmarkEnd w:id="156"/>
    <w:bookmarkStart w:id="1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программным средством Fail2ban для</w:t>
      </w:r>
      <w:r>
        <w:t xml:space="preserve"> </w:t>
      </w:r>
      <w:r>
        <w:t xml:space="preserve">обеспечения базовой защиты от атак типа «brute force».</w:t>
      </w:r>
    </w:p>
    <w:bookmarkEnd w:id="157"/>
    <w:bookmarkStart w:id="158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Принцип работы Fail2ban</w:t>
      </w:r>
      <w:r>
        <w:t xml:space="preserve"> </w:t>
      </w:r>
      <w:r>
        <w:t xml:space="preserve">основан на мониторинге лог-файлов различных служб (SSH, Apache, Postfix и др.). При обнаружении подозрительной активности (например, нескольких неудачных попыток входа) система автоматически добавляет правила блокировки IP-адреса в настройки межсетевого экрана на заданное время.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Приоритет файлов конфигурации</w:t>
      </w:r>
      <w:r>
        <w:t xml:space="preserve">: Файлы в каталоге</w:t>
      </w:r>
      <w:r>
        <w:t xml:space="preserve"> </w:t>
      </w:r>
      <w:r>
        <w:rPr>
          <w:rStyle w:val="VerbatimChar"/>
        </w:rPr>
        <w:t xml:space="preserve">/etc/fail2ban/jail.d/</w:t>
      </w:r>
      <w:r>
        <w:t xml:space="preserve"> </w:t>
      </w:r>
      <w:r>
        <w:t xml:space="preserve">(особенно с расширением</w:t>
      </w:r>
      <w:r>
        <w:t xml:space="preserve"> </w:t>
      </w:r>
      <w:r>
        <w:rPr>
          <w:rStyle w:val="VerbatimChar"/>
        </w:rPr>
        <w:t xml:space="preserve">.local</w:t>
      </w:r>
      <w:r>
        <w:t xml:space="preserve">) имеют приоритет над основным файлом</w:t>
      </w:r>
      <w:r>
        <w:t xml:space="preserve"> </w:t>
      </w:r>
      <w:r>
        <w:rPr>
          <w:rStyle w:val="VerbatimChar"/>
        </w:rPr>
        <w:t xml:space="preserve">jail.conf</w:t>
      </w:r>
      <w:r>
        <w:t xml:space="preserve">. Это позволяет переопределять настройки по умолчанию без редактирования основного конфигурационного файла.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Настройка оповещения администратора</w:t>
      </w:r>
      <w:r>
        <w:t xml:space="preserve"> </w:t>
      </w:r>
      <w:r>
        <w:t xml:space="preserve">осуществляется через параметры действий (actions) в конфигурации jail. Можно настроить отправку email, выполнение произвольных скриптов или интеграцию с системами мониторинга. Основные настройки действий находятся в каталоге</w:t>
      </w:r>
      <w:r>
        <w:t xml:space="preserve"> </w:t>
      </w:r>
      <w:r>
        <w:rPr>
          <w:rStyle w:val="VerbatimChar"/>
        </w:rPr>
        <w:t xml:space="preserve">/etc/fail2ban/action.d/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Настройки для веб-службы в jail.conf</w:t>
      </w:r>
      <w:r>
        <w:t xml:space="preserve"> </w:t>
      </w:r>
      <w:r>
        <w:t xml:space="preserve">включают различные jail для Apache: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[apache-auth]</w:t>
      </w:r>
      <w:r>
        <w:t xml:space="preserve"> </w:t>
      </w:r>
      <w:r>
        <w:t xml:space="preserve">- аутентификация Apache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[apache-badbots]</w:t>
      </w:r>
      <w:r>
        <w:t xml:space="preserve"> </w:t>
      </w:r>
      <w:r>
        <w:t xml:space="preserve">- блокировка ботов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[apache-noscript]</w:t>
      </w:r>
      <w:r>
        <w:t xml:space="preserve"> </w:t>
      </w:r>
      <w:r>
        <w:t xml:space="preserve">- защита от скриптовых атак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[apache-overflows]</w:t>
      </w:r>
      <w:r>
        <w:t xml:space="preserve"> </w:t>
      </w:r>
      <w:r>
        <w:t xml:space="preserve">- защита от переполнения буфера</w:t>
      </w:r>
    </w:p>
    <w:p>
      <w:pPr>
        <w:pStyle w:val="Compact"/>
        <w:numPr>
          <w:ilvl w:val="1"/>
          <w:numId w:val="1002"/>
        </w:numPr>
      </w:pPr>
      <w:r>
        <w:t xml:space="preserve">Каждый jail содержит настройки filter, logpath, maxretry, findtime и bantime.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Настройки для почтовой службы в jail.conf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[postfix]</w:t>
      </w:r>
      <w:r>
        <w:t xml:space="preserve"> </w:t>
      </w:r>
      <w:r>
        <w:t xml:space="preserve">- защита сервера Postfix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[postfix-sasl]</w:t>
      </w:r>
      <w:r>
        <w:t xml:space="preserve"> </w:t>
      </w:r>
      <w:r>
        <w:t xml:space="preserve">- аутентификация SASL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[postfix-rbl]</w:t>
      </w:r>
      <w:r>
        <w:t xml:space="preserve"> </w:t>
      </w:r>
      <w:r>
        <w:t xml:space="preserve">- RBL-фильтрация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[dovecot]</w:t>
      </w:r>
      <w:r>
        <w:t xml:space="preserve"> </w:t>
      </w:r>
      <w:r>
        <w:t xml:space="preserve">- защита сервера Dovecot</w:t>
      </w:r>
    </w:p>
    <w:p>
      <w:pPr>
        <w:pStyle w:val="Compact"/>
        <w:numPr>
          <w:ilvl w:val="1"/>
          <w:numId w:val="1003"/>
        </w:numPr>
      </w:pPr>
      <w:r>
        <w:t xml:space="preserve">Настройки включают пути к лог-файлам и параметры обнаружения атак.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Действия Fail2ban при обнаружении атаки</w:t>
      </w:r>
      <w:r>
        <w:t xml:space="preserve">: система может выполнять различные действия, настраиваемые через параметр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Блокировка через iptables/ipset</w:t>
      </w:r>
    </w:p>
    <w:p>
      <w:pPr>
        <w:pStyle w:val="Compact"/>
        <w:numPr>
          <w:ilvl w:val="1"/>
          <w:numId w:val="1004"/>
        </w:numPr>
      </w:pPr>
      <w:r>
        <w:t xml:space="preserve">Отправка email-уведомлений</w:t>
      </w:r>
    </w:p>
    <w:p>
      <w:pPr>
        <w:pStyle w:val="Compact"/>
        <w:numPr>
          <w:ilvl w:val="1"/>
          <w:numId w:val="1004"/>
        </w:numPr>
      </w:pPr>
      <w:r>
        <w:t xml:space="preserve">Выполнение пользовательских скриптов</w:t>
      </w:r>
    </w:p>
    <w:p>
      <w:pPr>
        <w:pStyle w:val="Compact"/>
        <w:numPr>
          <w:ilvl w:val="1"/>
          <w:numId w:val="1004"/>
        </w:numPr>
      </w:pPr>
      <w:r>
        <w:t xml:space="preserve">Запись в системные логи</w:t>
      </w:r>
      <w:r>
        <w:t xml:space="preserve"> </w:t>
      </w:r>
      <w:r>
        <w:t xml:space="preserve">Описания всех доступных действий находятся в</w:t>
      </w:r>
      <w:r>
        <w:t xml:space="preserve"> </w:t>
      </w:r>
      <w:r>
        <w:rPr>
          <w:rStyle w:val="VerbatimChar"/>
        </w:rPr>
        <w:t xml:space="preserve">/etc/fail2ban/action.d/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Получение списка действующих правил</w:t>
      </w:r>
      <w:r>
        <w:t xml:space="preserve">: команда</w:t>
      </w:r>
      <w:r>
        <w:t xml:space="preserve"> </w:t>
      </w:r>
      <w:r>
        <w:rPr>
          <w:rStyle w:val="VerbatimChar"/>
        </w:rPr>
        <w:t xml:space="preserve">fail2ban-client status</w:t>
      </w:r>
      <w:r>
        <w:t xml:space="preserve"> </w:t>
      </w:r>
      <w:r>
        <w:t xml:space="preserve">показывает список всех активных jail и их состояние.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Статистика заблокированных адресов</w:t>
      </w:r>
      <w:r>
        <w:t xml:space="preserve">: для просмотра статистики по конкретному jail используется команда</w:t>
      </w:r>
      <w:r>
        <w:t xml:space="preserve"> </w:t>
      </w:r>
      <w:r>
        <w:rPr>
          <w:rStyle w:val="VerbatimChar"/>
        </w:rPr>
        <w:t xml:space="preserve">fail2ban-client status &lt;jail_name&gt;</w:t>
      </w:r>
      <w:r>
        <w:t xml:space="preserve">, которая показывает количество заблокированных адресов и их список.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Разблокировка IP-адреса</w:t>
      </w:r>
      <w:r>
        <w:t xml:space="preserve">: выполняется командой</w:t>
      </w:r>
      <w:r>
        <w:t xml:space="preserve"> </w:t>
      </w:r>
      <w:r>
        <w:rPr>
          <w:rStyle w:val="VerbatimChar"/>
        </w:rPr>
        <w:t xml:space="preserve">fail2ban-client set &lt;jail_name&gt; unbanip &lt;IP_address&gt;</w:t>
      </w:r>
      <w:r>
        <w:t xml:space="preserve">. Также можно удалить правило блокировки непосредственно из настроек межсетевого экрана.</w:t>
      </w:r>
    </w:p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22" Target="media/rId22.png" /><Relationship Type="http://schemas.openxmlformats.org/officeDocument/2006/relationships/image" Id="rId114" Target="media/rId114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image" Id="rId140" Target="media/rId140.png" /><Relationship Type="http://schemas.openxmlformats.org/officeDocument/2006/relationships/image" Id="rId145" Target="media/rId145.png" /><Relationship Type="http://schemas.openxmlformats.org/officeDocument/2006/relationships/image" Id="rId150" Target="media/rId150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Бызова Мария Олеговна</dc:creator>
  <dc:language>ru-RU</dc:language>
  <cp:keywords/>
  <dcterms:created xsi:type="dcterms:W3CDTF">2025-12-17T12:40:26Z</dcterms:created>
  <dcterms:modified xsi:type="dcterms:W3CDTF">2025-12-17T12:40:26Z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icense">
    <vt:lpwstr/>
  </property>
  <property fmtid="{D5CDD505-2E9C-101B-9397-08002B2CF9AE}" pid="11" name="subtitle">
    <vt:lpwstr>Базовая защита от атак типа «brute force»</vt:lpwstr>
  </property>
  <property fmtid="{D5CDD505-2E9C-101B-9397-08002B2CF9AE}" pid="12" name="toc-title">
    <vt:lpwstr>Содержание</vt:lpwstr>
  </property>
</Properties>
</file>