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5.png" ContentType="image/png"/>
  <Override PartName="/word/media/rId99.png" ContentType="image/png"/>
  <Override PartName="/word/media/rId26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Подготовка экспериментального стенда GNS3</w:t>
      </w:r>
    </w:p>
    <w:p>
      <w:pPr>
        <w:pStyle w:val="Author"/>
      </w:pPr>
      <w:r>
        <w:t xml:space="preserve">Бызова Мария 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лабораторной работы является установка и настройка GNS3 и сопутствующего программного обеспечения.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GNS3-all-in-one, GNS3 VM, проверить корректность запуска.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FRR.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VyOS.</w:t>
      </w:r>
    </w:p>
    <w:bookmarkEnd w:id="21"/>
    <w:bookmarkStart w:id="18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94" w:name="установка-gns3"/>
    <w:p>
      <w:pPr>
        <w:pStyle w:val="Heading2"/>
      </w:pPr>
      <w:r>
        <w:t xml:space="preserve">3.1 Установка GNS3</w:t>
      </w:r>
    </w:p>
    <w:bookmarkStart w:id="42" w:name="установка-gns3-all-in-one"/>
    <w:p>
      <w:pPr>
        <w:pStyle w:val="Heading3"/>
      </w:pPr>
      <w:r>
        <w:t xml:space="preserve">3.1.1 Установка GNS3-all-in-one</w:t>
      </w:r>
    </w:p>
    <w:p>
      <w:pPr>
        <w:pStyle w:val="FirstParagraph"/>
      </w:pPr>
      <w:r>
        <w:t xml:space="preserve">Для начала установки GNS3 был запущен PowerShell с правами администратора и выполнена команда установки через менеджер пакетов Chocolatey. Процесс установки включал загрузку необходимых компонентов, включая tightvnc и непосредственно GNS3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733800" cy="1579296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79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Процесс установки GNS3 через Chocolatey.</w:t>
            </w:r>
          </w:p>
          <w:bookmarkEnd w:id="25"/>
        </w:tc>
      </w:tr>
    </w:tbl>
    <w:p>
      <w:pPr>
        <w:pStyle w:val="BodyText"/>
      </w:pPr>
      <w:r>
        <w:t xml:space="preserve">В ходе установки был представлен выбор компонентов для установки. Были отмечены все рекомендуемые компоненты: MSVC Runtime, GNS3 Desktop, GNS3 VM и Tools, что обеспечивает полную функциональность программного обеспечения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002"/>
          <w:p>
            <w:pPr>
              <w:pStyle w:val="Compact"/>
              <w:jc w:val="center"/>
            </w:pPr>
            <w:r>
              <w:drawing>
                <wp:inline>
                  <wp:extent cx="3733800" cy="2892457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92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Выбор компонентов для установки GNS3.</w:t>
            </w:r>
          </w:p>
          <w:bookmarkEnd w:id="29"/>
        </w:tc>
      </w:tr>
    </w:tbl>
    <w:p>
      <w:pPr>
        <w:pStyle w:val="BodyText"/>
      </w:pPr>
      <w:r>
        <w:t xml:space="preserve">Далее был указан путь для установки программного обеспечения. По умолчанию был выбран каталог, который обеспечивает стандартное расположение программ в операционной системе Windows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003"/>
          <w:p>
            <w:pPr>
              <w:pStyle w:val="Compact"/>
              <w:jc w:val="center"/>
            </w:pPr>
            <w:r>
              <w:drawing>
                <wp:inline>
                  <wp:extent cx="3733800" cy="2880871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0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Выбор папки для установки GNS3.</w:t>
            </w:r>
          </w:p>
          <w:bookmarkEnd w:id="33"/>
        </w:tc>
      </w:tr>
    </w:tbl>
    <w:p>
      <w:pPr>
        <w:pStyle w:val="BodyText"/>
      </w:pPr>
      <w:r>
        <w:t xml:space="preserve">На следующем этапе потребовалось выбрать тип виртуальной машины для работы с GNS3. В соответствии с рекомендациями методички был выбран VirtualBox как наиболее стабильный и хорошо поддерживаемый вариант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4"/>
          <w:p>
            <w:pPr>
              <w:pStyle w:val="Compact"/>
              <w:jc w:val="center"/>
            </w:pPr>
            <w:r>
              <w:drawing>
                <wp:inline>
                  <wp:extent cx="3733800" cy="2916658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16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Выбор типа виртуальной машины для GNS3.</w:t>
            </w:r>
          </w:p>
          <w:bookmarkEnd w:id="37"/>
        </w:tc>
      </w:tr>
    </w:tbl>
    <w:p>
      <w:pPr>
        <w:pStyle w:val="BodyText"/>
      </w:pPr>
      <w:r>
        <w:t xml:space="preserve">После завершения установки появилось окно с предложением запустить GNS3 сразу после установки. В соответствии с инструкциями галочка была снята, чтобы продолжить настройку системы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005"/>
          <w:p>
            <w:pPr>
              <w:pStyle w:val="Compact"/>
              <w:jc w:val="center"/>
            </w:pPr>
            <w:r>
              <w:drawing>
                <wp:inline>
                  <wp:extent cx="3733800" cy="2882757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2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Завершение установки GNS3.</w:t>
            </w:r>
          </w:p>
          <w:bookmarkEnd w:id="41"/>
        </w:tc>
      </w:tr>
    </w:tbl>
    <w:bookmarkEnd w:id="42"/>
    <w:bookmarkStart w:id="67" w:name="установка-gns3-vm-для-virtualbox"/>
    <w:p>
      <w:pPr>
        <w:pStyle w:val="Heading3"/>
      </w:pPr>
      <w:r>
        <w:t xml:space="preserve">3.1.2 Установка GNS3 VM для VirtualBox</w:t>
      </w:r>
    </w:p>
    <w:p>
      <w:pPr>
        <w:pStyle w:val="FirstParagraph"/>
      </w:pPr>
      <w:r>
        <w:t xml:space="preserve">Для работы GNS3 требуется виртуальная машина, которая будет выполнять роль сервера. Были загружены соответствующие файлы виртуальной машины для различных платформ виртуализации, включая версию для VirtualBox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2049109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49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Файлы для загрузки GNS3 VM.</w:t>
            </w:r>
          </w:p>
          <w:bookmarkEnd w:id="46"/>
        </w:tc>
      </w:tr>
    </w:tbl>
    <w:p>
      <w:pPr>
        <w:pStyle w:val="BodyText"/>
      </w:pPr>
      <w:r>
        <w:t xml:space="preserve">Загруженный архив с образом виртуальной машины был распакован в отдельный каталог. Файл GNS3 VM.ova готов к импорту в VirtualBox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486034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860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Распакованный образ GNS3 VM.</w:t>
            </w:r>
          </w:p>
          <w:bookmarkEnd w:id="50"/>
        </w:tc>
      </w:tr>
    </w:tbl>
    <w:p>
      <w:pPr>
        <w:pStyle w:val="BodyText"/>
      </w:pPr>
      <w:r>
        <w:t xml:space="preserve">Запущен VirtualBox и через меню Файл → Импорт конфигураций начат процесс импорта виртуальной машины. Указан путь к распакованному файлу GNS3 VM.ova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1844787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44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Импорт виртуальной машины в VirtualBox.</w:t>
            </w:r>
          </w:p>
          <w:bookmarkEnd w:id="54"/>
        </w:tc>
      </w:tr>
    </w:tbl>
    <w:p>
      <w:pPr>
        <w:pStyle w:val="BodyText"/>
      </w:pPr>
      <w:r>
        <w:t xml:space="preserve">После импорта виртуальной машины потребовалось настроить её параметры. В разделе Система проверены настройки процессора и памяти. Минимальные требования составляют 2 ГБ оперативной памяти и 2 процессора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2091727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91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Настройки системы GNS3 VM.</w:t>
            </w:r>
          </w:p>
          <w:bookmarkEnd w:id="58"/>
        </w:tc>
      </w:tr>
    </w:tbl>
    <w:p>
      <w:pPr>
        <w:pStyle w:val="BodyText"/>
      </w:pPr>
      <w:r>
        <w:t xml:space="preserve">Особое внимание уделено настройке вложенной виртуализации. В графическом интерфейсе отмечен флажок</w:t>
      </w:r>
      <w:r>
        <w:t xml:space="preserve"> </w:t>
      </w:r>
      <w:r>
        <w:t xml:space="preserve">“Включить Nested VT-x/AMD-V”</w:t>
      </w:r>
      <w:r>
        <w:t xml:space="preserve">, что необходимо для корректной работы эмуляции устройств внутри GNS3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2113471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13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Настройка вложенной виртуализации.</w:t>
            </w:r>
          </w:p>
          <w:bookmarkEnd w:id="62"/>
        </w:tc>
      </w:tr>
    </w:tbl>
    <w:p>
      <w:pPr>
        <w:pStyle w:val="BodyText"/>
      </w:pPr>
      <w:r>
        <w:t xml:space="preserve">В разделе сетевых настроек адаптер 1 настроен в режиме</w:t>
      </w:r>
      <w:r>
        <w:t xml:space="preserve"> </w:t>
      </w:r>
      <w:r>
        <w:t xml:space="preserve">“Виртуальный адаптер хоста”</w:t>
      </w:r>
      <w:r>
        <w:t xml:space="preserve">. Это позволяет виртуальной машине взаимодействовать с хост-системой и другими виртуальными устройствами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2096928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96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Настройка сетевого адаптера GNS3 VM.</w:t>
            </w:r>
          </w:p>
          <w:bookmarkEnd w:id="66"/>
        </w:tc>
      </w:tr>
    </w:tbl>
    <w:bookmarkEnd w:id="67"/>
    <w:bookmarkStart w:id="88" w:name="запуск-экземпляра-gns3-в-virtualbox"/>
    <w:p>
      <w:pPr>
        <w:pStyle w:val="Heading3"/>
      </w:pPr>
      <w:r>
        <w:t xml:space="preserve">3.1.3 Запуск экземпляра GNS3 в VirtualBox</w:t>
      </w:r>
    </w:p>
    <w:p>
      <w:pPr>
        <w:pStyle w:val="FirstParagraph"/>
      </w:pPr>
      <w:r>
        <w:t xml:space="preserve">После завершения настройки виртуальная машина GNS3 VM успешно запущена в VirtualBox. В окне виртуальной машины отображается информация о версиях компонентов, IP-адресе и порте для подключения, а также учетные данные для доступа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3733800" cy="2146472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46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Запущенная GNS3 VM в VirtualBox.</w:t>
            </w:r>
          </w:p>
          <w:bookmarkEnd w:id="71"/>
        </w:tc>
      </w:tr>
    </w:tbl>
    <w:p>
      <w:pPr>
        <w:pStyle w:val="BodyText"/>
      </w:pPr>
      <w:r>
        <w:t xml:space="preserve">При первом запуске GNS3 запускается мастер настройки. Выбран вариант подключения к удаленному контроллеру, так как серверная часть работает на виртуальной машине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3733800" cy="298404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8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Выбор типа подключения к контроллеру.</w:t>
            </w:r>
          </w:p>
          <w:bookmarkEnd w:id="75"/>
        </w:tc>
      </w:tr>
    </w:tbl>
    <w:p>
      <w:pPr>
        <w:pStyle w:val="BodyText"/>
      </w:pPr>
      <w:r>
        <w:t xml:space="preserve">В настройках удаленного контроллера указан IP-адрес 192.168.56.101 и порт 80, которые соответствуют параметрам, отображаемым в запущенной GNS3 VM. В качестве учетных данных использованы стандартные admin/admin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4"/>
          <w:p>
            <w:pPr>
              <w:pStyle w:val="Compact"/>
              <w:jc w:val="center"/>
            </w:pPr>
            <w:r>
              <w:drawing>
                <wp:inline>
                  <wp:extent cx="3733800" cy="2963095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6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Настройка параметров удаленного контроллера.</w:t>
            </w:r>
          </w:p>
          <w:bookmarkEnd w:id="79"/>
        </w:tc>
      </w:tr>
    </w:tbl>
    <w:p>
      <w:pPr>
        <w:pStyle w:val="BodyText"/>
      </w:pPr>
      <w:r>
        <w:t xml:space="preserve">После успешного подключения к контроллеру отображается сводная информация о настройках. Подтверждены параметры подключения: тип - удаленный, хост - 192.168.56.101, порт - 80, пользователь - admin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5"/>
          <w:p>
            <w:pPr>
              <w:pStyle w:val="Compact"/>
              <w:jc w:val="center"/>
            </w:pPr>
            <w:r>
              <w:drawing>
                <wp:inline>
                  <wp:extent cx="3733800" cy="2964637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64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Завершение настройки подключения к контроллеру.</w:t>
            </w:r>
          </w:p>
          <w:bookmarkEnd w:id="83"/>
        </w:tc>
      </w:tr>
    </w:tbl>
    <w:p>
      <w:pPr>
        <w:pStyle w:val="BodyText"/>
      </w:pPr>
      <w:r>
        <w:t xml:space="preserve">После завершения настройки открывается основной интерфейс GNS3. В левой части расположена панель устройств, в центре - рабочая область для построения топологий, внизу - консоль управления и сводная информация о топологии и серверах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6"/>
          <w:p>
            <w:pPr>
              <w:pStyle w:val="Compact"/>
              <w:jc w:val="center"/>
            </w:pPr>
            <w:r>
              <w:drawing>
                <wp:inline>
                  <wp:extent cx="3733800" cy="2001083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01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Основной интерфейс GNS3.</w:t>
            </w:r>
          </w:p>
          <w:bookmarkEnd w:id="87"/>
        </w:tc>
      </w:tr>
    </w:tbl>
    <w:bookmarkEnd w:id="88"/>
    <w:bookmarkStart w:id="93" w:name="выключение-gns3"/>
    <w:p>
      <w:pPr>
        <w:pStyle w:val="Heading3"/>
      </w:pPr>
      <w:r>
        <w:t xml:space="preserve">3.1.4 Выключение GNS3</w:t>
      </w:r>
    </w:p>
    <w:p>
      <w:pPr>
        <w:pStyle w:val="FirstParagraph"/>
      </w:pPr>
      <w:r>
        <w:t xml:space="preserve">В меню File доступны основные операции с проектами, включая создание новых проектов, импорт устройств и управление шаблонами. Выключим GNS3 через меню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017"/>
          <w:p>
            <w:pPr>
              <w:pStyle w:val="Compact"/>
              <w:jc w:val="center"/>
            </w:pPr>
            <w:r>
              <w:drawing>
                <wp:inline>
                  <wp:extent cx="1459966" cy="1690487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966" cy="1690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Меню файловых операций GNS3. Выключение GNS3 через меню</w:t>
            </w:r>
          </w:p>
          <w:bookmarkEnd w:id="92"/>
        </w:tc>
      </w:tr>
    </w:tbl>
    <w:bookmarkEnd w:id="93"/>
    <w:bookmarkEnd w:id="94"/>
    <w:bookmarkStart w:id="181" w:name="подключение-образа-оборудования-в-gns3"/>
    <w:p>
      <w:pPr>
        <w:pStyle w:val="Heading2"/>
      </w:pPr>
      <w:r>
        <w:t xml:space="preserve">3.2 Подключение образа оборудования в GNS3</w:t>
      </w:r>
    </w:p>
    <w:bookmarkStart w:id="131" w:name="добавление-образа-маршрутизатора-frr"/>
    <w:p>
      <w:pPr>
        <w:pStyle w:val="Heading3"/>
      </w:pPr>
      <w:r>
        <w:t xml:space="preserve">3.2.1 Добавление образа маршрутизатора FRR</w:t>
      </w:r>
    </w:p>
    <w:p>
      <w:pPr>
        <w:pStyle w:val="FirstParagraph"/>
      </w:pPr>
      <w:r>
        <w:t xml:space="preserve">Для добавления нового устройства выбран пункт меню New template. Предложены три варианта создания шаблона: установка с сервера GNS3, импорт файла appliance или ручное создание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8"/>
          <w:p>
            <w:pPr>
              <w:pStyle w:val="Compact"/>
              <w:jc w:val="center"/>
            </w:pPr>
            <w:r>
              <w:drawing>
                <wp:inline>
                  <wp:extent cx="3733800" cy="2003170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03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Выбор способа создания нового шаблона.</w:t>
            </w:r>
          </w:p>
          <w:bookmarkEnd w:id="98"/>
        </w:tc>
      </w:tr>
    </w:tbl>
    <w:p>
      <w:pPr>
        <w:pStyle w:val="BodyText"/>
      </w:pPr>
      <w:r>
        <w:t xml:space="preserve">Выбран рекомендуемый вариант - установка устройства с сервера GNS3. Это обеспечивает автоматическую загрузку актуальных версий и корректную настройку параметров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19"/>
          <w:p>
            <w:pPr>
              <w:pStyle w:val="Compact"/>
              <w:jc w:val="center"/>
            </w:pPr>
            <w:r>
              <w:drawing>
                <wp:inline>
                  <wp:extent cx="3733800" cy="2639767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39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Выбор источника для установки устройства.</w:t>
            </w:r>
          </w:p>
          <w:bookmarkEnd w:id="102"/>
        </w:tc>
      </w:tr>
    </w:tbl>
    <w:p>
      <w:pPr>
        <w:pStyle w:val="BodyText"/>
      </w:pPr>
      <w:r>
        <w:t xml:space="preserve">В списке доступных устройств выбран маршрутизатор FRR от FRRouting Project. Данное программное обеспечение предоставляет полнофункциональную маршрутизацию с поддержкой различных протоколов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0"/>
          <w:p>
            <w:pPr>
              <w:pStyle w:val="Compact"/>
              <w:jc w:val="center"/>
            </w:pPr>
            <w:r>
              <w:drawing>
                <wp:inline>
                  <wp:extent cx="3733800" cy="2647376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47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Выбор образа FRR из списка доступных устройств.</w:t>
            </w:r>
          </w:p>
          <w:bookmarkEnd w:id="106"/>
        </w:tc>
      </w:tr>
    </w:tbl>
    <w:p>
      <w:pPr>
        <w:pStyle w:val="BodyText"/>
      </w:pPr>
      <w:r>
        <w:t xml:space="preserve">Для установки выбран основной сервер, на котором работает GNS3 VM. Это обеспечивает оптимальную производительность и совместимость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1"/>
          <w:p>
            <w:pPr>
              <w:pStyle w:val="Compact"/>
              <w:jc w:val="center"/>
            </w:pPr>
            <w:r>
              <w:drawing>
                <wp:inline>
                  <wp:extent cx="3733800" cy="2384046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84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Выбор сервера для установки устройства FRR.</w:t>
            </w:r>
          </w:p>
          <w:bookmarkEnd w:id="110"/>
        </w:tc>
      </w:tr>
    </w:tbl>
    <w:p>
      <w:pPr>
        <w:pStyle w:val="BodyText"/>
      </w:pPr>
      <w:r>
        <w:t xml:space="preserve">В списке доступных версий FRR отображены различные варианты. Все версии помечены как отсутствующие, что означает необходимость загрузки соответствующих образов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2"/>
          <w:p>
            <w:pPr>
              <w:pStyle w:val="Compact"/>
              <w:jc w:val="center"/>
            </w:pPr>
            <w:r>
              <w:drawing>
                <wp:inline>
                  <wp:extent cx="3733800" cy="2430832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30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Выбор версии FRR для установки.</w:t>
            </w:r>
          </w:p>
          <w:bookmarkEnd w:id="114"/>
        </w:tc>
      </w:tr>
    </w:tbl>
    <w:p>
      <w:pPr>
        <w:pStyle w:val="BodyText"/>
      </w:pPr>
      <w:r>
        <w:t xml:space="preserve">После завершения установки отображена информация об использовании устройства FRR. Указаны учетные данные по умолчанию: пользователь root с паролем root, а также команда Vtysh для доступа к интерфейсу маршрутизации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3"/>
          <w:p>
            <w:pPr>
              <w:pStyle w:val="Compact"/>
              <w:jc w:val="center"/>
            </w:pPr>
            <w:r>
              <w:drawing>
                <wp:inline>
                  <wp:extent cx="3733800" cy="2374655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7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Инструкция по использованию FRR после установки.</w:t>
            </w:r>
          </w:p>
          <w:bookmarkEnd w:id="118"/>
        </w:tc>
      </w:tr>
    </w:tbl>
    <w:p>
      <w:pPr>
        <w:pStyle w:val="BodyText"/>
      </w:pPr>
      <w:r>
        <w:t xml:space="preserve">В списке маршрутизаторов появилось новое устройство FRR. Для его настройки доступны различные действия, включая настройку шаблона и удаление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4"/>
          <w:p>
            <w:pPr>
              <w:pStyle w:val="Compact"/>
              <w:jc w:val="center"/>
            </w:pPr>
            <w:r>
              <w:drawing>
                <wp:inline>
                  <wp:extent cx="3733800" cy="1671546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71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Добавленный образ FRR в списке маршрутизаторов.</w:t>
            </w:r>
          </w:p>
          <w:bookmarkEnd w:id="122"/>
        </w:tc>
      </w:tr>
    </w:tbl>
    <w:p>
      <w:pPr>
        <w:pStyle w:val="BodyText"/>
      </w:pPr>
      <w:r>
        <w:t xml:space="preserve">Открыт диалог настройки шаблона FRR. На вкладке General settings установлены основные параметры: имя шаблона, объем оперативной памяти (256 МБ), количество виртуальных процессоров (1), тип платформы и приоритет загрузки. Важной настройкой является опция</w:t>
      </w:r>
      <w:r>
        <w:t xml:space="preserve"> </w:t>
      </w:r>
      <w:r>
        <w:t xml:space="preserve">“Send the shutdown signal (ACPI)”</w:t>
      </w:r>
      <w:r>
        <w:t xml:space="preserve"> </w:t>
      </w:r>
      <w:r>
        <w:t xml:space="preserve">при закрытии, что обеспечивает корректное завершение работы устройства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5"/>
          <w:p>
            <w:pPr>
              <w:pStyle w:val="Compact"/>
              <w:jc w:val="center"/>
            </w:pPr>
            <w:r>
              <w:drawing>
                <wp:inline>
                  <wp:extent cx="3733800" cy="4993318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93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Общие настройки шаблона FRR.</w:t>
            </w:r>
          </w:p>
          <w:bookmarkEnd w:id="126"/>
        </w:tc>
      </w:tr>
    </w:tbl>
    <w:p>
      <w:pPr>
        <w:pStyle w:val="BodyText"/>
      </w:pPr>
      <w:r>
        <w:t xml:space="preserve">На вкладке HDD указан используемый образ диска frr-8.2.2.qcow2. Активирована опция автоматического создания диска конфигурации на HDD, что позволяет сохранять настройки устройства между сеансами работы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6"/>
          <w:p>
            <w:pPr>
              <w:pStyle w:val="Compact"/>
              <w:jc w:val="center"/>
            </w:pPr>
            <w:r>
              <w:drawing>
                <wp:inline>
                  <wp:extent cx="3733800" cy="4969904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69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Настройки дисков шаблона FRR.</w:t>
            </w:r>
          </w:p>
          <w:bookmarkEnd w:id="130"/>
        </w:tc>
      </w:tr>
    </w:tbl>
    <w:bookmarkEnd w:id="131"/>
    <w:bookmarkStart w:id="180" w:name="добавление-образа-маршрутизатора-vyos"/>
    <w:p>
      <w:pPr>
        <w:pStyle w:val="Heading3"/>
      </w:pPr>
      <w:r>
        <w:t xml:space="preserve">3.2.2 Добавление образа маршрутизатора VyOS</w:t>
      </w:r>
    </w:p>
    <w:p>
      <w:pPr>
        <w:pStyle w:val="FirstParagraph"/>
      </w:pPr>
      <w:r>
        <w:t xml:space="preserve">Аналогично процедуре с FRR, начат процесс добавления нового шаблона для маршрутизатора VyOS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5" w:name="fig-027"/>
          <w:p>
            <w:pPr>
              <w:pStyle w:val="Compact"/>
              <w:jc w:val="center"/>
            </w:pPr>
            <w:r>
              <w:drawing>
                <wp:inline>
                  <wp:extent cx="3733800" cy="2672269"/>
                  <wp:effectExtent b="0" l="0" r="0" t="0"/>
                  <wp:docPr descr="" title="" id="133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72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Создание нового шаблона для VyOS.</w:t>
            </w:r>
          </w:p>
          <w:bookmarkEnd w:id="135"/>
        </w:tc>
      </w:tr>
    </w:tbl>
    <w:p>
      <w:pPr>
        <w:pStyle w:val="BodyText"/>
      </w:pPr>
      <w:r>
        <w:t xml:space="preserve">В списке доступных устройств выбран VyOS Universal Router от VyOS Inc. Данная платформа маршрутизации основана на Debian и предоставляет богатый функционал для построения сетевой инфраструктуры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9" w:name="fig-028"/>
          <w:p>
            <w:pPr>
              <w:pStyle w:val="Compact"/>
              <w:jc w:val="center"/>
            </w:pPr>
            <w:r>
              <w:drawing>
                <wp:inline>
                  <wp:extent cx="3733800" cy="2631753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31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Выбор образа VyOS из списка доступных устройств.</w:t>
            </w:r>
          </w:p>
          <w:bookmarkEnd w:id="139"/>
        </w:tc>
      </w:tr>
    </w:tbl>
    <w:p>
      <w:pPr>
        <w:pStyle w:val="BodyText"/>
      </w:pPr>
      <w:r>
        <w:t xml:space="preserve">Для установки VyOS также выбран основной сервер, что обеспечивает единообразие конфигурации и упрощает управление (</w:t>
      </w:r>
      <w:hyperlink w:anchor="fig-029">
        <w:r>
          <w:rPr>
            <w:rStyle w:val="Hyperlink"/>
          </w:rPr>
          <w:t xml:space="preserve">рис. 29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3" w:name="fig-029"/>
          <w:p>
            <w:pPr>
              <w:pStyle w:val="Compact"/>
              <w:jc w:val="center"/>
            </w:pPr>
            <w:r>
              <w:drawing>
                <wp:inline>
                  <wp:extent cx="3733800" cy="2406787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06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Выбор сервера для установки устройства VyOS.</w:t>
            </w:r>
          </w:p>
          <w:bookmarkEnd w:id="143"/>
        </w:tc>
      </w:tr>
    </w:tbl>
    <w:p>
      <w:pPr>
        <w:pStyle w:val="BodyText"/>
      </w:pPr>
      <w:r>
        <w:t xml:space="preserve">Со страницы загрузки VyOS доступны различные файлы, включая установочный ISO, образ QCOW2 и файл конфигурации для GNS3. Для использования в GNS3 выбран образ QCOW2 (</w:t>
      </w:r>
      <w:hyperlink w:anchor="fig-030">
        <w:r>
          <w:rPr>
            <w:rStyle w:val="Hyperlink"/>
          </w:rPr>
          <w:t xml:space="preserve">рис. 30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7" w:name="fig-030"/>
          <w:p>
            <w:pPr>
              <w:pStyle w:val="Compact"/>
              <w:jc w:val="center"/>
            </w:pPr>
            <w:r>
              <w:drawing>
                <wp:inline>
                  <wp:extent cx="3733800" cy="2036357"/>
                  <wp:effectExtent b="0" l="0" r="0" t="0"/>
                  <wp:docPr descr="" title="" id="145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36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Страница загрузки VyOS с доступными файлами.</w:t>
            </w:r>
          </w:p>
          <w:bookmarkEnd w:id="147"/>
        </w:tc>
      </w:tr>
    </w:tbl>
    <w:p>
      <w:pPr>
        <w:pStyle w:val="BodyText"/>
      </w:pPr>
      <w:r>
        <w:t xml:space="preserve">Создана новая версия устройства с номером 1.3.3, что соответствует используемому образу VyOS (</w:t>
      </w:r>
      <w:hyperlink w:anchor="fig-031">
        <w:r>
          <w:rPr>
            <w:rStyle w:val="Hyperlink"/>
          </w:rPr>
          <w:t xml:space="preserve">рис. 31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031"/>
          <w:p>
            <w:pPr>
              <w:pStyle w:val="Compact"/>
              <w:jc w:val="center"/>
            </w:pPr>
            <w:r>
              <w:drawing>
                <wp:inline>
                  <wp:extent cx="3434763" cy="1459966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63" cy="1459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Создание новой версии для устройства VyOS.</w:t>
            </w:r>
          </w:p>
          <w:bookmarkEnd w:id="151"/>
        </w:tc>
      </w:tr>
    </w:tbl>
    <w:p>
      <w:pPr>
        <w:pStyle w:val="BodyText"/>
      </w:pPr>
      <w:r>
        <w:t xml:space="preserve">Указано имя файла образа vyos-1.3.3-amd64.qcow2, который будет использоваться для виртуальной машины (</w:t>
      </w:r>
      <w:hyperlink w:anchor="fig-032">
        <w:r>
          <w:rPr>
            <w:rStyle w:val="Hyperlink"/>
          </w:rPr>
          <w:t xml:space="preserve">рис. 32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5" w:name="fig-032"/>
          <w:p>
            <w:pPr>
              <w:pStyle w:val="Compact"/>
              <w:jc w:val="center"/>
            </w:pPr>
            <w:r>
              <w:drawing>
                <wp:inline>
                  <wp:extent cx="1997848" cy="1191025"/>
                  <wp:effectExtent b="0" l="0" r="0" t="0"/>
                  <wp:docPr descr="" title="" id="153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848" cy="11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Указание имени файла образа VyOS.</w:t>
            </w:r>
          </w:p>
          <w:bookmarkEnd w:id="155"/>
        </w:tc>
      </w:tr>
    </w:tbl>
    <w:p>
      <w:pPr>
        <w:pStyle w:val="BodyText"/>
      </w:pPr>
      <w:r>
        <w:t xml:space="preserve">В списке версий VyOS отображены различные доступные варианты. Версия 1.3.3 помечена как готовая к установке, так как соответствующий файл образа найден локально (</w:t>
      </w:r>
      <w:hyperlink w:anchor="fig-033">
        <w:r>
          <w:rPr>
            <w:rStyle w:val="Hyperlink"/>
          </w:rPr>
          <w:t xml:space="preserve">рис. 33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9" w:name="fig-033"/>
          <w:p>
            <w:pPr>
              <w:pStyle w:val="Compact"/>
              <w:jc w:val="center"/>
            </w:pPr>
            <w:r>
              <w:drawing>
                <wp:inline>
                  <wp:extent cx="3733800" cy="3898375"/>
                  <wp:effectExtent b="0" l="0" r="0" t="0"/>
                  <wp:docPr descr="" title="" id="157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89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33: Выбор версии VyOS для установки.</w:t>
            </w:r>
          </w:p>
          <w:bookmarkEnd w:id="159"/>
        </w:tc>
      </w:tr>
    </w:tbl>
    <w:p>
      <w:pPr>
        <w:pStyle w:val="BodyText"/>
      </w:pPr>
      <w:r>
        <w:t xml:space="preserve">После завершения установки отображена информация об использовании устройства VyOS. Указаны учетные данные по умолчанию: пользователь vyos с паролем vyos (</w:t>
      </w:r>
      <w:hyperlink w:anchor="fig-034">
        <w:r>
          <w:rPr>
            <w:rStyle w:val="Hyperlink"/>
          </w:rPr>
          <w:t xml:space="preserve">рис. 34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3" w:name="fig-034"/>
          <w:p>
            <w:pPr>
              <w:pStyle w:val="Compact"/>
              <w:jc w:val="center"/>
            </w:pPr>
            <w:r>
              <w:drawing>
                <wp:inline>
                  <wp:extent cx="3733800" cy="1965157"/>
                  <wp:effectExtent b="0" l="0" r="0" t="0"/>
                  <wp:docPr descr="" title="" id="161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6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34: Инструкция по использованию VyOS после установки.</w:t>
            </w:r>
          </w:p>
          <w:bookmarkEnd w:id="163"/>
        </w:tc>
      </w:tr>
    </w:tbl>
    <w:p>
      <w:pPr>
        <w:pStyle w:val="BodyText"/>
      </w:pPr>
      <w:r>
        <w:t xml:space="preserve">В списке устройств теперь присутствуют оба добавленных маршрутизатора: FRR и VyOS Universal Router, что подтверждает успешное выполнение задачи по импорту образов (</w:t>
      </w:r>
      <w:hyperlink w:anchor="fig-035">
        <w:r>
          <w:rPr>
            <w:rStyle w:val="Hyperlink"/>
          </w:rPr>
          <w:t xml:space="preserve">рис. 35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7" w:name="fig-035"/>
          <w:p>
            <w:pPr>
              <w:pStyle w:val="Compact"/>
              <w:jc w:val="center"/>
            </w:pPr>
            <w:r>
              <w:drawing>
                <wp:inline>
                  <wp:extent cx="3733800" cy="2935454"/>
                  <wp:effectExtent b="0" l="0" r="0" t="0"/>
                  <wp:docPr descr="" title="" id="165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35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35: Список устройств с добавленными FRR и VyOS.</w:t>
            </w:r>
          </w:p>
          <w:bookmarkEnd w:id="167"/>
        </w:tc>
      </w:tr>
    </w:tbl>
    <w:p>
      <w:pPr>
        <w:pStyle w:val="BodyText"/>
      </w:pPr>
      <w:r>
        <w:t xml:space="preserve">Открыт диалог настройки шаблона VyOS. На вкладке General settings установлены параметры: имя шаблона, объем оперативной памяти (2048 МБ), количество виртуальных процессоров (4), что обеспечивает достаточную производительность для маршрутизатора. Также настроен символ устройства для визуального представления в топологии (</w:t>
      </w:r>
      <w:hyperlink w:anchor="fig-036">
        <w:r>
          <w:rPr>
            <w:rStyle w:val="Hyperlink"/>
          </w:rPr>
          <w:t xml:space="preserve">рис. 36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1" w:name="fig-036"/>
          <w:p>
            <w:pPr>
              <w:pStyle w:val="Compact"/>
              <w:jc w:val="center"/>
            </w:pPr>
            <w:r>
              <w:drawing>
                <wp:inline>
                  <wp:extent cx="3733800" cy="4913880"/>
                  <wp:effectExtent b="0" l="0" r="0" t="0"/>
                  <wp:docPr descr="" title="" id="169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1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36: Общие настройки шаблона VyOS.</w:t>
            </w:r>
          </w:p>
          <w:bookmarkEnd w:id="171"/>
        </w:tc>
      </w:tr>
    </w:tbl>
    <w:p>
      <w:pPr>
        <w:pStyle w:val="BodyText"/>
      </w:pPr>
      <w:r>
        <w:t xml:space="preserve">На вкладке HDD указан используемый образ диска vyos-1.3.3-amd64.qcow2 с интерфейсом virtio для лучшей производительности. Активирована опция автоматического создания диска конфигурации (</w:t>
      </w:r>
      <w:hyperlink w:anchor="fig-037">
        <w:r>
          <w:rPr>
            <w:rStyle w:val="Hyperlink"/>
          </w:rPr>
          <w:t xml:space="preserve">рис. 37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5" w:name="fig-037"/>
          <w:p>
            <w:pPr>
              <w:pStyle w:val="Compact"/>
              <w:jc w:val="center"/>
            </w:pPr>
            <w:r>
              <w:drawing>
                <wp:inline>
                  <wp:extent cx="3733800" cy="4982541"/>
                  <wp:effectExtent b="0" l="0" r="0" t="0"/>
                  <wp:docPr descr="" title="" id="173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82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37: Настройки дисков шаблона VyOS.</w:t>
            </w:r>
          </w:p>
          <w:bookmarkEnd w:id="175"/>
        </w:tc>
      </w:tr>
    </w:tbl>
    <w:p>
      <w:pPr>
        <w:pStyle w:val="BodyText"/>
      </w:pPr>
      <w:r>
        <w:t xml:space="preserve">Для улучшения визуального представления в топологии выбран символ маршрутизатора из библиотеки символов GNS3. Это помогает легко идентифицировать устройство при построении сложных сетевых схем (</w:t>
      </w:r>
      <w:hyperlink w:anchor="fig-038">
        <w:r>
          <w:rPr>
            <w:rStyle w:val="Hyperlink"/>
          </w:rPr>
          <w:t xml:space="preserve">рис. 38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9" w:name="fig-038"/>
          <w:p>
            <w:pPr>
              <w:pStyle w:val="Compact"/>
              <w:jc w:val="center"/>
            </w:pPr>
            <w:r>
              <w:drawing>
                <wp:inline>
                  <wp:extent cx="3733800" cy="4964047"/>
                  <wp:effectExtent b="0" l="0" r="0" t="0"/>
                  <wp:docPr descr="" title="" id="177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64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38: Выбор символа для устройства VyOS.</w:t>
            </w:r>
          </w:p>
          <w:bookmarkEnd w:id="179"/>
        </w:tc>
      </w:tr>
    </w:tbl>
    <w:bookmarkEnd w:id="180"/>
    <w:bookmarkEnd w:id="181"/>
    <w:bookmarkEnd w:id="182"/>
    <w:bookmarkStart w:id="183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данной лабораторной работы я установила и настроила GNS3 и сопутсвующее программное обеспечение.</w:t>
      </w:r>
    </w:p>
    <w:bookmarkEnd w:id="1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Бызова Мария Олеговна</dc:creator>
  <dc:language>ru-RU</dc:language>
  <cp:keywords/>
  <dcterms:created xsi:type="dcterms:W3CDTF">2025-10-22T14:57:41Z</dcterms:created>
  <dcterms:modified xsi:type="dcterms:W3CDTF">2025-10-22T14:57:41Z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Подготовка экспериментального стенда GNS3</vt:lpwstr>
  </property>
  <property fmtid="{D5CDD505-2E9C-101B-9397-08002B2CF9AE}" pid="14" name="toc-title">
    <vt:lpwstr>Содержание</vt:lpwstr>
  </property>
</Properties>
</file>