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 w:line="264" w:lineRule="auto"/>
        <w:pBdr>
          <w:bottom w:val="single" w:sz="10" w:space="8" w:color="0057B8"/>
        </w:pBdr>
      </w:pPr>
      <w:r>
        <w:rPr>
          <w:rFonts w:ascii="Calibri" w:hAnsi="Calibri"/>
          <w:b/>
          <w:sz w:val="40"/>
          <w:szCs w:val="40"/>
          <w:color w:val="0057B8"/>
        </w:rPr>
        <w:t xml:space="preserve">Wealth Analyzer — Recent Updates</w:t>
      </w:r>
    </w:p>
    <w:p>
      <w:pPr>
        <w:spacing w:before="0" w:after="240" w:line="264" w:lineRule="auto"/>
      </w:pPr>
      <w:r>
        <w:rPr>
          <w:rFonts w:ascii="Calibri" w:hAnsi="Calibri"/>
          <w:sz w:val="19"/>
          <w:szCs w:val="19"/>
          <w:color w:val="8A8A85"/>
        </w:rPr>
        <w:t xml:space="preserve">Summary of changes made in the last 48 hours  ·  June 28, 2026</w:t>
      </w:r>
    </w:p>
    <w:p>
      <w:pPr>
        <w:spacing w:before="300" w:after="90" w:line="264" w:lineRule="auto"/>
      </w:pPr>
      <w:r>
        <w:rPr>
          <w:rFonts w:ascii="Calibri" w:hAnsi="Calibri"/>
          <w:b/>
          <w:sz w:val="26"/>
          <w:szCs w:val="26"/>
          <w:color w:val="0057B8"/>
        </w:rPr>
        <w:t xml:space="preserve">Tax &amp; estate (country-aware)</w:t>
      </w:r>
    </w:p>
    <w:p>
      <w:pPr>
        <w:spacing w:before="0" w:after="70" w:line="264" w:lineRule="auto"/>
        <w:ind w:left="420" w:hanging="240"/>
      </w:pPr>
      <w:r>
        <w:rPr>
          <w:rFonts w:ascii="Calibri" w:hAnsi="Calibri"/>
          <w:b/>
          <w:sz w:val="21"/>
          <w:szCs w:val="21"/>
          <w:color w:val="0057B8"/>
        </w:rPr>
        <w:t xml:space="preserve">•  </w:t>
      </w:r>
      <w:r>
        <w:rPr>
          <w:rFonts w:ascii="Calibri" w:hAnsi="Calibri"/>
          <w:sz w:val="21"/>
          <w:szCs w:val="21"/>
          <w:color w:val="3D3D3A"/>
        </w:rPr>
        <w:t xml:space="preserve">Estate / inheritance tax modeled for all countries.</w:t>
      </w:r>
    </w:p>
    <w:p>
      <w:pPr>
        <w:spacing w:before="0" w:after="70" w:line="264" w:lineRule="auto"/>
        <w:ind w:left="420" w:hanging="240"/>
      </w:pPr>
      <w:r>
        <w:rPr>
          <w:rFonts w:ascii="Calibri" w:hAnsi="Calibri"/>
          <w:b/>
          <w:sz w:val="21"/>
          <w:szCs w:val="21"/>
          <w:color w:val="0057B8"/>
        </w:rPr>
        <w:t xml:space="preserve">•  </w:t>
      </w:r>
      <w:r>
        <w:rPr>
          <w:rFonts w:ascii="Calibri" w:hAnsi="Calibri"/>
          <w:sz w:val="21"/>
          <w:szCs w:val="21"/>
          <w:color w:val="3D3D3A"/>
        </w:rPr>
        <w:t xml:space="preserve">Required Minimum Withdrawals (RMD / RRIF / minimum pension) per country.</w:t>
      </w:r>
    </w:p>
    <w:p>
      <w:pPr>
        <w:spacing w:before="0" w:after="70" w:line="264" w:lineRule="auto"/>
        <w:ind w:left="420" w:hanging="240"/>
      </w:pPr>
      <w:r>
        <w:rPr>
          <w:rFonts w:ascii="Calibri" w:hAnsi="Calibri"/>
          <w:b/>
          <w:sz w:val="21"/>
          <w:szCs w:val="21"/>
          <w:color w:val="0057B8"/>
        </w:rPr>
        <w:t xml:space="preserve">•  </w:t>
      </w:r>
      <w:r>
        <w:rPr>
          <w:rFonts w:ascii="Calibri" w:hAnsi="Calibri"/>
          <w:sz w:val="21"/>
          <w:szCs w:val="21"/>
          <w:color w:val="3D3D3A"/>
        </w:rPr>
        <w:t xml:space="preserve">Tax-bucket withdrawal-order guidance and Roth-style conversion-window analysis, all countries.</w:t>
      </w:r>
    </w:p>
    <w:p>
      <w:pPr>
        <w:spacing w:before="0" w:after="70" w:line="264" w:lineRule="auto"/>
        <w:ind w:left="420" w:hanging="240"/>
      </w:pPr>
      <w:r>
        <w:rPr>
          <w:rFonts w:ascii="Calibri" w:hAnsi="Calibri"/>
          <w:b/>
          <w:sz w:val="21"/>
          <w:szCs w:val="21"/>
          <w:color w:val="0057B8"/>
        </w:rPr>
        <w:t xml:space="preserve">•  </w:t>
      </w:r>
      <w:r>
        <w:rPr>
          <w:rFonts w:ascii="Calibri" w:hAnsi="Calibri"/>
          <w:sz w:val="21"/>
          <w:szCs w:val="21"/>
          <w:color w:val="3D3D3A"/>
        </w:rPr>
        <w:t xml:space="preserve">Income tax expanded from 18 to 39 countries — national brackets, child / family benefits, and official sources (authored and adversarially verified).</w:t>
      </w:r>
    </w:p>
    <w:p>
      <w:pPr>
        <w:spacing w:before="0" w:after="70" w:line="264" w:lineRule="auto"/>
        <w:ind w:left="420" w:hanging="240"/>
      </w:pPr>
      <w:r>
        <w:rPr>
          <w:rFonts w:ascii="Calibri" w:hAnsi="Calibri"/>
          <w:b/>
          <w:sz w:val="21"/>
          <w:szCs w:val="21"/>
          <w:color w:val="0057B8"/>
        </w:rPr>
        <w:t xml:space="preserve">•  </w:t>
      </w:r>
      <w:r>
        <w:rPr>
          <w:rFonts w:ascii="Calibri" w:hAnsi="Calibri"/>
          <w:sz w:val="21"/>
          <w:szCs w:val="21"/>
          <w:color w:val="3D3D3A"/>
        </w:rPr>
        <w:t xml:space="preserve">Regional / state / municipal tax added for all 39 countries (e.g. Swedish &amp; Danish municipal tax, Italian &amp; Belgian surcharges), with double-count guards for Spain, Norway and Nigeria.</w:t>
      </w:r>
    </w:p>
    <w:p>
      <w:pPr>
        <w:spacing w:before="300" w:after="90" w:line="264" w:lineRule="auto"/>
      </w:pPr>
      <w:r>
        <w:rPr>
          <w:rFonts w:ascii="Calibri" w:hAnsi="Calibri"/>
          <w:b/>
          <w:sz w:val="26"/>
          <w:szCs w:val="26"/>
          <w:color w:val="0057B8"/>
        </w:rPr>
        <w:t xml:space="preserve">Simulation</w:t>
      </w:r>
    </w:p>
    <w:p>
      <w:pPr>
        <w:spacing w:before="0" w:after="70" w:line="264" w:lineRule="auto"/>
        <w:ind w:left="420" w:hanging="240"/>
      </w:pPr>
      <w:r>
        <w:rPr>
          <w:rFonts w:ascii="Calibri" w:hAnsi="Calibri"/>
          <w:b/>
          <w:sz w:val="21"/>
          <w:szCs w:val="21"/>
          <w:color w:val="0057B8"/>
        </w:rPr>
        <w:t xml:space="preserve">•  </w:t>
      </w:r>
      <w:r>
        <w:rPr>
          <w:rFonts w:ascii="Calibri" w:hAnsi="Calibri"/>
          <w:sz w:val="21"/>
          <w:szCs w:val="21"/>
          <w:color w:val="3D3D3A"/>
        </w:rPr>
        <w:t xml:space="preserve">Streamlined the “What could your wealth look like” section into an achievable-lifestyle view plus projected wealth to age 90.</w:t>
      </w:r>
    </w:p>
    <w:p>
      <w:pPr>
        <w:spacing w:before="0" w:after="70" w:line="264" w:lineRule="auto"/>
        <w:ind w:left="420" w:hanging="240"/>
      </w:pPr>
      <w:r>
        <w:rPr>
          <w:rFonts w:ascii="Calibri" w:hAnsi="Calibri"/>
          <w:b/>
          <w:sz w:val="21"/>
          <w:szCs w:val="21"/>
          <w:color w:val="0057B8"/>
        </w:rPr>
        <w:t xml:space="preserve">•  </w:t>
      </w:r>
      <w:r>
        <w:rPr>
          <w:rFonts w:ascii="Calibri" w:hAnsi="Calibri"/>
          <w:sz w:val="21"/>
          <w:szCs w:val="21"/>
          <w:color w:val="3D3D3A"/>
        </w:rPr>
        <w:t xml:space="preserve">Potentially Achievable Annual Lifestyle chart added, then simplified from a candlestick to a clean single-colour bar graph.</w:t>
      </w:r>
    </w:p>
    <w:p>
      <w:pPr>
        <w:spacing w:before="0" w:after="70" w:line="264" w:lineRule="auto"/>
        <w:ind w:left="420" w:hanging="240"/>
      </w:pPr>
      <w:r>
        <w:rPr>
          <w:rFonts w:ascii="Calibri" w:hAnsi="Calibri"/>
          <w:b/>
          <w:sz w:val="21"/>
          <w:szCs w:val="21"/>
          <w:color w:val="0057B8"/>
        </w:rPr>
        <w:t xml:space="preserve">•  </w:t>
      </w:r>
      <w:r>
        <w:rPr>
          <w:rFonts w:ascii="Calibri" w:hAnsi="Calibri"/>
          <w:sz w:val="21"/>
          <w:szCs w:val="21"/>
          <w:color w:val="3D3D3A"/>
        </w:rPr>
        <w:t xml:space="preserve">“Portfolio Returns — Past vs Expected” chart reordered to read 1 → 3 → 5 → 10 years.</w:t>
      </w:r>
    </w:p>
    <w:p>
      <w:pPr>
        <w:spacing w:before="0" w:after="70" w:line="264" w:lineRule="auto"/>
        <w:ind w:left="420" w:hanging="240"/>
      </w:pPr>
      <w:r>
        <w:rPr>
          <w:rFonts w:ascii="Calibri" w:hAnsi="Calibri"/>
          <w:b/>
          <w:sz w:val="21"/>
          <w:szCs w:val="21"/>
          <w:color w:val="0057B8"/>
        </w:rPr>
        <w:t xml:space="preserve">•  </w:t>
      </w:r>
      <w:r>
        <w:rPr>
          <w:rFonts w:ascii="Calibri" w:hAnsi="Calibri"/>
          <w:sz w:val="21"/>
          <w:szCs w:val="21"/>
          <w:color w:val="3D3D3A"/>
        </w:rPr>
        <w:t xml:space="preserve">Removed the “apply proposals to the simulation?” prompt banner.</w:t>
      </w:r>
    </w:p>
    <w:p>
      <w:pPr>
        <w:spacing w:before="0" w:after="70" w:line="264" w:lineRule="auto"/>
        <w:ind w:left="420" w:hanging="240"/>
      </w:pPr>
      <w:r>
        <w:rPr>
          <w:rFonts w:ascii="Calibri" w:hAnsi="Calibri"/>
          <w:b/>
          <w:sz w:val="21"/>
          <w:szCs w:val="21"/>
          <w:color w:val="0057B8"/>
        </w:rPr>
        <w:t xml:space="preserve">•  </w:t>
      </w:r>
      <w:r>
        <w:rPr>
          <w:rFonts w:ascii="Calibri" w:hAnsi="Calibri"/>
          <w:sz w:val="21"/>
          <w:szCs w:val="21"/>
          <w:color w:val="3D3D3A"/>
        </w:rPr>
        <w:t xml:space="preserve">Made the Monte Carlo settings expandable.</w:t>
      </w:r>
    </w:p>
    <w:p>
      <w:pPr>
        <w:spacing w:before="300" w:after="90" w:line="264" w:lineRule="auto"/>
      </w:pPr>
      <w:r>
        <w:rPr>
          <w:rFonts w:ascii="Calibri" w:hAnsi="Calibri"/>
          <w:b/>
          <w:sz w:val="26"/>
          <w:szCs w:val="26"/>
          <w:color w:val="0057B8"/>
        </w:rPr>
        <w:t xml:space="preserve">Portfolio &amp; comparison</w:t>
      </w:r>
    </w:p>
    <w:p>
      <w:pPr>
        <w:spacing w:before="0" w:after="70" w:line="264" w:lineRule="auto"/>
        <w:ind w:left="420" w:hanging="240"/>
      </w:pPr>
      <w:r>
        <w:rPr>
          <w:rFonts w:ascii="Calibri" w:hAnsi="Calibri"/>
          <w:b/>
          <w:sz w:val="21"/>
          <w:szCs w:val="21"/>
          <w:color w:val="0057B8"/>
        </w:rPr>
        <w:t xml:space="preserve">•  </w:t>
      </w:r>
      <w:r>
        <w:rPr>
          <w:rFonts w:ascii="Calibri" w:hAnsi="Calibri"/>
          <w:sz w:val="21"/>
          <w:szCs w:val="21"/>
          <w:color w:val="3D3D3A"/>
        </w:rPr>
        <w:t xml:space="preserve">Renamed the Portfolio tab to “Current Portfolio”; moved Equity Compensation in with Assets (collapsible) and swapped it with Investment Parameters.</w:t>
      </w:r>
    </w:p>
    <w:p>
      <w:pPr>
        <w:spacing w:before="0" w:after="70" w:line="264" w:lineRule="auto"/>
        <w:ind w:left="420" w:hanging="240"/>
      </w:pPr>
      <w:r>
        <w:rPr>
          <w:rFonts w:ascii="Calibri" w:hAnsi="Calibri"/>
          <w:b/>
          <w:sz w:val="21"/>
          <w:szCs w:val="21"/>
          <w:color w:val="0057B8"/>
        </w:rPr>
        <w:t xml:space="preserve">•  </w:t>
      </w:r>
      <w:r>
        <w:rPr>
          <w:rFonts w:ascii="Calibri" w:hAnsi="Calibri"/>
          <w:sz w:val="21"/>
          <w:szCs w:val="21"/>
          <w:color w:val="3D3D3A"/>
        </w:rPr>
        <w:t xml:space="preserve">New unified “Portfolio Returns — Past vs Expected” panel, replacing two confusing boxes, and fixed the annualized-return / variance mismatch.</w:t>
      </w:r>
    </w:p>
    <w:p>
      <w:pPr>
        <w:spacing w:before="0" w:after="70" w:line="264" w:lineRule="auto"/>
        <w:ind w:left="420" w:hanging="240"/>
      </w:pPr>
      <w:r>
        <w:rPr>
          <w:rFonts w:ascii="Calibri" w:hAnsi="Calibri"/>
          <w:b/>
          <w:sz w:val="21"/>
          <w:szCs w:val="21"/>
          <w:color w:val="0057B8"/>
        </w:rPr>
        <w:t xml:space="preserve">•  </w:t>
      </w:r>
      <w:r>
        <w:rPr>
          <w:rFonts w:ascii="Calibri" w:hAnsi="Calibri"/>
          <w:sz w:val="21"/>
          <w:szCs w:val="21"/>
          <w:color w:val="3D3D3A"/>
        </w:rPr>
        <w:t xml:space="preserve">Added a deterministic CSV / OFX / QFX statement importer.</w:t>
      </w:r>
    </w:p>
    <w:p>
      <w:pPr>
        <w:spacing w:before="300" w:after="90" w:line="264" w:lineRule="auto"/>
      </w:pPr>
      <w:r>
        <w:rPr>
          <w:rFonts w:ascii="Calibri" w:hAnsi="Calibri"/>
          <w:b/>
          <w:sz w:val="26"/>
          <w:szCs w:val="26"/>
          <w:color w:val="0057B8"/>
        </w:rPr>
        <w:t xml:space="preserve">PDF report</w:t>
      </w:r>
    </w:p>
    <w:p>
      <w:pPr>
        <w:spacing w:before="0" w:after="70" w:line="264" w:lineRule="auto"/>
        <w:ind w:left="420" w:hanging="240"/>
      </w:pPr>
      <w:r>
        <w:rPr>
          <w:rFonts w:ascii="Calibri" w:hAnsi="Calibri"/>
          <w:b/>
          <w:sz w:val="21"/>
          <w:szCs w:val="21"/>
          <w:color w:val="0057B8"/>
        </w:rPr>
        <w:t xml:space="preserve">•  </w:t>
      </w:r>
      <w:r>
        <w:rPr>
          <w:rFonts w:ascii="Calibri" w:hAnsi="Calibri"/>
          <w:sz w:val="21"/>
          <w:szCs w:val="21"/>
          <w:color w:val="3D3D3A"/>
        </w:rPr>
        <w:t xml:space="preserve">Institutional cover (original PWI emblem, brand-blue title) and landscape orientation by default with a toggle.</w:t>
      </w:r>
    </w:p>
    <w:p>
      <w:pPr>
        <w:spacing w:before="0" w:after="70" w:line="264" w:lineRule="auto"/>
        <w:ind w:left="420" w:hanging="240"/>
      </w:pPr>
      <w:r>
        <w:rPr>
          <w:rFonts w:ascii="Calibri" w:hAnsi="Calibri"/>
          <w:b/>
          <w:sz w:val="21"/>
          <w:szCs w:val="21"/>
          <w:color w:val="0057B8"/>
        </w:rPr>
        <w:t xml:space="preserve">•  </w:t>
      </w:r>
      <w:r>
        <w:rPr>
          <w:rFonts w:ascii="Calibri" w:hAnsi="Calibri"/>
          <w:sz w:val="21"/>
          <w:szCs w:val="21"/>
          <w:color w:val="3D3D3A"/>
        </w:rPr>
        <w:t xml:space="preserve">Goal Funding Status page (chart + funding cards), a Monte Carlo fan chart, and clean white backgrounds.</w:t>
      </w:r>
    </w:p>
    <w:p>
      <w:pPr>
        <w:spacing w:before="0" w:after="70" w:line="264" w:lineRule="auto"/>
        <w:ind w:left="420" w:hanging="240"/>
      </w:pPr>
      <w:r>
        <w:rPr>
          <w:rFonts w:ascii="Calibri" w:hAnsi="Calibri"/>
          <w:b/>
          <w:sz w:val="21"/>
          <w:szCs w:val="21"/>
          <w:color w:val="0057B8"/>
        </w:rPr>
        <w:t xml:space="preserve">•  </w:t>
      </w:r>
      <w:r>
        <w:rPr>
          <w:rFonts w:ascii="Calibri" w:hAnsi="Calibri"/>
          <w:sz w:val="21"/>
          <w:szCs w:val="21"/>
          <w:color w:val="3D3D3A"/>
        </w:rPr>
        <w:t xml:space="preserve">Chart parity — the simulation charts (wealth-to-90 line, lifestyle bars) now render in the report; cleaner one-section-per-page layout.</w:t>
      </w:r>
    </w:p>
    <w:p>
      <w:pPr>
        <w:spacing w:before="300" w:after="90" w:line="264" w:lineRule="auto"/>
      </w:pPr>
      <w:r>
        <w:rPr>
          <w:rFonts w:ascii="Calibri" w:hAnsi="Calibri"/>
          <w:b/>
          <w:sz w:val="26"/>
          <w:szCs w:val="26"/>
          <w:color w:val="0057B8"/>
        </w:rPr>
        <w:t xml:space="preserve">Admin console</w:t>
      </w:r>
    </w:p>
    <w:p>
      <w:pPr>
        <w:spacing w:before="0" w:after="70" w:line="264" w:lineRule="auto"/>
        <w:ind w:left="420" w:hanging="240"/>
      </w:pPr>
      <w:r>
        <w:rPr>
          <w:rFonts w:ascii="Calibri" w:hAnsi="Calibri"/>
          <w:b/>
          <w:sz w:val="21"/>
          <w:szCs w:val="21"/>
          <w:color w:val="0057B8"/>
        </w:rPr>
        <w:t xml:space="preserve">•  </w:t>
      </w:r>
      <w:r>
        <w:rPr>
          <w:rFonts w:ascii="Calibri" w:hAnsi="Calibri"/>
          <w:sz w:val="21"/>
          <w:szCs w:val="21"/>
          <w:color w:val="3D3D3A"/>
        </w:rPr>
        <w:t xml:space="preserve">Sidebar regrouped into clear sections; the dashboard provider list became collapsible dropdowns with more breathing room.</w:t>
      </w:r>
    </w:p>
    <w:p>
      <w:pPr>
        <w:spacing w:before="0" w:after="70" w:line="264" w:lineRule="auto"/>
        <w:ind w:left="420" w:hanging="240"/>
      </w:pPr>
      <w:r>
        <w:rPr>
          <w:rFonts w:ascii="Calibri" w:hAnsi="Calibri"/>
          <w:b/>
          <w:sz w:val="21"/>
          <w:szCs w:val="21"/>
          <w:color w:val="0057B8"/>
        </w:rPr>
        <w:t xml:space="preserve">•  </w:t>
      </w:r>
      <w:r>
        <w:rPr>
          <w:rFonts w:ascii="Calibri" w:hAnsi="Calibri"/>
          <w:sz w:val="21"/>
          <w:szCs w:val="21"/>
          <w:color w:val="3D3D3A"/>
        </w:rPr>
        <w:t xml:space="preserve">New Tax Data Accuracy tab and the Tax Database expanded to all 39 countries (federal + sub-national, source links, verification status).</w:t>
      </w:r>
    </w:p>
    <w:p>
      <w:pPr>
        <w:spacing w:before="0" w:after="70" w:line="264" w:lineRule="auto"/>
        <w:ind w:left="420" w:hanging="240"/>
      </w:pPr>
      <w:r>
        <w:rPr>
          <w:rFonts w:ascii="Calibri" w:hAnsi="Calibri"/>
          <w:b/>
          <w:sz w:val="21"/>
          <w:szCs w:val="21"/>
          <w:color w:val="0057B8"/>
        </w:rPr>
        <w:t xml:space="preserve">•  </w:t>
      </w:r>
      <w:r>
        <w:rPr>
          <w:rFonts w:ascii="Calibri" w:hAnsi="Calibri"/>
          <w:sz w:val="21"/>
          <w:szCs w:val="21"/>
          <w:color w:val="3D3D3A"/>
        </w:rPr>
        <w:t xml:space="preserve">Slowed the live-update poller from every 15 seconds to every 15 minutes.</w:t>
      </w:r>
    </w:p>
    <w:p>
      <w:pPr>
        <w:spacing w:before="300" w:after="90" w:line="264" w:lineRule="auto"/>
      </w:pPr>
      <w:r>
        <w:rPr>
          <w:rFonts w:ascii="Calibri" w:hAnsi="Calibri"/>
          <w:b/>
          <w:sz w:val="26"/>
          <w:szCs w:val="26"/>
          <w:color w:val="0057B8"/>
        </w:rPr>
        <w:t xml:space="preserve">AI &amp; data</w:t>
      </w:r>
    </w:p>
    <w:p>
      <w:pPr>
        <w:spacing w:before="0" w:after="70" w:line="264" w:lineRule="auto"/>
        <w:ind w:left="420" w:hanging="240"/>
      </w:pPr>
      <w:r>
        <w:rPr>
          <w:rFonts w:ascii="Calibri" w:hAnsi="Calibri"/>
          <w:b/>
          <w:sz w:val="21"/>
          <w:szCs w:val="21"/>
          <w:color w:val="0057B8"/>
        </w:rPr>
        <w:t xml:space="preserve">•  </w:t>
      </w:r>
      <w:r>
        <w:rPr>
          <w:rFonts w:ascii="Calibri" w:hAnsi="Calibri"/>
          <w:sz w:val="21"/>
          <w:szCs w:val="21"/>
          <w:color w:val="3D3D3A"/>
        </w:rPr>
        <w:t xml:space="preserve">New top-bar “Upload Document” button — the AI Data Agent reads any document and fills the matching fields after review.</w:t>
      </w:r>
    </w:p>
    <w:p>
      <w:pPr>
        <w:spacing w:before="300" w:after="90" w:line="264" w:lineRule="auto"/>
      </w:pPr>
      <w:r>
        <w:rPr>
          <w:rFonts w:ascii="Calibri" w:hAnsi="Calibri"/>
          <w:b/>
          <w:sz w:val="26"/>
          <w:szCs w:val="26"/>
          <w:color w:val="0057B8"/>
        </w:rPr>
        <w:t xml:space="preserve">Security &amp; cleanup</w:t>
      </w:r>
    </w:p>
    <w:p>
      <w:pPr>
        <w:spacing w:before="0" w:after="70" w:line="264" w:lineRule="auto"/>
        <w:ind w:left="420" w:hanging="240"/>
      </w:pPr>
      <w:r>
        <w:rPr>
          <w:rFonts w:ascii="Calibri" w:hAnsi="Calibri"/>
          <w:b/>
          <w:sz w:val="21"/>
          <w:szCs w:val="21"/>
          <w:color w:val="0057B8"/>
        </w:rPr>
        <w:t xml:space="preserve">•  </w:t>
      </w:r>
      <w:r>
        <w:rPr>
          <w:rFonts w:ascii="Calibri" w:hAnsi="Calibri"/>
          <w:sz w:val="21"/>
          <w:szCs w:val="21"/>
          <w:color w:val="3D3D3A"/>
        </w:rPr>
        <w:t xml:space="preserve">Hardened the display renderers against XSS; gitignored confidential / copyrighted reference PDFs; removed dead pre-single-file code.</w:t>
      </w:r>
    </w:p>
    <w:p>
      <w:pPr>
        <w:spacing w:before="280" w:after="120" w:line="264" w:lineRule="auto"/>
      </w:pPr>
      <w:r>
        <w:rPr>
          <w:rFonts w:ascii="Calibri" w:hAnsi="Calibri"/>
          <w:i/>
          <w:sz w:val="18"/>
          <w:szCs w:val="18"/>
          <w:color w:val="8A8A85"/>
        </w:rPr>
        <w:t xml:space="preserve">All changes are on the claude/consolidated branch, pending review and merge.</w:t>
      </w:r>
    </w:p>
    <w:sectPr>
      <w:pgSz w:w="12240" w:h="15840"/>
      <w:pgMar w:top="1320" w:right="1320" w:bottom="1320" w:left="1320" w:header="720" w:footer="720" w:gutter="0"/>
    </w:sectPr>
  </w:body>
</w:document>
</file>