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2B2" w:rsidRPr="000B7F4F" w:rsidRDefault="008132C1" w:rsidP="008132C1">
      <w:pPr>
        <w:spacing w:line="360" w:lineRule="auto"/>
        <w:rPr>
          <w:szCs w:val="24"/>
        </w:rPr>
      </w:pPr>
      <w:bookmarkStart w:id="0" w:name="_GoBack"/>
      <w:r w:rsidRPr="000B7F4F">
        <w:rPr>
          <w:szCs w:val="24"/>
        </w:rPr>
        <w:t>Finally, we tested the system’s ability to determine the user’s preferences and scale the video appropriately when channel bandwidth changes.</w:t>
      </w:r>
      <w:r w:rsidRPr="000B7F4F">
        <w:rPr>
          <w:szCs w:val="24"/>
        </w:rPr>
        <w:t xml:space="preserve"> </w:t>
      </w:r>
      <w:r w:rsidR="00BA2C40" w:rsidRPr="000B7F4F">
        <w:rPr>
          <w:szCs w:val="24"/>
        </w:rPr>
        <w:t>For the purposes of this study, we provided the learning mechanism with an arbitrary training set with the intent to prove the system’s ability to properly learn and make predictions. By using a predefined training set, we know in advance what classes should be predicted in different situations, allowing us to validate the accuracy of the cognitive mechanism</w:t>
      </w:r>
      <w:r w:rsidR="00BC2BEF" w:rsidRPr="000B7F4F">
        <w:rPr>
          <w:szCs w:val="24"/>
        </w:rPr>
        <w:t xml:space="preserve"> by comparing the actual predicted values with the expected values</w:t>
      </w:r>
      <w:r w:rsidR="00BA2C40" w:rsidRPr="000B7F4F">
        <w:rPr>
          <w:szCs w:val="24"/>
        </w:rPr>
        <w:t>. The training set we provided is given in Table 1.</w:t>
      </w:r>
    </w:p>
    <w:tbl>
      <w:tblPr>
        <w:tblW w:w="8100" w:type="dxa"/>
        <w:jc w:val="center"/>
        <w:tblInd w:w="93" w:type="dxa"/>
        <w:tblLook w:val="04A0" w:firstRow="1" w:lastRow="0" w:firstColumn="1" w:lastColumn="0" w:noHBand="0" w:noVBand="1"/>
      </w:tblPr>
      <w:tblGrid>
        <w:gridCol w:w="3580"/>
        <w:gridCol w:w="2380"/>
        <w:gridCol w:w="2140"/>
      </w:tblGrid>
      <w:tr w:rsidR="00BA2C40" w:rsidRPr="00BA2C40" w:rsidTr="00BA2C40">
        <w:trPr>
          <w:trHeight w:val="300"/>
          <w:jc w:val="center"/>
        </w:trPr>
        <w:tc>
          <w:tcPr>
            <w:tcW w:w="3580" w:type="dxa"/>
            <w:tcBorders>
              <w:top w:val="nil"/>
              <w:left w:val="nil"/>
              <w:bottom w:val="single" w:sz="4" w:space="0" w:color="auto"/>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b/>
                <w:bCs/>
                <w:color w:val="000000"/>
                <w:szCs w:val="24"/>
              </w:rPr>
            </w:pPr>
            <w:r w:rsidRPr="00BA2C40">
              <w:rPr>
                <w:rFonts w:ascii="Calibri" w:eastAsia="Times New Roman" w:hAnsi="Calibri" w:cs="Times New Roman"/>
                <w:b/>
                <w:bCs/>
                <w:color w:val="000000"/>
                <w:szCs w:val="24"/>
              </w:rPr>
              <w:t>Channel Bandwidth (Kbps)</w:t>
            </w:r>
          </w:p>
        </w:tc>
        <w:tc>
          <w:tcPr>
            <w:tcW w:w="2380" w:type="dxa"/>
            <w:tcBorders>
              <w:top w:val="nil"/>
              <w:left w:val="nil"/>
              <w:bottom w:val="single" w:sz="4" w:space="0" w:color="auto"/>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b/>
                <w:bCs/>
                <w:color w:val="000000"/>
                <w:szCs w:val="24"/>
              </w:rPr>
            </w:pPr>
            <w:r w:rsidRPr="00BA2C40">
              <w:rPr>
                <w:rFonts w:ascii="Calibri" w:eastAsia="Times New Roman" w:hAnsi="Calibri" w:cs="Times New Roman"/>
                <w:b/>
                <w:bCs/>
                <w:color w:val="000000"/>
                <w:szCs w:val="24"/>
              </w:rPr>
              <w:t>Content Type</w:t>
            </w:r>
          </w:p>
        </w:tc>
        <w:tc>
          <w:tcPr>
            <w:tcW w:w="2140" w:type="dxa"/>
            <w:tcBorders>
              <w:top w:val="nil"/>
              <w:left w:val="nil"/>
              <w:bottom w:val="single" w:sz="4" w:space="0" w:color="auto"/>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b/>
                <w:bCs/>
                <w:color w:val="000000"/>
                <w:szCs w:val="24"/>
              </w:rPr>
            </w:pPr>
            <w:r w:rsidRPr="00BA2C40">
              <w:rPr>
                <w:rFonts w:ascii="Calibri" w:eastAsia="Times New Roman" w:hAnsi="Calibri" w:cs="Times New Roman"/>
                <w:b/>
                <w:bCs/>
                <w:color w:val="000000"/>
                <w:szCs w:val="24"/>
              </w:rPr>
              <w:t>Class Label</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1200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1300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800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2</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500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900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2</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1100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1300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1500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850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2</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500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1200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600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1300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400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800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600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700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1200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500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1200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2000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1300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2</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900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1400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2</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1900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0</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700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3</w:t>
            </w:r>
          </w:p>
        </w:tc>
      </w:tr>
      <w:tr w:rsidR="00BA2C40" w:rsidRPr="00BA2C40" w:rsidTr="00BA2C40">
        <w:trPr>
          <w:trHeight w:val="300"/>
          <w:jc w:val="center"/>
        </w:trPr>
        <w:tc>
          <w:tcPr>
            <w:tcW w:w="3580" w:type="dxa"/>
            <w:tcBorders>
              <w:top w:val="nil"/>
              <w:left w:val="nil"/>
              <w:bottom w:val="nil"/>
              <w:right w:val="single" w:sz="4" w:space="0" w:color="auto"/>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1200</w:t>
            </w:r>
          </w:p>
        </w:tc>
        <w:tc>
          <w:tcPr>
            <w:tcW w:w="2380" w:type="dxa"/>
            <w:tcBorders>
              <w:top w:val="nil"/>
              <w:left w:val="nil"/>
              <w:bottom w:val="nil"/>
              <w:right w:val="single" w:sz="4" w:space="0" w:color="auto"/>
            </w:tcBorders>
            <w:shd w:val="clear" w:color="auto" w:fill="auto"/>
            <w:noWrap/>
            <w:vAlign w:val="bottom"/>
            <w:hideMark/>
          </w:tcPr>
          <w:p w:rsidR="00BA2C40" w:rsidRPr="00BA2C40" w:rsidRDefault="005659A3" w:rsidP="00BA2C40">
            <w:pPr>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BA2C40" w:rsidRPr="00BA2C40" w:rsidRDefault="00BA2C40" w:rsidP="00BA2C40">
            <w:pPr>
              <w:jc w:val="center"/>
              <w:rPr>
                <w:rFonts w:ascii="Calibri" w:eastAsia="Times New Roman" w:hAnsi="Calibri" w:cs="Times New Roman"/>
                <w:color w:val="000000"/>
                <w:szCs w:val="24"/>
              </w:rPr>
            </w:pPr>
            <w:r w:rsidRPr="00BA2C40">
              <w:rPr>
                <w:rFonts w:ascii="Calibri" w:eastAsia="Times New Roman" w:hAnsi="Calibri" w:cs="Times New Roman"/>
                <w:color w:val="000000"/>
                <w:szCs w:val="24"/>
              </w:rPr>
              <w:t>2</w:t>
            </w:r>
          </w:p>
        </w:tc>
      </w:tr>
    </w:tbl>
    <w:p w:rsidR="00BA2C40" w:rsidRPr="000B7F4F" w:rsidRDefault="00BA2C40" w:rsidP="00BA2C40">
      <w:pPr>
        <w:spacing w:line="360" w:lineRule="auto"/>
        <w:jc w:val="center"/>
        <w:rPr>
          <w:b/>
          <w:szCs w:val="24"/>
        </w:rPr>
      </w:pPr>
      <w:r w:rsidRPr="000B7F4F">
        <w:rPr>
          <w:b/>
          <w:szCs w:val="24"/>
        </w:rPr>
        <w:t>Table 1 – Training Set</w:t>
      </w:r>
    </w:p>
    <w:p w:rsidR="00BA2C40" w:rsidRPr="000B7F4F" w:rsidRDefault="00BA2C40" w:rsidP="00BA2C40">
      <w:pPr>
        <w:spacing w:line="360" w:lineRule="auto"/>
        <w:rPr>
          <w:szCs w:val="24"/>
        </w:rPr>
      </w:pPr>
      <w:r w:rsidRPr="000B7F4F">
        <w:rPr>
          <w:szCs w:val="24"/>
        </w:rPr>
        <w:t>The class distribution for this training set is depicted pictorially in Figure 15.</w:t>
      </w:r>
    </w:p>
    <w:p w:rsidR="00BA2C40" w:rsidRPr="000B7F4F" w:rsidRDefault="005659A3" w:rsidP="00BA2C40">
      <w:pPr>
        <w:spacing w:line="360" w:lineRule="auto"/>
        <w:jc w:val="center"/>
        <w:rPr>
          <w:szCs w:val="24"/>
        </w:rPr>
      </w:pPr>
      <w:r w:rsidRPr="000B7F4F">
        <w:rPr>
          <w:noProof/>
          <w:szCs w:val="24"/>
        </w:rPr>
        <w:lastRenderedPageBreak/>
        <w:drawing>
          <wp:inline distT="0" distB="0" distL="0" distR="0" wp14:anchorId="7079886D" wp14:editId="0173AA53">
            <wp:extent cx="5072380" cy="2054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2380" cy="2054225"/>
                    </a:xfrm>
                    <a:prstGeom prst="rect">
                      <a:avLst/>
                    </a:prstGeom>
                    <a:noFill/>
                  </pic:spPr>
                </pic:pic>
              </a:graphicData>
            </a:graphic>
          </wp:inline>
        </w:drawing>
      </w:r>
    </w:p>
    <w:p w:rsidR="008132C1" w:rsidRPr="000B7F4F" w:rsidRDefault="00BA2C40" w:rsidP="008132C1">
      <w:pPr>
        <w:spacing w:line="360" w:lineRule="auto"/>
        <w:jc w:val="center"/>
        <w:rPr>
          <w:szCs w:val="24"/>
        </w:rPr>
      </w:pPr>
      <w:r w:rsidRPr="000B7F4F">
        <w:rPr>
          <w:b/>
          <w:szCs w:val="24"/>
        </w:rPr>
        <w:t>Figure 15 – Class Distribution</w:t>
      </w:r>
    </w:p>
    <w:p w:rsidR="00BA2C40" w:rsidRPr="000B7F4F" w:rsidRDefault="00BA2C40" w:rsidP="00BA2C40">
      <w:pPr>
        <w:spacing w:line="360" w:lineRule="auto"/>
        <w:rPr>
          <w:szCs w:val="24"/>
        </w:rPr>
      </w:pPr>
      <w:r w:rsidRPr="000B7F4F">
        <w:rPr>
          <w:szCs w:val="24"/>
        </w:rPr>
        <w:t xml:space="preserve">The “Content Type” feature is used to classify different scenes that are transmitted in real world scenarios. For example, a content type of 0 may be a video conferencing application with a “talking head” based </w:t>
      </w:r>
      <w:r w:rsidR="004726E7" w:rsidRPr="000B7F4F">
        <w:rPr>
          <w:szCs w:val="24"/>
        </w:rPr>
        <w:t>scene, while a content type of 2</w:t>
      </w:r>
      <w:r w:rsidRPr="000B7F4F">
        <w:rPr>
          <w:szCs w:val="24"/>
        </w:rPr>
        <w:t xml:space="preserve"> may be a medical based scene that requires extremely high bandwidth and video quality.</w:t>
      </w:r>
      <w:r w:rsidR="00BC2BEF" w:rsidRPr="000B7F4F">
        <w:rPr>
          <w:szCs w:val="24"/>
        </w:rPr>
        <w:t xml:space="preserve"> In this experiment, we used 3 different content types,</w:t>
      </w:r>
      <w:r w:rsidRPr="000B7F4F">
        <w:rPr>
          <w:szCs w:val="24"/>
        </w:rPr>
        <w:t xml:space="preserve"> </w:t>
      </w:r>
      <w:r w:rsidR="00BC2BEF" w:rsidRPr="000B7F4F">
        <w:rPr>
          <w:szCs w:val="24"/>
        </w:rPr>
        <w:t>giving us the approximated expected prediction values in Table 2.</w:t>
      </w:r>
    </w:p>
    <w:tbl>
      <w:tblPr>
        <w:tblW w:w="8100" w:type="dxa"/>
        <w:jc w:val="center"/>
        <w:tblInd w:w="93" w:type="dxa"/>
        <w:tblLook w:val="04A0" w:firstRow="1" w:lastRow="0" w:firstColumn="1" w:lastColumn="0" w:noHBand="0" w:noVBand="1"/>
      </w:tblPr>
      <w:tblGrid>
        <w:gridCol w:w="3580"/>
        <w:gridCol w:w="2380"/>
        <w:gridCol w:w="2140"/>
      </w:tblGrid>
      <w:tr w:rsidR="00E27D72" w:rsidRPr="00E27D72" w:rsidTr="00E27D72">
        <w:trPr>
          <w:trHeight w:val="300"/>
          <w:jc w:val="center"/>
        </w:trPr>
        <w:tc>
          <w:tcPr>
            <w:tcW w:w="3580" w:type="dxa"/>
            <w:tcBorders>
              <w:top w:val="nil"/>
              <w:left w:val="nil"/>
              <w:bottom w:val="single" w:sz="4" w:space="0" w:color="auto"/>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b/>
                <w:bCs/>
                <w:color w:val="000000"/>
                <w:szCs w:val="24"/>
              </w:rPr>
            </w:pPr>
            <w:r w:rsidRPr="00E27D72">
              <w:rPr>
                <w:rFonts w:ascii="Calibri" w:eastAsia="Times New Roman" w:hAnsi="Calibri" w:cs="Times New Roman"/>
                <w:b/>
                <w:bCs/>
                <w:color w:val="000000"/>
                <w:szCs w:val="24"/>
              </w:rPr>
              <w:t>Channel Bandwidth Range (Kpbs)</w:t>
            </w:r>
          </w:p>
        </w:tc>
        <w:tc>
          <w:tcPr>
            <w:tcW w:w="2380" w:type="dxa"/>
            <w:tcBorders>
              <w:top w:val="nil"/>
              <w:left w:val="nil"/>
              <w:bottom w:val="single" w:sz="4" w:space="0" w:color="auto"/>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b/>
                <w:bCs/>
                <w:color w:val="000000"/>
                <w:szCs w:val="24"/>
              </w:rPr>
            </w:pPr>
            <w:r w:rsidRPr="00E27D72">
              <w:rPr>
                <w:rFonts w:ascii="Calibri" w:eastAsia="Times New Roman" w:hAnsi="Calibri" w:cs="Times New Roman"/>
                <w:b/>
                <w:bCs/>
                <w:color w:val="000000"/>
                <w:szCs w:val="24"/>
              </w:rPr>
              <w:t>Content Type</w:t>
            </w:r>
          </w:p>
        </w:tc>
        <w:tc>
          <w:tcPr>
            <w:tcW w:w="2140" w:type="dxa"/>
            <w:tcBorders>
              <w:top w:val="nil"/>
              <w:left w:val="nil"/>
              <w:bottom w:val="single" w:sz="4" w:space="0" w:color="auto"/>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b/>
                <w:bCs/>
                <w:color w:val="000000"/>
                <w:szCs w:val="24"/>
              </w:rPr>
            </w:pPr>
            <w:r w:rsidRPr="00E27D72">
              <w:rPr>
                <w:rFonts w:ascii="Calibri" w:eastAsia="Times New Roman" w:hAnsi="Calibri" w:cs="Times New Roman"/>
                <w:b/>
                <w:bCs/>
                <w:color w:val="000000"/>
                <w:szCs w:val="24"/>
              </w:rPr>
              <w:t>Expected Class</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0-500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3</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500-1000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2</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1000+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0-500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5659A3" w:rsidP="00E27D72">
            <w:pPr>
              <w:spacing w:line="360" w:lineRule="auto"/>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3</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500-800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5659A3" w:rsidP="00E27D72">
            <w:pPr>
              <w:spacing w:line="360" w:lineRule="auto"/>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1</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800+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5659A3" w:rsidP="00E27D72">
            <w:pPr>
              <w:spacing w:line="360" w:lineRule="auto"/>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1</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0-900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5659A3" w:rsidP="00E27D72">
            <w:pPr>
              <w:spacing w:line="360" w:lineRule="auto"/>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3</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900-1700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5659A3" w:rsidP="00E27D72">
            <w:pPr>
              <w:spacing w:line="360" w:lineRule="auto"/>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2</w:t>
            </w:r>
          </w:p>
        </w:tc>
      </w:tr>
      <w:tr w:rsidR="00E27D72" w:rsidRPr="00E27D72" w:rsidTr="00E27D72">
        <w:trPr>
          <w:trHeight w:val="300"/>
          <w:jc w:val="center"/>
        </w:trPr>
        <w:tc>
          <w:tcPr>
            <w:tcW w:w="3580" w:type="dxa"/>
            <w:tcBorders>
              <w:top w:val="nil"/>
              <w:left w:val="nil"/>
              <w:bottom w:val="nil"/>
              <w:right w:val="single" w:sz="4" w:space="0" w:color="auto"/>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1700+</w:t>
            </w:r>
          </w:p>
        </w:tc>
        <w:tc>
          <w:tcPr>
            <w:tcW w:w="2380" w:type="dxa"/>
            <w:tcBorders>
              <w:top w:val="nil"/>
              <w:left w:val="nil"/>
              <w:bottom w:val="nil"/>
              <w:right w:val="single" w:sz="4" w:space="0" w:color="auto"/>
            </w:tcBorders>
            <w:shd w:val="clear" w:color="auto" w:fill="auto"/>
            <w:noWrap/>
            <w:vAlign w:val="bottom"/>
            <w:hideMark/>
          </w:tcPr>
          <w:p w:rsidR="00E27D72" w:rsidRPr="00E27D72" w:rsidRDefault="005659A3" w:rsidP="00E27D72">
            <w:pPr>
              <w:spacing w:line="360" w:lineRule="auto"/>
              <w:jc w:val="center"/>
              <w:rPr>
                <w:rFonts w:ascii="Calibri" w:eastAsia="Times New Roman" w:hAnsi="Calibri" w:cs="Times New Roman"/>
                <w:color w:val="000000"/>
                <w:szCs w:val="24"/>
              </w:rPr>
            </w:pPr>
            <w:r w:rsidRPr="000B7F4F">
              <w:rPr>
                <w:rFonts w:ascii="Calibri" w:eastAsia="Times New Roman" w:hAnsi="Calibri" w:cs="Times New Roman"/>
                <w:color w:val="000000"/>
                <w:szCs w:val="24"/>
              </w:rPr>
              <w:t>2</w:t>
            </w:r>
          </w:p>
        </w:tc>
        <w:tc>
          <w:tcPr>
            <w:tcW w:w="2140" w:type="dxa"/>
            <w:tcBorders>
              <w:top w:val="nil"/>
              <w:left w:val="nil"/>
              <w:bottom w:val="nil"/>
              <w:right w:val="nil"/>
            </w:tcBorders>
            <w:shd w:val="clear" w:color="auto" w:fill="auto"/>
            <w:noWrap/>
            <w:vAlign w:val="bottom"/>
            <w:hideMark/>
          </w:tcPr>
          <w:p w:rsidR="00E27D72" w:rsidRPr="00E27D72" w:rsidRDefault="00E27D72" w:rsidP="00E27D72">
            <w:pPr>
              <w:spacing w:line="360" w:lineRule="auto"/>
              <w:jc w:val="center"/>
              <w:rPr>
                <w:rFonts w:ascii="Calibri" w:eastAsia="Times New Roman" w:hAnsi="Calibri" w:cs="Times New Roman"/>
                <w:color w:val="000000"/>
                <w:szCs w:val="24"/>
              </w:rPr>
            </w:pPr>
            <w:r w:rsidRPr="00E27D72">
              <w:rPr>
                <w:rFonts w:ascii="Calibri" w:eastAsia="Times New Roman" w:hAnsi="Calibri" w:cs="Times New Roman"/>
                <w:color w:val="000000"/>
                <w:szCs w:val="24"/>
              </w:rPr>
              <w:t>0</w:t>
            </w:r>
          </w:p>
        </w:tc>
      </w:tr>
    </w:tbl>
    <w:p w:rsidR="00E27D72" w:rsidRPr="000B7F4F" w:rsidRDefault="00E27D72" w:rsidP="00E27D72">
      <w:pPr>
        <w:spacing w:line="360" w:lineRule="auto"/>
        <w:jc w:val="center"/>
        <w:rPr>
          <w:b/>
          <w:szCs w:val="24"/>
        </w:rPr>
      </w:pPr>
      <w:r w:rsidRPr="000B7F4F">
        <w:rPr>
          <w:b/>
          <w:szCs w:val="24"/>
        </w:rPr>
        <w:t>Table 2 – Expected Prediction Values</w:t>
      </w:r>
    </w:p>
    <w:p w:rsidR="00E27D72" w:rsidRPr="000B7F4F" w:rsidRDefault="00E27D72" w:rsidP="00E27D72">
      <w:pPr>
        <w:spacing w:line="360" w:lineRule="auto"/>
        <w:rPr>
          <w:szCs w:val="24"/>
        </w:rPr>
      </w:pPr>
      <w:r w:rsidRPr="000B7F4F">
        <w:rPr>
          <w:szCs w:val="24"/>
        </w:rPr>
        <w:t>We trained the support vector machines and tested the learning mechanism by setting the bandwidth to 1600Kbps, 800Kbps, and 400Kbps while viewing video</w:t>
      </w:r>
      <w:r w:rsidR="004726E7" w:rsidRPr="000B7F4F">
        <w:rPr>
          <w:szCs w:val="24"/>
        </w:rPr>
        <w:t xml:space="preserve"> streams with content types 0, 1, and 2</w:t>
      </w:r>
      <w:r w:rsidRPr="000B7F4F">
        <w:rPr>
          <w:szCs w:val="24"/>
        </w:rPr>
        <w:t>.</w:t>
      </w:r>
      <w:r w:rsidR="004726E7" w:rsidRPr="000B7F4F">
        <w:rPr>
          <w:szCs w:val="24"/>
        </w:rPr>
        <w:t xml:space="preserve"> For equation (1) we selected the K parameter to be 0.85 and for equation (3) we selected the Q</w:t>
      </w:r>
      <w:r w:rsidR="004726E7" w:rsidRPr="000B7F4F">
        <w:rPr>
          <w:szCs w:val="24"/>
          <w:vertAlign w:val="subscript"/>
        </w:rPr>
        <w:t>max</w:t>
      </w:r>
      <w:r w:rsidRPr="000B7F4F">
        <w:rPr>
          <w:szCs w:val="24"/>
        </w:rPr>
        <w:t xml:space="preserve"> </w:t>
      </w:r>
      <w:r w:rsidR="004726E7" w:rsidRPr="000B7F4F">
        <w:rPr>
          <w:szCs w:val="24"/>
        </w:rPr>
        <w:t xml:space="preserve">parameter to be 3.5. </w:t>
      </w:r>
      <w:r w:rsidRPr="000B7F4F">
        <w:rPr>
          <w:szCs w:val="24"/>
        </w:rPr>
        <w:t>The resulting bandwidth changes, encoding parameter changes, and class predictions are given in Figures 16-18.</w:t>
      </w:r>
    </w:p>
    <w:p w:rsidR="005D769C" w:rsidRPr="000B7F4F" w:rsidRDefault="008A57B8" w:rsidP="005D769C">
      <w:pPr>
        <w:spacing w:line="360" w:lineRule="auto"/>
        <w:jc w:val="center"/>
        <w:rPr>
          <w:szCs w:val="24"/>
        </w:rPr>
      </w:pPr>
      <w:r w:rsidRPr="000B7F4F">
        <w:rPr>
          <w:szCs w:val="24"/>
        </w:rPr>
        <w:object w:dxaOrig="11925" w:dyaOrig="9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55pt;height:353.15pt" o:ole="">
            <v:imagedata r:id="rId6" o:title=""/>
          </v:shape>
          <o:OLEObject Type="Embed" ProgID="Visio.Drawing.15" ShapeID="_x0000_i1025" DrawAspect="Content" ObjectID="_1457726819" r:id="rId7"/>
        </w:object>
      </w:r>
    </w:p>
    <w:p w:rsidR="008A57B8" w:rsidRPr="000B7F4F" w:rsidRDefault="008A57B8" w:rsidP="005D769C">
      <w:pPr>
        <w:spacing w:line="360" w:lineRule="auto"/>
        <w:jc w:val="center"/>
        <w:rPr>
          <w:b/>
          <w:szCs w:val="24"/>
        </w:rPr>
      </w:pPr>
      <w:r w:rsidRPr="000B7F4F">
        <w:rPr>
          <w:b/>
          <w:szCs w:val="24"/>
        </w:rPr>
        <w:t>Figure 16 – Predictions with Content Type 0</w:t>
      </w:r>
    </w:p>
    <w:p w:rsidR="008A57B8" w:rsidRPr="000B7F4F" w:rsidRDefault="00025AF8" w:rsidP="005D769C">
      <w:pPr>
        <w:spacing w:line="360" w:lineRule="auto"/>
        <w:jc w:val="center"/>
        <w:rPr>
          <w:b/>
          <w:szCs w:val="24"/>
        </w:rPr>
      </w:pPr>
      <w:r w:rsidRPr="000B7F4F">
        <w:rPr>
          <w:b/>
          <w:szCs w:val="24"/>
        </w:rPr>
        <w:object w:dxaOrig="11746" w:dyaOrig="10185">
          <v:shape id="_x0000_i1026" type="#_x0000_t75" style="width:424.3pt;height:368.55pt" o:ole="">
            <v:imagedata r:id="rId8" o:title=""/>
          </v:shape>
          <o:OLEObject Type="Embed" ProgID="Visio.Drawing.15" ShapeID="_x0000_i1026" DrawAspect="Content" ObjectID="_1457726820" r:id="rId9"/>
        </w:object>
      </w:r>
    </w:p>
    <w:p w:rsidR="00906EFC" w:rsidRPr="000B7F4F" w:rsidRDefault="00906EFC" w:rsidP="005D769C">
      <w:pPr>
        <w:spacing w:line="360" w:lineRule="auto"/>
        <w:jc w:val="center"/>
        <w:rPr>
          <w:b/>
          <w:szCs w:val="24"/>
        </w:rPr>
      </w:pPr>
      <w:r w:rsidRPr="000B7F4F">
        <w:rPr>
          <w:b/>
          <w:szCs w:val="24"/>
        </w:rPr>
        <w:t>Figure 17 – Predictions with Content Type 3</w:t>
      </w:r>
    </w:p>
    <w:p w:rsidR="00906EFC" w:rsidRPr="000B7F4F" w:rsidRDefault="00025AF8" w:rsidP="005D769C">
      <w:pPr>
        <w:spacing w:line="360" w:lineRule="auto"/>
        <w:jc w:val="center"/>
        <w:rPr>
          <w:b/>
          <w:szCs w:val="24"/>
        </w:rPr>
      </w:pPr>
      <w:r w:rsidRPr="000B7F4F">
        <w:rPr>
          <w:b/>
          <w:szCs w:val="24"/>
        </w:rPr>
        <w:object w:dxaOrig="12166" w:dyaOrig="10185">
          <v:shape id="_x0000_i1027" type="#_x0000_t75" style="width:424.3pt;height:354.85pt" o:ole="">
            <v:imagedata r:id="rId10" o:title=""/>
          </v:shape>
          <o:OLEObject Type="Embed" ProgID="Visio.Drawing.15" ShapeID="_x0000_i1027" DrawAspect="Content" ObjectID="_1457726821" r:id="rId11"/>
        </w:object>
      </w:r>
    </w:p>
    <w:p w:rsidR="00906EFC" w:rsidRPr="000B7F4F" w:rsidRDefault="00906EFC" w:rsidP="005D769C">
      <w:pPr>
        <w:spacing w:line="360" w:lineRule="auto"/>
        <w:jc w:val="center"/>
        <w:rPr>
          <w:b/>
          <w:szCs w:val="24"/>
        </w:rPr>
      </w:pPr>
      <w:r w:rsidRPr="000B7F4F">
        <w:rPr>
          <w:b/>
          <w:szCs w:val="24"/>
        </w:rPr>
        <w:t>Figure 18 – Predictions with Content Type 5</w:t>
      </w:r>
    </w:p>
    <w:p w:rsidR="00906EFC" w:rsidRPr="000B7F4F" w:rsidRDefault="004726E7" w:rsidP="00906EFC">
      <w:pPr>
        <w:spacing w:line="360" w:lineRule="auto"/>
        <w:rPr>
          <w:szCs w:val="24"/>
        </w:rPr>
      </w:pPr>
      <w:r w:rsidRPr="000B7F4F">
        <w:rPr>
          <w:szCs w:val="24"/>
        </w:rPr>
        <w:t xml:space="preserve">In all cases, the video bandwidth was adapted when the channel bandwidth changed. In addition, the video bandwidth was consistently kept at 85% of the channel bandwidth as a result of our selection of K. </w:t>
      </w:r>
      <w:r w:rsidR="00E722DC" w:rsidRPr="000B7F4F">
        <w:rPr>
          <w:szCs w:val="24"/>
        </w:rPr>
        <w:t xml:space="preserve">In order to validate the accuracy of the predictions, </w:t>
      </w:r>
      <w:r w:rsidRPr="000B7F4F">
        <w:rPr>
          <w:szCs w:val="24"/>
        </w:rPr>
        <w:t xml:space="preserve">Table 3 </w:t>
      </w:r>
      <w:r w:rsidR="00E722DC" w:rsidRPr="000B7F4F">
        <w:rPr>
          <w:szCs w:val="24"/>
        </w:rPr>
        <w:t>compares the</w:t>
      </w:r>
      <w:r w:rsidRPr="000B7F4F">
        <w:rPr>
          <w:szCs w:val="24"/>
        </w:rPr>
        <w:t xml:space="preserve"> expected class values and the predicted class values at time instances </w:t>
      </w:r>
      <w:r w:rsidRPr="000B7F4F">
        <w:rPr>
          <w:i/>
          <w:szCs w:val="24"/>
        </w:rPr>
        <w:t>T</w:t>
      </w:r>
      <w:r w:rsidRPr="000B7F4F">
        <w:rPr>
          <w:i/>
          <w:szCs w:val="24"/>
          <w:vertAlign w:val="subscript"/>
        </w:rPr>
        <w:t>0</w:t>
      </w:r>
      <w:r w:rsidRPr="000B7F4F">
        <w:rPr>
          <w:szCs w:val="24"/>
        </w:rPr>
        <w:t>,</w:t>
      </w:r>
      <w:r w:rsidRPr="000B7F4F">
        <w:rPr>
          <w:i/>
          <w:szCs w:val="24"/>
        </w:rPr>
        <w:t xml:space="preserve"> T</w:t>
      </w:r>
      <w:r w:rsidRPr="000B7F4F">
        <w:rPr>
          <w:i/>
          <w:szCs w:val="24"/>
          <w:vertAlign w:val="subscript"/>
        </w:rPr>
        <w:t>1</w:t>
      </w:r>
      <w:r w:rsidRPr="000B7F4F">
        <w:rPr>
          <w:szCs w:val="24"/>
        </w:rPr>
        <w:t>,</w:t>
      </w:r>
      <w:r w:rsidRPr="000B7F4F">
        <w:rPr>
          <w:i/>
          <w:szCs w:val="24"/>
        </w:rPr>
        <w:t xml:space="preserve"> </w:t>
      </w:r>
      <w:r w:rsidRPr="000B7F4F">
        <w:rPr>
          <w:szCs w:val="24"/>
        </w:rPr>
        <w:t xml:space="preserve">and </w:t>
      </w:r>
      <w:r w:rsidRPr="000B7F4F">
        <w:rPr>
          <w:i/>
          <w:szCs w:val="24"/>
        </w:rPr>
        <w:t>T</w:t>
      </w:r>
      <w:r w:rsidRPr="000B7F4F">
        <w:rPr>
          <w:i/>
          <w:szCs w:val="24"/>
          <w:vertAlign w:val="subscript"/>
        </w:rPr>
        <w:t>2</w:t>
      </w:r>
      <w:r w:rsidR="000B7F4F" w:rsidRPr="000B7F4F">
        <w:rPr>
          <w:szCs w:val="24"/>
        </w:rPr>
        <w:t xml:space="preserve">, where </w:t>
      </w:r>
      <w:r w:rsidR="000B7F4F" w:rsidRPr="000B7F4F">
        <w:rPr>
          <w:i/>
          <w:szCs w:val="24"/>
        </w:rPr>
        <w:t>T</w:t>
      </w:r>
      <w:r w:rsidR="000B7F4F" w:rsidRPr="000B7F4F">
        <w:rPr>
          <w:i/>
          <w:szCs w:val="24"/>
          <w:vertAlign w:val="subscript"/>
        </w:rPr>
        <w:t>0</w:t>
      </w:r>
      <w:r w:rsidR="000B7F4F" w:rsidRPr="000B7F4F">
        <w:rPr>
          <w:szCs w:val="24"/>
        </w:rPr>
        <w:t xml:space="preserve"> is the instant when the channel bandwidth changes to 1600Kbps. </w:t>
      </w:r>
    </w:p>
    <w:tbl>
      <w:tblPr>
        <w:tblW w:w="7980" w:type="dxa"/>
        <w:jc w:val="center"/>
        <w:tblInd w:w="93" w:type="dxa"/>
        <w:tblLook w:val="04A0" w:firstRow="1" w:lastRow="0" w:firstColumn="1" w:lastColumn="0" w:noHBand="0" w:noVBand="1"/>
      </w:tblPr>
      <w:tblGrid>
        <w:gridCol w:w="2240"/>
        <w:gridCol w:w="1800"/>
        <w:gridCol w:w="1900"/>
        <w:gridCol w:w="2040"/>
      </w:tblGrid>
      <w:tr w:rsidR="00E722DC" w:rsidRPr="00E722DC" w:rsidTr="00E722DC">
        <w:trPr>
          <w:trHeight w:val="300"/>
          <w:jc w:val="center"/>
        </w:trPr>
        <w:tc>
          <w:tcPr>
            <w:tcW w:w="2240" w:type="dxa"/>
            <w:tcBorders>
              <w:top w:val="nil"/>
              <w:left w:val="nil"/>
              <w:bottom w:val="single" w:sz="4" w:space="0" w:color="auto"/>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b/>
                <w:bCs/>
                <w:color w:val="000000"/>
                <w:szCs w:val="24"/>
              </w:rPr>
            </w:pPr>
            <w:r w:rsidRPr="00E722DC">
              <w:rPr>
                <w:rFonts w:ascii="Calibri" w:eastAsia="Times New Roman" w:hAnsi="Calibri" w:cs="Times New Roman"/>
                <w:b/>
                <w:bCs/>
                <w:color w:val="000000"/>
                <w:szCs w:val="24"/>
              </w:rPr>
              <w:t>Segment</w:t>
            </w:r>
          </w:p>
        </w:tc>
        <w:tc>
          <w:tcPr>
            <w:tcW w:w="1800" w:type="dxa"/>
            <w:tcBorders>
              <w:top w:val="nil"/>
              <w:left w:val="nil"/>
              <w:bottom w:val="single" w:sz="4" w:space="0" w:color="auto"/>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b/>
                <w:bCs/>
                <w:color w:val="000000"/>
                <w:szCs w:val="24"/>
              </w:rPr>
            </w:pPr>
            <w:r w:rsidRPr="00E722DC">
              <w:rPr>
                <w:rFonts w:ascii="Calibri" w:eastAsia="Times New Roman" w:hAnsi="Calibri" w:cs="Times New Roman"/>
                <w:b/>
                <w:bCs/>
                <w:color w:val="000000"/>
                <w:szCs w:val="24"/>
              </w:rPr>
              <w:t>Content Type</w:t>
            </w:r>
          </w:p>
        </w:tc>
        <w:tc>
          <w:tcPr>
            <w:tcW w:w="1900" w:type="dxa"/>
            <w:tcBorders>
              <w:top w:val="nil"/>
              <w:left w:val="nil"/>
              <w:bottom w:val="single" w:sz="4" w:space="0" w:color="auto"/>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b/>
                <w:bCs/>
                <w:color w:val="000000"/>
                <w:szCs w:val="24"/>
              </w:rPr>
            </w:pPr>
            <w:r w:rsidRPr="00E722DC">
              <w:rPr>
                <w:rFonts w:ascii="Calibri" w:eastAsia="Times New Roman" w:hAnsi="Calibri" w:cs="Times New Roman"/>
                <w:b/>
                <w:bCs/>
                <w:color w:val="000000"/>
                <w:szCs w:val="24"/>
              </w:rPr>
              <w:t>Expected Class</w:t>
            </w:r>
          </w:p>
        </w:tc>
        <w:tc>
          <w:tcPr>
            <w:tcW w:w="2040" w:type="dxa"/>
            <w:tcBorders>
              <w:top w:val="nil"/>
              <w:left w:val="nil"/>
              <w:bottom w:val="single" w:sz="4" w:space="0" w:color="auto"/>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b/>
                <w:bCs/>
                <w:color w:val="000000"/>
                <w:szCs w:val="24"/>
              </w:rPr>
            </w:pPr>
            <w:r w:rsidRPr="00E722DC">
              <w:rPr>
                <w:rFonts w:ascii="Calibri" w:eastAsia="Times New Roman" w:hAnsi="Calibri" w:cs="Times New Roman"/>
                <w:b/>
                <w:bCs/>
                <w:color w:val="000000"/>
                <w:szCs w:val="24"/>
              </w:rPr>
              <w:t>Predicted Class</w:t>
            </w:r>
          </w:p>
        </w:tc>
      </w:tr>
      <w:tr w:rsidR="00E722DC" w:rsidRPr="00E722DC" w:rsidTr="00E722DC">
        <w:trPr>
          <w:trHeight w:val="300"/>
          <w:jc w:val="center"/>
        </w:trPr>
        <w:tc>
          <w:tcPr>
            <w:tcW w:w="2240" w:type="dxa"/>
            <w:vMerge w:val="restart"/>
            <w:tcBorders>
              <w:top w:val="nil"/>
              <w:left w:val="nil"/>
              <w:bottom w:val="single" w:sz="4" w:space="0" w:color="000000"/>
              <w:right w:val="single" w:sz="4" w:space="0" w:color="auto"/>
            </w:tcBorders>
            <w:shd w:val="clear" w:color="auto" w:fill="auto"/>
            <w:noWrap/>
            <w:vAlign w:val="center"/>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T</w:t>
            </w:r>
            <w:r w:rsidRPr="00E722DC">
              <w:rPr>
                <w:rFonts w:ascii="Calibri" w:eastAsia="Times New Roman" w:hAnsi="Calibri" w:cs="Times New Roman"/>
                <w:color w:val="000000"/>
                <w:szCs w:val="24"/>
                <w:vertAlign w:val="subscript"/>
              </w:rPr>
              <w:t>0</w:t>
            </w:r>
          </w:p>
        </w:tc>
        <w:tc>
          <w:tcPr>
            <w:tcW w:w="18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0</w:t>
            </w:r>
          </w:p>
        </w:tc>
        <w:tc>
          <w:tcPr>
            <w:tcW w:w="19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0</w:t>
            </w:r>
          </w:p>
        </w:tc>
        <w:tc>
          <w:tcPr>
            <w:tcW w:w="2040" w:type="dxa"/>
            <w:tcBorders>
              <w:top w:val="nil"/>
              <w:left w:val="nil"/>
              <w:bottom w:val="nil"/>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0</w:t>
            </w:r>
          </w:p>
        </w:tc>
      </w:tr>
      <w:tr w:rsidR="00E722DC" w:rsidRPr="00E722DC" w:rsidTr="00E722DC">
        <w:trPr>
          <w:trHeight w:val="300"/>
          <w:jc w:val="center"/>
        </w:trPr>
        <w:tc>
          <w:tcPr>
            <w:tcW w:w="2240" w:type="dxa"/>
            <w:vMerge/>
            <w:tcBorders>
              <w:top w:val="nil"/>
              <w:left w:val="nil"/>
              <w:bottom w:val="single" w:sz="4" w:space="0" w:color="000000"/>
              <w:right w:val="single" w:sz="4" w:space="0" w:color="auto"/>
            </w:tcBorders>
            <w:vAlign w:val="center"/>
            <w:hideMark/>
          </w:tcPr>
          <w:p w:rsidR="00E722DC" w:rsidRPr="00E722DC" w:rsidRDefault="00E722DC" w:rsidP="00E722DC">
            <w:pPr>
              <w:rPr>
                <w:rFonts w:ascii="Calibri" w:eastAsia="Times New Roman" w:hAnsi="Calibri" w:cs="Times New Roman"/>
                <w:color w:val="000000"/>
                <w:szCs w:val="24"/>
              </w:rPr>
            </w:pPr>
          </w:p>
        </w:tc>
        <w:tc>
          <w:tcPr>
            <w:tcW w:w="18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1</w:t>
            </w:r>
          </w:p>
        </w:tc>
        <w:tc>
          <w:tcPr>
            <w:tcW w:w="19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0</w:t>
            </w:r>
          </w:p>
        </w:tc>
        <w:tc>
          <w:tcPr>
            <w:tcW w:w="2040" w:type="dxa"/>
            <w:tcBorders>
              <w:top w:val="nil"/>
              <w:left w:val="nil"/>
              <w:bottom w:val="nil"/>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0</w:t>
            </w:r>
          </w:p>
        </w:tc>
      </w:tr>
      <w:tr w:rsidR="00E722DC" w:rsidRPr="00E722DC" w:rsidTr="00E722DC">
        <w:trPr>
          <w:trHeight w:val="300"/>
          <w:jc w:val="center"/>
        </w:trPr>
        <w:tc>
          <w:tcPr>
            <w:tcW w:w="2240" w:type="dxa"/>
            <w:vMerge/>
            <w:tcBorders>
              <w:top w:val="nil"/>
              <w:left w:val="nil"/>
              <w:bottom w:val="single" w:sz="4" w:space="0" w:color="000000"/>
              <w:right w:val="single" w:sz="4" w:space="0" w:color="auto"/>
            </w:tcBorders>
            <w:vAlign w:val="center"/>
            <w:hideMark/>
          </w:tcPr>
          <w:p w:rsidR="00E722DC" w:rsidRPr="00E722DC" w:rsidRDefault="00E722DC" w:rsidP="00E722DC">
            <w:pPr>
              <w:rPr>
                <w:rFonts w:ascii="Calibri" w:eastAsia="Times New Roman" w:hAnsi="Calibri" w:cs="Times New Roman"/>
                <w:color w:val="000000"/>
                <w:szCs w:val="24"/>
              </w:rPr>
            </w:pPr>
          </w:p>
        </w:tc>
        <w:tc>
          <w:tcPr>
            <w:tcW w:w="1800" w:type="dxa"/>
            <w:tcBorders>
              <w:top w:val="nil"/>
              <w:left w:val="nil"/>
              <w:bottom w:val="single" w:sz="4" w:space="0" w:color="auto"/>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2</w:t>
            </w:r>
          </w:p>
        </w:tc>
        <w:tc>
          <w:tcPr>
            <w:tcW w:w="1900" w:type="dxa"/>
            <w:tcBorders>
              <w:top w:val="nil"/>
              <w:left w:val="nil"/>
              <w:bottom w:val="single" w:sz="4" w:space="0" w:color="auto"/>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2</w:t>
            </w:r>
          </w:p>
        </w:tc>
        <w:tc>
          <w:tcPr>
            <w:tcW w:w="2040" w:type="dxa"/>
            <w:tcBorders>
              <w:top w:val="nil"/>
              <w:left w:val="nil"/>
              <w:bottom w:val="single" w:sz="4" w:space="0" w:color="auto"/>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2</w:t>
            </w:r>
          </w:p>
        </w:tc>
      </w:tr>
      <w:tr w:rsidR="00E722DC" w:rsidRPr="00E722DC" w:rsidTr="00E722DC">
        <w:trPr>
          <w:trHeight w:val="300"/>
          <w:jc w:val="center"/>
        </w:trPr>
        <w:tc>
          <w:tcPr>
            <w:tcW w:w="2240" w:type="dxa"/>
            <w:vMerge w:val="restart"/>
            <w:tcBorders>
              <w:top w:val="nil"/>
              <w:left w:val="nil"/>
              <w:bottom w:val="single" w:sz="4" w:space="0" w:color="000000"/>
              <w:right w:val="single" w:sz="4" w:space="0" w:color="auto"/>
            </w:tcBorders>
            <w:shd w:val="clear" w:color="auto" w:fill="auto"/>
            <w:noWrap/>
            <w:vAlign w:val="center"/>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T</w:t>
            </w:r>
            <w:r w:rsidRPr="00E722DC">
              <w:rPr>
                <w:rFonts w:ascii="Calibri" w:eastAsia="Times New Roman" w:hAnsi="Calibri" w:cs="Times New Roman"/>
                <w:color w:val="000000"/>
                <w:szCs w:val="24"/>
                <w:vertAlign w:val="subscript"/>
              </w:rPr>
              <w:t>1</w:t>
            </w:r>
          </w:p>
        </w:tc>
        <w:tc>
          <w:tcPr>
            <w:tcW w:w="18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0</w:t>
            </w:r>
          </w:p>
        </w:tc>
        <w:tc>
          <w:tcPr>
            <w:tcW w:w="19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2</w:t>
            </w:r>
          </w:p>
        </w:tc>
        <w:tc>
          <w:tcPr>
            <w:tcW w:w="2040" w:type="dxa"/>
            <w:tcBorders>
              <w:top w:val="nil"/>
              <w:left w:val="nil"/>
              <w:bottom w:val="nil"/>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2</w:t>
            </w:r>
          </w:p>
        </w:tc>
      </w:tr>
      <w:tr w:rsidR="00E722DC" w:rsidRPr="00E722DC" w:rsidTr="00E722DC">
        <w:trPr>
          <w:trHeight w:val="300"/>
          <w:jc w:val="center"/>
        </w:trPr>
        <w:tc>
          <w:tcPr>
            <w:tcW w:w="2240" w:type="dxa"/>
            <w:vMerge/>
            <w:tcBorders>
              <w:top w:val="nil"/>
              <w:left w:val="nil"/>
              <w:bottom w:val="single" w:sz="4" w:space="0" w:color="000000"/>
              <w:right w:val="single" w:sz="4" w:space="0" w:color="auto"/>
            </w:tcBorders>
            <w:vAlign w:val="center"/>
            <w:hideMark/>
          </w:tcPr>
          <w:p w:rsidR="00E722DC" w:rsidRPr="00E722DC" w:rsidRDefault="00E722DC" w:rsidP="00E722DC">
            <w:pPr>
              <w:rPr>
                <w:rFonts w:ascii="Calibri" w:eastAsia="Times New Roman" w:hAnsi="Calibri" w:cs="Times New Roman"/>
                <w:color w:val="000000"/>
                <w:szCs w:val="24"/>
              </w:rPr>
            </w:pPr>
          </w:p>
        </w:tc>
        <w:tc>
          <w:tcPr>
            <w:tcW w:w="18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1</w:t>
            </w:r>
          </w:p>
        </w:tc>
        <w:tc>
          <w:tcPr>
            <w:tcW w:w="19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1</w:t>
            </w:r>
          </w:p>
        </w:tc>
        <w:tc>
          <w:tcPr>
            <w:tcW w:w="2040" w:type="dxa"/>
            <w:tcBorders>
              <w:top w:val="nil"/>
              <w:left w:val="nil"/>
              <w:bottom w:val="nil"/>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1</w:t>
            </w:r>
          </w:p>
        </w:tc>
      </w:tr>
      <w:tr w:rsidR="00E722DC" w:rsidRPr="00E722DC" w:rsidTr="00E722DC">
        <w:trPr>
          <w:trHeight w:val="300"/>
          <w:jc w:val="center"/>
        </w:trPr>
        <w:tc>
          <w:tcPr>
            <w:tcW w:w="2240" w:type="dxa"/>
            <w:vMerge/>
            <w:tcBorders>
              <w:top w:val="nil"/>
              <w:left w:val="nil"/>
              <w:bottom w:val="single" w:sz="4" w:space="0" w:color="000000"/>
              <w:right w:val="single" w:sz="4" w:space="0" w:color="auto"/>
            </w:tcBorders>
            <w:vAlign w:val="center"/>
            <w:hideMark/>
          </w:tcPr>
          <w:p w:rsidR="00E722DC" w:rsidRPr="00E722DC" w:rsidRDefault="00E722DC" w:rsidP="00E722DC">
            <w:pPr>
              <w:rPr>
                <w:rFonts w:ascii="Calibri" w:eastAsia="Times New Roman" w:hAnsi="Calibri" w:cs="Times New Roman"/>
                <w:color w:val="000000"/>
                <w:szCs w:val="24"/>
              </w:rPr>
            </w:pPr>
          </w:p>
        </w:tc>
        <w:tc>
          <w:tcPr>
            <w:tcW w:w="1800" w:type="dxa"/>
            <w:tcBorders>
              <w:top w:val="nil"/>
              <w:left w:val="nil"/>
              <w:bottom w:val="single" w:sz="4" w:space="0" w:color="auto"/>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2</w:t>
            </w:r>
          </w:p>
        </w:tc>
        <w:tc>
          <w:tcPr>
            <w:tcW w:w="1900" w:type="dxa"/>
            <w:tcBorders>
              <w:top w:val="nil"/>
              <w:left w:val="nil"/>
              <w:bottom w:val="single" w:sz="4" w:space="0" w:color="auto"/>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3</w:t>
            </w:r>
          </w:p>
        </w:tc>
        <w:tc>
          <w:tcPr>
            <w:tcW w:w="2040" w:type="dxa"/>
            <w:tcBorders>
              <w:top w:val="nil"/>
              <w:left w:val="nil"/>
              <w:bottom w:val="single" w:sz="4" w:space="0" w:color="auto"/>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3</w:t>
            </w:r>
          </w:p>
        </w:tc>
      </w:tr>
      <w:tr w:rsidR="00E722DC" w:rsidRPr="00E722DC" w:rsidTr="00E722DC">
        <w:trPr>
          <w:trHeight w:val="300"/>
          <w:jc w:val="center"/>
        </w:trPr>
        <w:tc>
          <w:tcPr>
            <w:tcW w:w="2240" w:type="dxa"/>
            <w:vMerge w:val="restart"/>
            <w:tcBorders>
              <w:top w:val="nil"/>
              <w:left w:val="nil"/>
              <w:bottom w:val="nil"/>
              <w:right w:val="single" w:sz="4" w:space="0" w:color="auto"/>
            </w:tcBorders>
            <w:shd w:val="clear" w:color="auto" w:fill="auto"/>
            <w:noWrap/>
            <w:vAlign w:val="center"/>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T</w:t>
            </w:r>
            <w:r w:rsidRPr="00E722DC">
              <w:rPr>
                <w:rFonts w:ascii="Calibri" w:eastAsia="Times New Roman" w:hAnsi="Calibri" w:cs="Times New Roman"/>
                <w:color w:val="000000"/>
                <w:szCs w:val="24"/>
                <w:vertAlign w:val="subscript"/>
              </w:rPr>
              <w:t>2</w:t>
            </w:r>
          </w:p>
        </w:tc>
        <w:tc>
          <w:tcPr>
            <w:tcW w:w="18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0</w:t>
            </w:r>
          </w:p>
        </w:tc>
        <w:tc>
          <w:tcPr>
            <w:tcW w:w="19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3</w:t>
            </w:r>
          </w:p>
        </w:tc>
        <w:tc>
          <w:tcPr>
            <w:tcW w:w="2040" w:type="dxa"/>
            <w:tcBorders>
              <w:top w:val="nil"/>
              <w:left w:val="nil"/>
              <w:bottom w:val="nil"/>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3</w:t>
            </w:r>
          </w:p>
        </w:tc>
      </w:tr>
      <w:tr w:rsidR="00E722DC" w:rsidRPr="00E722DC" w:rsidTr="00E722DC">
        <w:trPr>
          <w:trHeight w:val="300"/>
          <w:jc w:val="center"/>
        </w:trPr>
        <w:tc>
          <w:tcPr>
            <w:tcW w:w="2240" w:type="dxa"/>
            <w:vMerge/>
            <w:tcBorders>
              <w:top w:val="nil"/>
              <w:left w:val="nil"/>
              <w:bottom w:val="nil"/>
              <w:right w:val="single" w:sz="4" w:space="0" w:color="auto"/>
            </w:tcBorders>
            <w:vAlign w:val="center"/>
            <w:hideMark/>
          </w:tcPr>
          <w:p w:rsidR="00E722DC" w:rsidRPr="00E722DC" w:rsidRDefault="00E722DC" w:rsidP="00E722DC">
            <w:pPr>
              <w:rPr>
                <w:rFonts w:ascii="Calibri" w:eastAsia="Times New Roman" w:hAnsi="Calibri" w:cs="Times New Roman"/>
                <w:color w:val="000000"/>
                <w:szCs w:val="24"/>
              </w:rPr>
            </w:pPr>
          </w:p>
        </w:tc>
        <w:tc>
          <w:tcPr>
            <w:tcW w:w="18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1</w:t>
            </w:r>
          </w:p>
        </w:tc>
        <w:tc>
          <w:tcPr>
            <w:tcW w:w="19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3</w:t>
            </w:r>
          </w:p>
        </w:tc>
        <w:tc>
          <w:tcPr>
            <w:tcW w:w="2040" w:type="dxa"/>
            <w:tcBorders>
              <w:top w:val="nil"/>
              <w:left w:val="nil"/>
              <w:bottom w:val="nil"/>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3</w:t>
            </w:r>
          </w:p>
        </w:tc>
      </w:tr>
      <w:tr w:rsidR="00E722DC" w:rsidRPr="00E722DC" w:rsidTr="00E722DC">
        <w:trPr>
          <w:trHeight w:val="300"/>
          <w:jc w:val="center"/>
        </w:trPr>
        <w:tc>
          <w:tcPr>
            <w:tcW w:w="2240" w:type="dxa"/>
            <w:vMerge/>
            <w:tcBorders>
              <w:top w:val="nil"/>
              <w:left w:val="nil"/>
              <w:bottom w:val="nil"/>
              <w:right w:val="single" w:sz="4" w:space="0" w:color="auto"/>
            </w:tcBorders>
            <w:vAlign w:val="center"/>
            <w:hideMark/>
          </w:tcPr>
          <w:p w:rsidR="00E722DC" w:rsidRPr="00E722DC" w:rsidRDefault="00E722DC" w:rsidP="00E722DC">
            <w:pPr>
              <w:rPr>
                <w:rFonts w:ascii="Calibri" w:eastAsia="Times New Roman" w:hAnsi="Calibri" w:cs="Times New Roman"/>
                <w:color w:val="000000"/>
                <w:szCs w:val="24"/>
              </w:rPr>
            </w:pPr>
          </w:p>
        </w:tc>
        <w:tc>
          <w:tcPr>
            <w:tcW w:w="18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2</w:t>
            </w:r>
          </w:p>
        </w:tc>
        <w:tc>
          <w:tcPr>
            <w:tcW w:w="1900" w:type="dxa"/>
            <w:tcBorders>
              <w:top w:val="nil"/>
              <w:left w:val="nil"/>
              <w:bottom w:val="nil"/>
              <w:right w:val="single" w:sz="4" w:space="0" w:color="auto"/>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3</w:t>
            </w:r>
          </w:p>
        </w:tc>
        <w:tc>
          <w:tcPr>
            <w:tcW w:w="2040" w:type="dxa"/>
            <w:tcBorders>
              <w:top w:val="nil"/>
              <w:left w:val="nil"/>
              <w:bottom w:val="nil"/>
              <w:right w:val="nil"/>
            </w:tcBorders>
            <w:shd w:val="clear" w:color="auto" w:fill="auto"/>
            <w:noWrap/>
            <w:vAlign w:val="bottom"/>
            <w:hideMark/>
          </w:tcPr>
          <w:p w:rsidR="00E722DC" w:rsidRPr="00E722DC" w:rsidRDefault="00E722DC" w:rsidP="00E722DC">
            <w:pPr>
              <w:jc w:val="center"/>
              <w:rPr>
                <w:rFonts w:ascii="Calibri" w:eastAsia="Times New Roman" w:hAnsi="Calibri" w:cs="Times New Roman"/>
                <w:color w:val="000000"/>
                <w:szCs w:val="24"/>
              </w:rPr>
            </w:pPr>
            <w:r w:rsidRPr="00E722DC">
              <w:rPr>
                <w:rFonts w:ascii="Calibri" w:eastAsia="Times New Roman" w:hAnsi="Calibri" w:cs="Times New Roman"/>
                <w:color w:val="000000"/>
                <w:szCs w:val="24"/>
              </w:rPr>
              <w:t>3</w:t>
            </w:r>
          </w:p>
        </w:tc>
      </w:tr>
    </w:tbl>
    <w:p w:rsidR="004726E7" w:rsidRPr="000B7F4F" w:rsidRDefault="00E722DC" w:rsidP="00E722DC">
      <w:pPr>
        <w:spacing w:line="360" w:lineRule="auto"/>
        <w:jc w:val="center"/>
        <w:rPr>
          <w:b/>
          <w:szCs w:val="24"/>
        </w:rPr>
      </w:pPr>
      <w:r w:rsidRPr="000B7F4F">
        <w:rPr>
          <w:b/>
          <w:szCs w:val="24"/>
        </w:rPr>
        <w:t>Table 3 – Expected vs. Predicted Classes</w:t>
      </w:r>
    </w:p>
    <w:p w:rsidR="00E722DC" w:rsidRPr="000B7F4F" w:rsidRDefault="00E722DC" w:rsidP="00E722DC">
      <w:pPr>
        <w:spacing w:line="360" w:lineRule="auto"/>
        <w:rPr>
          <w:szCs w:val="24"/>
        </w:rPr>
      </w:pPr>
      <w:r w:rsidRPr="000B7F4F">
        <w:rPr>
          <w:szCs w:val="24"/>
        </w:rPr>
        <w:t xml:space="preserve">As the table indicates, the support vector machines predicted the correct classes with 100% accuracy. In addition, the resulting changes to the encoding parameters followed the changes defined in Figure 11. </w:t>
      </w:r>
      <w:r w:rsidR="000B7F4F" w:rsidRPr="000B7F4F">
        <w:rPr>
          <w:szCs w:val="24"/>
        </w:rPr>
        <w:t xml:space="preserve">When </w:t>
      </w:r>
      <w:r w:rsidR="000B7F4F" w:rsidRPr="000B7F4F">
        <w:rPr>
          <w:szCs w:val="24"/>
        </w:rPr>
        <w:lastRenderedPageBreak/>
        <w:t>class 0 was predicted, the spatial and temporal resolutions were kept high at the cost of fewer bits per pixel. When class 1 was predicted, the temporal resolution was kept high and the spatial resolution was reduced. The prediction of class 2 resulted in a loss in temporal resolution with the spatial resolution being kept high. Finally, when class 3 was predicted, the spatial and temporal resolutions were reduced, resulting in greater quality with more bits per pixel.</w:t>
      </w:r>
      <w:bookmarkEnd w:id="0"/>
    </w:p>
    <w:sectPr w:rsidR="00E722DC" w:rsidRPr="000B7F4F" w:rsidSect="008132C1">
      <w:pgSz w:w="12240" w:h="15840"/>
      <w:pgMar w:top="720" w:right="720" w:bottom="821"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2C1"/>
    <w:rsid w:val="00025AF8"/>
    <w:rsid w:val="000B7F4F"/>
    <w:rsid w:val="004726E7"/>
    <w:rsid w:val="005659A3"/>
    <w:rsid w:val="005D769C"/>
    <w:rsid w:val="006A751A"/>
    <w:rsid w:val="008132C1"/>
    <w:rsid w:val="0085731C"/>
    <w:rsid w:val="008A57B8"/>
    <w:rsid w:val="00906EFC"/>
    <w:rsid w:val="00BA2C40"/>
    <w:rsid w:val="00BC2BEF"/>
    <w:rsid w:val="00D022B2"/>
    <w:rsid w:val="00E27D72"/>
    <w:rsid w:val="00E7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 Header"/>
    <w:next w:val="Normal"/>
    <w:qFormat/>
    <w:rsid w:val="006A751A"/>
    <w:pPr>
      <w:jc w:val="center"/>
    </w:pPr>
    <w:rPr>
      <w:rFonts w:ascii="Arial" w:hAnsi="Arial"/>
      <w:smallCaps/>
    </w:rPr>
  </w:style>
  <w:style w:type="paragraph" w:customStyle="1" w:styleId="Figure">
    <w:name w:val="Figure"/>
    <w:basedOn w:val="Normal"/>
    <w:next w:val="Normal"/>
    <w:qFormat/>
    <w:rsid w:val="006A751A"/>
    <w:pPr>
      <w:spacing w:line="360" w:lineRule="auto"/>
      <w:jc w:val="center"/>
    </w:pPr>
    <w:rPr>
      <w:b/>
    </w:rPr>
  </w:style>
  <w:style w:type="paragraph" w:styleId="BalloonText">
    <w:name w:val="Balloon Text"/>
    <w:basedOn w:val="Normal"/>
    <w:link w:val="BalloonTextChar"/>
    <w:uiPriority w:val="99"/>
    <w:semiHidden/>
    <w:unhideWhenUsed/>
    <w:rsid w:val="00BA2C40"/>
    <w:rPr>
      <w:rFonts w:ascii="Tahoma" w:hAnsi="Tahoma" w:cs="Tahoma"/>
      <w:sz w:val="16"/>
      <w:szCs w:val="16"/>
    </w:rPr>
  </w:style>
  <w:style w:type="character" w:customStyle="1" w:styleId="BalloonTextChar">
    <w:name w:val="Balloon Text Char"/>
    <w:basedOn w:val="DefaultParagraphFont"/>
    <w:link w:val="BalloonText"/>
    <w:uiPriority w:val="99"/>
    <w:semiHidden/>
    <w:rsid w:val="00BA2C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 Header"/>
    <w:next w:val="Normal"/>
    <w:qFormat/>
    <w:rsid w:val="006A751A"/>
    <w:pPr>
      <w:jc w:val="center"/>
    </w:pPr>
    <w:rPr>
      <w:rFonts w:ascii="Arial" w:hAnsi="Arial"/>
      <w:smallCaps/>
    </w:rPr>
  </w:style>
  <w:style w:type="paragraph" w:customStyle="1" w:styleId="Figure">
    <w:name w:val="Figure"/>
    <w:basedOn w:val="Normal"/>
    <w:next w:val="Normal"/>
    <w:qFormat/>
    <w:rsid w:val="006A751A"/>
    <w:pPr>
      <w:spacing w:line="360" w:lineRule="auto"/>
      <w:jc w:val="center"/>
    </w:pPr>
    <w:rPr>
      <w:b/>
    </w:rPr>
  </w:style>
  <w:style w:type="paragraph" w:styleId="BalloonText">
    <w:name w:val="Balloon Text"/>
    <w:basedOn w:val="Normal"/>
    <w:link w:val="BalloonTextChar"/>
    <w:uiPriority w:val="99"/>
    <w:semiHidden/>
    <w:unhideWhenUsed/>
    <w:rsid w:val="00BA2C40"/>
    <w:rPr>
      <w:rFonts w:ascii="Tahoma" w:hAnsi="Tahoma" w:cs="Tahoma"/>
      <w:sz w:val="16"/>
      <w:szCs w:val="16"/>
    </w:rPr>
  </w:style>
  <w:style w:type="character" w:customStyle="1" w:styleId="BalloonTextChar">
    <w:name w:val="Balloon Text Char"/>
    <w:basedOn w:val="DefaultParagraphFont"/>
    <w:link w:val="BalloonText"/>
    <w:uiPriority w:val="99"/>
    <w:semiHidden/>
    <w:rsid w:val="00BA2C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106241">
      <w:bodyDiv w:val="1"/>
      <w:marLeft w:val="0"/>
      <w:marRight w:val="0"/>
      <w:marTop w:val="0"/>
      <w:marBottom w:val="0"/>
      <w:divBdr>
        <w:top w:val="none" w:sz="0" w:space="0" w:color="auto"/>
        <w:left w:val="none" w:sz="0" w:space="0" w:color="auto"/>
        <w:bottom w:val="none" w:sz="0" w:space="0" w:color="auto"/>
        <w:right w:val="none" w:sz="0" w:space="0" w:color="auto"/>
      </w:divBdr>
    </w:div>
    <w:div w:id="798109361">
      <w:bodyDiv w:val="1"/>
      <w:marLeft w:val="0"/>
      <w:marRight w:val="0"/>
      <w:marTop w:val="0"/>
      <w:marBottom w:val="0"/>
      <w:divBdr>
        <w:top w:val="none" w:sz="0" w:space="0" w:color="auto"/>
        <w:left w:val="none" w:sz="0" w:space="0" w:color="auto"/>
        <w:bottom w:val="none" w:sz="0" w:space="0" w:color="auto"/>
        <w:right w:val="none" w:sz="0" w:space="0" w:color="auto"/>
      </w:divBdr>
    </w:div>
    <w:div w:id="94681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package" Target="embeddings/Microsoft_Visio_Drawing1.vsdx"/><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Visio_Drawing3.vsdx"/><Relationship Id="rId5" Type="http://schemas.openxmlformats.org/officeDocument/2006/relationships/image" Target="media/image1.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package" Target="embeddings/Microsoft_Visio_Drawing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6</Pages>
  <Words>550</Words>
  <Characters>3140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Dustin</dc:creator>
  <cp:lastModifiedBy>Dustin</cp:lastModifiedBy>
  <cp:revision>1</cp:revision>
  <dcterms:created xsi:type="dcterms:W3CDTF">2014-03-31T03:11:00Z</dcterms:created>
  <dcterms:modified xsi:type="dcterms:W3CDTF">2014-03-31T06:20:00Z</dcterms:modified>
</cp:coreProperties>
</file>