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5684"/>
      </w:tblGrid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系统应该允许收银员在销售任务</w:t>
            </w:r>
            <w:r w:rsidR="00ED769E" w:rsidRPr="00ED769E">
              <w:rPr>
                <w:rFonts w:ascii="Times-Roman+2" w:hAnsi="Times-Roman+2" w:cs="Times-Roman+2" w:hint="eastAsia"/>
                <w:color w:val="FF0000"/>
                <w:szCs w:val="21"/>
              </w:rPr>
              <w:t>（输出：销售任务主界面）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  <w:r w:rsidR="00775A99" w:rsidRPr="00ED769E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在收银员请求输入会员客户编号时，系统要标记会员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5D0CC4">
              <w:rPr>
                <w:rFonts w:ascii="Times-Roman+2" w:hAnsi="Times-Roman+2" w:cs="Times-Roman+2" w:hint="eastAsia"/>
                <w:szCs w:val="21"/>
              </w:rPr>
              <w:t>Sale.Member</w:t>
            </w:r>
            <w:proofErr w:type="spellEnd"/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在收银员输入结束销售命令时，系统要结束一个销售任务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5D0CC4">
              <w:rPr>
                <w:rFonts w:ascii="Times-Roman+2" w:hAnsi="Times-Roman+2" w:cs="Times-Roman+2" w:hint="eastAsia"/>
                <w:szCs w:val="21"/>
              </w:rPr>
              <w:t>Sale.End</w:t>
            </w:r>
            <w:proofErr w:type="spellEnd"/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在收银员输入取消命令时，系统关闭销售任务不做任何处理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在收银员输入删除已输入商品命令时，执行删除已输入商品命令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5D0CC4">
              <w:rPr>
                <w:rFonts w:ascii="Times-Roman+2" w:hAnsi="Times-Roman+2" w:cs="Times-Roman+2" w:hint="eastAsia"/>
                <w:szCs w:val="21"/>
              </w:rPr>
              <w:t>Sale.Del</w:t>
            </w:r>
            <w:proofErr w:type="spellEnd"/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在收银员输入商品目录中存在的商品标识</w:t>
            </w:r>
            <w:r w:rsidR="00B15131" w:rsidRPr="00B15131">
              <w:rPr>
                <w:rFonts w:ascii="Times-Roman+2" w:hAnsi="Times-Roman+2" w:cs="Times-Roman+2" w:hint="eastAsia"/>
                <w:szCs w:val="21"/>
              </w:rPr>
              <w:t>和数量</w:t>
            </w:r>
            <w:r w:rsidR="00BF76CA" w:rsidRPr="00E448E8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时，系统执行商品输入任务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5D0CC4">
              <w:rPr>
                <w:rFonts w:ascii="Times-Roman+2" w:hAnsi="Times-Roman+2" w:cs="Times-Roman+2" w:hint="eastAsia"/>
                <w:szCs w:val="21"/>
              </w:rPr>
              <w:t>Sale.Goods</w:t>
            </w:r>
            <w:proofErr w:type="spellEnd"/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D20" w:rsidRPr="00CF7258" w:rsidRDefault="00B15131" w:rsidP="00775A9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在收银员输入其他标识时，系统不予响应</w:t>
            </w:r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Sale.Member.Start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在销售任务最开始时请求标记会员，系统要允许收银员进行输入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Sale.Member.Notstart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不是在销售任务最开始时请求标记会员，系统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员取消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会员输入</w:t>
            </w:r>
            <w:r w:rsidR="00ED769E" w:rsidRPr="00ED769E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="00ED769E" w:rsidRPr="00ED769E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时，系统关闭会员输入任务，返回销售任务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2D55A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在收银员输入已有会员的客户编号时，系统显示该会员的信息</w:t>
            </w:r>
            <w:r w:rsidR="00775A99" w:rsidRPr="00ED769E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查询；内部逻辑文件</w:t>
            </w:r>
            <w:r w:rsidR="00775A99" w:rsidRPr="00ED769E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Sale.Member.Valid.List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显示会员信息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0.5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秒之后，系统返回销售任务，并标记其会员信息</w:t>
            </w:r>
            <w:r w:rsidR="00775A99" w:rsidRPr="00775A99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在收银员输入其他输入时，系统提示输入无效</w:t>
            </w:r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在收银员未输入任何商品就输入结束命令时，系统关闭销售任务不做任何处理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在收银员输入一系列商品之后输入结束命令时，系统要处理结束销售任务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Sale.End.Goods.Gift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系统要处理赠品任务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5D0CC4">
              <w:rPr>
                <w:rFonts w:ascii="Times-Roman+2" w:hAnsi="Times-Roman+2" w:cs="Times-Roman+2" w:hint="eastAsia"/>
                <w:szCs w:val="21"/>
              </w:rPr>
              <w:t>Sale.Gift</w:t>
            </w:r>
            <w:proofErr w:type="spellEnd"/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系统要计算总价，显示账单信息，执行结账任务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5D0CC4">
              <w:rPr>
                <w:rFonts w:ascii="Times-Roman+2" w:hAnsi="Times-Roman+2" w:cs="Times-Roman+2" w:hint="eastAsia"/>
                <w:szCs w:val="21"/>
              </w:rPr>
              <w:t>Sale.Check</w:t>
            </w:r>
            <w:proofErr w:type="spellEnd"/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在收银员未输入任何商品就输入删除已输入商品命令时，系统不予响应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D20" w:rsidRPr="00CF7258" w:rsidRDefault="00F14D20" w:rsidP="00775A99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在收银员删除商品列表中</w:t>
            </w:r>
            <w:r w:rsidR="00CA6660">
              <w:rPr>
                <w:rFonts w:ascii="Times-Roman+2" w:hAnsi="Times-Roman+2" w:cs="Times-Roman+2" w:hint="eastAsia"/>
                <w:szCs w:val="21"/>
              </w:rPr>
              <w:t>选定的商品</w:t>
            </w:r>
            <w:r w:rsidR="00775A99" w:rsidRPr="00775A99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="00775A99" w:rsidRPr="00775A99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时，系统在商品列表中删除该商品</w:t>
            </w:r>
            <w:r w:rsidR="00775A99" w:rsidRPr="00775A99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="002D55A4">
              <w:rPr>
                <w:rFonts w:ascii="Times-Roman+2" w:hAnsi="Times-Roman+2" w:cs="Times-Roman+2" w:hint="eastAsia"/>
                <w:color w:val="FF0000"/>
                <w:szCs w:val="21"/>
              </w:rPr>
              <w:t>×</w:t>
            </w:r>
            <w:r w:rsidR="002D55A4">
              <w:rPr>
                <w:rFonts w:ascii="Times-Roman+2" w:hAnsi="Times-Roman+2" w:cs="Times-Roman+2" w:hint="eastAsia"/>
                <w:color w:val="FF0000"/>
                <w:szCs w:val="21"/>
              </w:rPr>
              <w:t>2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；输出</w:t>
            </w:r>
            <w:r w:rsidR="00775A99" w:rsidRPr="00775A99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系统显示输入商品的信息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；</w:t>
            </w:r>
            <w:r w:rsidR="002D55A4"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Sale.Goods.Subtotal.Special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2D55A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如果存在适用</w:t>
            </w:r>
            <w:r>
              <w:rPr>
                <w:rFonts w:ascii="Times-Roman+2" w:hAnsi="Times-Roman+2" w:cs="Times-Roman+2" w:hint="eastAsia"/>
                <w:szCs w:val="21"/>
              </w:rPr>
              <w:t>（商品标识、今天）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的商品特价策略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="005D0CC4">
              <w:rPr>
                <w:rFonts w:ascii="Times-Roman+2" w:hAnsi="Times-Roman+2" w:cs="Times-Roman+2" w:hint="eastAsia"/>
                <w:szCs w:val="21"/>
              </w:rPr>
              <w:t>（参见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BR3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</w:t>
            </w:r>
            <w:r>
              <w:rPr>
                <w:rFonts w:ascii="Times-Roman+2" w:hAnsi="Times-Roman+2" w:cs="Times-Roman+2" w:hint="eastAsia"/>
                <w:szCs w:val="21"/>
              </w:rPr>
              <w:t>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该商品的</w:t>
            </w:r>
            <w:r>
              <w:rPr>
                <w:rFonts w:ascii="Times-Roman+2" w:hAnsi="Times-Roman+2" w:cs="Times-Roman+2" w:hint="eastAsia"/>
                <w:szCs w:val="21"/>
              </w:rPr>
              <w:t>特价设为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特价策略的特价</w:t>
            </w:r>
            <w:r>
              <w:rPr>
                <w:rFonts w:ascii="Times-Roman+2" w:hAnsi="Times-Roman+2" w:cs="Times-Roman+2" w:hint="eastAsia"/>
                <w:szCs w:val="21"/>
              </w:rPr>
              <w:t>，并计算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分项总价为（特价×数量），并将其计入特价商品总价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Sale.Goods.Subtotal.Common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在商品是</w:t>
            </w:r>
            <w:r>
              <w:rPr>
                <w:rFonts w:ascii="Times-Roman+2" w:hAnsi="Times-Roman+2" w:cs="Times-Roman+2" w:hint="eastAsia"/>
                <w:szCs w:val="21"/>
              </w:rPr>
              <w:t>普通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商品时，系统计算</w:t>
            </w:r>
            <w:bookmarkStart w:id="0" w:name="_GoBack"/>
            <w:bookmarkEnd w:id="0"/>
            <w:r w:rsidRPr="00CF7258">
              <w:rPr>
                <w:rFonts w:ascii="Times-Roman+2" w:hAnsi="Times-Roman+2" w:cs="Times-Roman+2" w:hint="eastAsia"/>
                <w:szCs w:val="21"/>
              </w:rPr>
              <w:t>该商品分项总价为（商品的价格×商品的数量），并将其计入普通商品总价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在显示商品信息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0.5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秒之后，系统显示已输入商品列表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（输出</w:t>
            </w:r>
            <w:r w:rsidR="005D0CC4">
              <w:rPr>
                <w:rFonts w:ascii="Times-Roman+2" w:hAnsi="Times-Roman+2" w:cs="Times-Roman+2" w:hint="eastAsia"/>
                <w:color w:val="FF0000"/>
                <w:szCs w:val="21"/>
              </w:rPr>
              <w:t>；</w:t>
            </w:r>
            <w:r w:rsidR="005D0CC4" w:rsidRPr="002D55A4">
              <w:rPr>
                <w:rFonts w:ascii="Times-Roman+2" w:hAnsi="Times-Roman+2" w:cs="Times-Roman+2" w:hint="eastAsia"/>
                <w:color w:val="8DB3E2" w:themeColor="text2" w:themeTint="66"/>
                <w:szCs w:val="21"/>
              </w:rPr>
              <w:t>内部逻辑文件</w:t>
            </w:r>
            <w:r w:rsidR="00B15131" w:rsidRPr="00B15131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，并将新输入商品信息添加到列表中</w:t>
            </w:r>
            <w:r w:rsidR="003217F1">
              <w:rPr>
                <w:rFonts w:ascii="Times-Roman+2" w:hAnsi="Times-Roman+2" w:cs="Times-Roman+2" w:hint="eastAsia"/>
                <w:szCs w:val="21"/>
              </w:rPr>
              <w:t>，依据</w:t>
            </w:r>
            <w:proofErr w:type="spellStart"/>
            <w:r w:rsidR="003217F1"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="003217F1" w:rsidRPr="008B7D80"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  <w:r w:rsidR="003217F1">
              <w:rPr>
                <w:rFonts w:ascii="Times-Roman+2" w:hAnsi="Times-Roman+2" w:cs="Times-Roman+2" w:hint="eastAsia"/>
                <w:szCs w:val="21"/>
              </w:rPr>
              <w:t>计算总价</w:t>
            </w:r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系统显示赠品列表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2D55A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对于每一个销售任务商品列表中的商品，如果有适用</w:t>
            </w:r>
            <w:r>
              <w:rPr>
                <w:rFonts w:ascii="Times-Roman+2" w:hAnsi="Times-Roman+2" w:cs="Times-Roman+2" w:hint="eastAsia"/>
                <w:szCs w:val="21"/>
              </w:rPr>
              <w:t>（商品标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识、今天）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的商品赠送策略</w:t>
            </w:r>
            <w:r w:rsidR="000E33E2" w:rsidRPr="000E33E2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="000E33E2" w:rsidRPr="000E33E2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（参见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），系统将商品赠送策略的赠送商品信息添加到赠品列表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</w:t>
            </w:r>
            <w:r w:rsidR="002D55A4">
              <w:rPr>
                <w:rFonts w:ascii="Times-Roman+2" w:hAnsi="Times-Roman+2" w:cs="Times-Roman+2" w:hint="eastAsia"/>
                <w:color w:val="FF0000"/>
                <w:szCs w:val="21"/>
              </w:rPr>
              <w:t>×</w:t>
            </w:r>
            <w:r w:rsidR="002D55A4">
              <w:rPr>
                <w:rFonts w:ascii="Times-Roman+2" w:hAnsi="Times-Roman+2" w:cs="Times-Roman+2" w:hint="eastAsia"/>
                <w:color w:val="FF0000"/>
                <w:szCs w:val="21"/>
              </w:rPr>
              <w:t>2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，输出）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，赠送策略中的赠送数量×商品列表中的商品数量为赠品数量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lastRenderedPageBreak/>
              <w:t>Sale.Gift.Amount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2D55A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对于销售任务的普通商品总价，如果有适用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普通商品总价</w:t>
            </w:r>
            <w:r>
              <w:rPr>
                <w:rFonts w:ascii="Times-Roman+2" w:hAnsi="Times-Roman+2" w:cs="Times-Roman+2" w:hint="eastAsia"/>
                <w:szCs w:val="21"/>
              </w:rPr>
              <w:t>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的总额赠送策略</w:t>
            </w:r>
            <w:r w:rsidR="000E33E2" w:rsidRPr="000E33E2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="000E33E2" w:rsidRPr="000E33E2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（参</w:t>
            </w:r>
            <w:r w:rsidR="005D0CC4">
              <w:rPr>
                <w:rFonts w:ascii="Times-Roman+2" w:hAnsi="Times-Roman+2" w:cs="Times-Roman+2" w:hint="eastAsia"/>
                <w:szCs w:val="21"/>
              </w:rPr>
              <w:t>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BR2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），系统将所有适用总额赠送策略的赠品信息和数量添加到赠</w:t>
            </w:r>
            <w:r>
              <w:rPr>
                <w:rFonts w:ascii="Times-Roman+2" w:hAnsi="Times-Roman+2" w:cs="Times-Roman+2" w:hint="eastAsia"/>
                <w:szCs w:val="21"/>
              </w:rPr>
              <w:t>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列表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5D0CC4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Pr="008B7D80"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系统逐一处理销售任务的商品列表，计算购买商品的总价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（内部逻辑文件，输出）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Pr="008B7D80">
              <w:rPr>
                <w:rFonts w:ascii="Times-Roman+2" w:hAnsi="Times-Roman+2" w:cs="Times-Roman+2"/>
                <w:szCs w:val="21"/>
              </w:rPr>
              <w:t>alculate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在销售任务中没有购买商品时，系统计算总价为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Sale.Calculate.Amount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2D55A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如果存在适用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普通商品总价</w:t>
            </w:r>
            <w:r>
              <w:rPr>
                <w:rFonts w:ascii="Times-Roman+2" w:hAnsi="Times-Roman+2" w:cs="Times-Roman+2" w:hint="eastAsia"/>
                <w:szCs w:val="21"/>
              </w:rPr>
              <w:t>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的总额特价策略</w:t>
            </w:r>
            <w:r w:rsidR="00D222FB" w:rsidRPr="00D222FB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="00D222FB" w:rsidRPr="00D222FB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（参</w:t>
            </w:r>
            <w:r w:rsidR="005D0CC4">
              <w:rPr>
                <w:rFonts w:ascii="Times-Roman+2" w:hAnsi="Times-Roman+2" w:cs="Times-Roman+2" w:hint="eastAsia"/>
                <w:szCs w:val="21"/>
              </w:rPr>
              <w:t>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BR4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），系统计算销售总价为（普通商品总价×折扣率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特价商品总价）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Sale.Calculate.Amount.Null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D20" w:rsidRPr="00CF7258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在没有符合上述条件的总额特价策略时，系统计算销售总价为（普通商品总价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特价商品总价）</w:t>
            </w:r>
          </w:p>
        </w:tc>
      </w:tr>
      <w:tr w:rsidR="00F14D20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5D0CC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系统计算并显示销售的账单信息（参</w:t>
            </w:r>
            <w:r w:rsidR="005D0CC4">
              <w:rPr>
                <w:rFonts w:ascii="Times-Roman+2" w:hAnsi="Times-Roman+2" w:cs="Times-Roman+2" w:hint="eastAsia"/>
                <w:szCs w:val="21"/>
              </w:rPr>
              <w:t>见</w:t>
            </w:r>
            <w:r w:rsidRPr="00CF7258">
              <w:rPr>
                <w:rFonts w:hint="eastAsia"/>
                <w:szCs w:val="21"/>
              </w:rPr>
              <w:t>Usability1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）和赠品列表</w:t>
            </w:r>
          </w:p>
        </w:tc>
      </w:tr>
      <w:tr w:rsidR="00F14D20" w:rsidRPr="00CF7258" w:rsidTr="000C1760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5D0CC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系统允许收银员</w:t>
            </w:r>
            <w:r w:rsidR="005D0CC4">
              <w:rPr>
                <w:rFonts w:ascii="Times-Roman+2" w:hAnsi="Times-Roman+2" w:cs="Times-Roman+2" w:hint="eastAsia"/>
                <w:szCs w:val="21"/>
              </w:rPr>
              <w:t>输入现金</w:t>
            </w:r>
            <w:r w:rsidR="005D0CC4" w:rsidRPr="005D0CC4">
              <w:rPr>
                <w:rFonts w:ascii="Times-Roman+2" w:hAnsi="Times-Roman+2" w:cs="Times-Roman+2" w:hint="eastAsia"/>
                <w:szCs w:val="21"/>
              </w:rPr>
              <w:t>和兑换积分</w:t>
            </w:r>
            <w:r w:rsidR="005D0CC4" w:rsidRPr="0046357A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</w:p>
        </w:tc>
      </w:tr>
      <w:tr w:rsidR="00F14D20" w:rsidRPr="00CF7258" w:rsidTr="000C1760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5D0CC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在收银员输入现金数额</w:t>
            </w:r>
            <w:r w:rsidR="0095170F">
              <w:rPr>
                <w:rFonts w:ascii="Times-Roman+2" w:hAnsi="Times-Roman+2" w:cs="Times-Roman+2" w:hint="eastAsia"/>
                <w:szCs w:val="21"/>
              </w:rPr>
              <w:t>和兑换积分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时，系统更新账单的现金数额及其显示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5D0CC4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="005D0CC4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，输出）</w:t>
            </w:r>
          </w:p>
        </w:tc>
      </w:tr>
      <w:tr w:rsidR="00F14D20" w:rsidRPr="00CF7258" w:rsidTr="000C1760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4D20" w:rsidRPr="008B7D80" w:rsidRDefault="00F14D20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4D20" w:rsidRPr="00CF7258" w:rsidRDefault="00F14D20" w:rsidP="005D0CC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在收银员输入其他内容时，系统提示输入无效</w:t>
            </w:r>
          </w:p>
        </w:tc>
      </w:tr>
      <w:tr w:rsidR="00FC346D" w:rsidRPr="00CF7258" w:rsidTr="000C1760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98444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95170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在收银员请求结束账单输入时</w:t>
            </w:r>
            <w:r w:rsidR="0095170F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95170F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="0095170F" w:rsidRPr="005D0CC4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，系统计算账单</w:t>
            </w:r>
            <w:r>
              <w:rPr>
                <w:rFonts w:ascii="Times-Roman+2" w:hAnsi="Times-Roman+2" w:cs="Times-Roman+2" w:hint="eastAsia"/>
                <w:szCs w:val="21"/>
              </w:rPr>
              <w:t>，执行</w:t>
            </w: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Sale.Confirm</w:t>
            </w:r>
            <w:proofErr w:type="spellEnd"/>
          </w:p>
        </w:tc>
      </w:tr>
      <w:tr w:rsidR="00FC346D" w:rsidRPr="00CF7258" w:rsidTr="000C1760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72BE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BA279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在（现金数额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兑换的积分额度）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&lt;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总价时，系统提示费用不足</w:t>
            </w:r>
            <w:r w:rsidRPr="00A37747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95170F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Pr="00A37747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C346D" w:rsidRPr="00CF7258" w:rsidTr="000C176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346D" w:rsidRPr="008B7D80" w:rsidRDefault="00FC346D" w:rsidP="00372BE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346D" w:rsidRPr="00CF7258" w:rsidRDefault="00FC346D" w:rsidP="002D55A4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在（现金数额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兑换的积分额度）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&gt;=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总价时，系统显示应找零数额</w:t>
            </w:r>
          </w:p>
        </w:tc>
      </w:tr>
      <w:tr w:rsidR="00FC346D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Sale.Confirm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系统应该允许收银员确认销售任务的完成情况</w:t>
            </w:r>
          </w:p>
        </w:tc>
      </w:tr>
      <w:tr w:rsidR="00FC346D" w:rsidRPr="00127581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Sale.Confirm.Timeout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Default="00FC346D" w:rsidP="002D55A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在销售开始</w:t>
            </w:r>
            <w:r>
              <w:rPr>
                <w:rFonts w:ascii="Times-Roman+2" w:hAnsi="Times-Roman+2" w:cs="Times-Roman+2" w:hint="eastAsia"/>
                <w:szCs w:val="21"/>
              </w:rPr>
              <w:t>2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个小时还没有接到收银员请求时，系统取消销售任务</w:t>
            </w:r>
          </w:p>
        </w:tc>
      </w:tr>
      <w:tr w:rsidR="00FC346D" w:rsidRPr="00127581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数据</w:t>
            </w:r>
            <w:r w:rsidR="0095170F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95170F">
              <w:rPr>
                <w:rFonts w:ascii="Times-Roman+2" w:hAnsi="Times-Roman+2" w:cs="Times-Roman+2" w:hint="eastAsia"/>
                <w:szCs w:val="21"/>
              </w:rPr>
              <w:t>Sale.Update</w:t>
            </w:r>
            <w:proofErr w:type="spellEnd"/>
          </w:p>
        </w:tc>
      </w:tr>
      <w:tr w:rsidR="00FC346D" w:rsidRPr="00127581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Sale.Confirm.Confirm.Close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szCs w:val="21"/>
              </w:rPr>
              <w:t>关闭销售任务</w:t>
            </w:r>
            <w:r w:rsidR="0095170F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 w:rsidR="0095170F">
              <w:rPr>
                <w:rFonts w:ascii="Times-Roman+2" w:hAnsi="Times-Roman+2" w:cs="Times-Roman+2" w:hint="eastAsia"/>
                <w:szCs w:val="21"/>
              </w:rPr>
              <w:t>Sale.Close</w:t>
            </w:r>
            <w:proofErr w:type="spellEnd"/>
          </w:p>
        </w:tc>
      </w:tr>
      <w:tr w:rsidR="00FC346D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Sale.Update.Sale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系统更新销售信息</w:t>
            </w:r>
            <w:r w:rsidRPr="00FC346D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Pr="00FC346D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Sale.Update.SaleItems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系统更新商品清单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（</w:t>
            </w:r>
            <w:r w:rsidR="00775A99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）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Sale.Update.GiftItems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系统更新赠品清单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（</w:t>
            </w:r>
            <w:r w:rsidR="00775A99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）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Sale.Update.Catalog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系统更新库存信息</w:t>
            </w:r>
            <w:r w:rsidRPr="00FC346D"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 w:rsidR="00775A99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Pr="00FC346D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F7258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系统更新账单信息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（</w:t>
            </w:r>
            <w:r w:rsidR="00775A99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）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如果销售系统标记了会员，系统更新会员信息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（</w:t>
            </w:r>
            <w:r w:rsidR="00775A99"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内部逻辑文件</w:t>
            </w:r>
            <w:r w:rsidRPr="001A7C15">
              <w:rPr>
                <w:rFonts w:ascii="Times-Roman+2" w:hAnsi="Times-Roman+2" w:cs="Times-Roman+2" w:hint="eastAsia"/>
                <w:color w:val="548DD4" w:themeColor="text2" w:themeTint="99"/>
                <w:szCs w:val="21"/>
              </w:rPr>
              <w:t>）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346D" w:rsidRPr="00C5034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如果销售系统没有标记会员，系统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Reliability1</w:t>
            </w:r>
          </w:p>
        </w:tc>
      </w:tr>
      <w:tr w:rsidR="00FC346D" w:rsidRPr="00CF7258" w:rsidTr="003E004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lastRenderedPageBreak/>
              <w:t>Sale.Close.Print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C346D" w:rsidRDefault="00FC346D" w:rsidP="001A7C1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系统打印销售收据</w:t>
            </w:r>
            <w:r w:rsidRPr="00AA047C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IC1</w:t>
            </w:r>
          </w:p>
        </w:tc>
      </w:tr>
      <w:tr w:rsidR="00FC346D" w:rsidRPr="00CF7258" w:rsidTr="003E004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346D" w:rsidRPr="008B7D80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346D" w:rsidRDefault="00FC346D" w:rsidP="003E00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销售任务，开始新的销售任务</w:t>
            </w:r>
          </w:p>
        </w:tc>
      </w:tr>
    </w:tbl>
    <w:p w:rsidR="00557DA1" w:rsidRPr="00F14D20" w:rsidRDefault="00557DA1"/>
    <w:sectPr w:rsidR="00557DA1" w:rsidRPr="00F14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DB7" w:rsidRDefault="002A2DB7" w:rsidP="000C1760">
      <w:r>
        <w:separator/>
      </w:r>
    </w:p>
  </w:endnote>
  <w:endnote w:type="continuationSeparator" w:id="0">
    <w:p w:rsidR="002A2DB7" w:rsidRDefault="002A2DB7" w:rsidP="000C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DB7" w:rsidRDefault="002A2DB7" w:rsidP="000C1760">
      <w:r>
        <w:separator/>
      </w:r>
    </w:p>
  </w:footnote>
  <w:footnote w:type="continuationSeparator" w:id="0">
    <w:p w:rsidR="002A2DB7" w:rsidRDefault="002A2DB7" w:rsidP="000C1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20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1760"/>
    <w:rsid w:val="000C3E22"/>
    <w:rsid w:val="000E33E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A7C15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0BFE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2DB7"/>
    <w:rsid w:val="002B4A45"/>
    <w:rsid w:val="002D55A4"/>
    <w:rsid w:val="002E191D"/>
    <w:rsid w:val="002E357D"/>
    <w:rsid w:val="002F2741"/>
    <w:rsid w:val="00310926"/>
    <w:rsid w:val="00315DA4"/>
    <w:rsid w:val="00317CB3"/>
    <w:rsid w:val="003217F1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6357A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0CC4"/>
    <w:rsid w:val="005D34D6"/>
    <w:rsid w:val="00612BA9"/>
    <w:rsid w:val="00630883"/>
    <w:rsid w:val="00642675"/>
    <w:rsid w:val="0064489A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5A99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E513B"/>
    <w:rsid w:val="0093322E"/>
    <w:rsid w:val="009333A1"/>
    <w:rsid w:val="00933DEC"/>
    <w:rsid w:val="009464EF"/>
    <w:rsid w:val="009506DB"/>
    <w:rsid w:val="0095170F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3774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A047C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131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2793"/>
    <w:rsid w:val="00BA4074"/>
    <w:rsid w:val="00BA466A"/>
    <w:rsid w:val="00BB27E0"/>
    <w:rsid w:val="00BC53E7"/>
    <w:rsid w:val="00BC610E"/>
    <w:rsid w:val="00BD5EDB"/>
    <w:rsid w:val="00BF4C77"/>
    <w:rsid w:val="00BF5DB9"/>
    <w:rsid w:val="00BF76CA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6660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222FB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448E8"/>
    <w:rsid w:val="00E579AA"/>
    <w:rsid w:val="00E82A65"/>
    <w:rsid w:val="00EA4D5F"/>
    <w:rsid w:val="00EA574D"/>
    <w:rsid w:val="00EB3F26"/>
    <w:rsid w:val="00EB529C"/>
    <w:rsid w:val="00ED3894"/>
    <w:rsid w:val="00ED5D73"/>
    <w:rsid w:val="00ED769E"/>
    <w:rsid w:val="00EE11DD"/>
    <w:rsid w:val="00EE278D"/>
    <w:rsid w:val="00EF40F5"/>
    <w:rsid w:val="00EF602D"/>
    <w:rsid w:val="00F07DCB"/>
    <w:rsid w:val="00F11055"/>
    <w:rsid w:val="00F13BAE"/>
    <w:rsid w:val="00F14D20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346D"/>
    <w:rsid w:val="00FC544F"/>
    <w:rsid w:val="00FD50B9"/>
    <w:rsid w:val="00FE1699"/>
    <w:rsid w:val="00FE6EFB"/>
    <w:rsid w:val="00FF0365"/>
    <w:rsid w:val="00FF0DC6"/>
    <w:rsid w:val="00FF4932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4D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1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176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1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176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4D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1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176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1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17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2012-09-19T12:40:00Z</dcterms:created>
  <dcterms:modified xsi:type="dcterms:W3CDTF">2016-09-19T09:58:00Z</dcterms:modified>
</cp:coreProperties>
</file>