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retireplan-magi-planning-layout-notes"/>
    <w:p>
      <w:pPr>
        <w:pStyle w:val="Heading1"/>
      </w:pPr>
      <w:r>
        <w:t xml:space="preserve">RetirePlan MAGI Planning Layout Notes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note captures the current design direction for the</w:t>
      </w:r>
      <w:r>
        <w:t xml:space="preserve"> </w:t>
      </w:r>
      <w:r>
        <w:rPr>
          <w:b/>
          <w:bCs/>
        </w:rPr>
        <w:t xml:space="preserve">MAGI Planning</w:t>
      </w:r>
      <w:r>
        <w:t xml:space="preserve"> </w:t>
      </w:r>
      <w:r>
        <w:t xml:space="preserve">area of the retirement planner so the work can be picked up later without losing the reasoning.</w:t>
      </w:r>
    </w:p>
    <w:p>
      <w:pPr>
        <w:pStyle w:val="BodyText"/>
      </w:pPr>
      <w:r>
        <w:t xml:space="preserve">The goal is to make MAGI planning visible, editable, and understandable before wiring the full calculation logic.</w:t>
      </w:r>
    </w:p>
    <w:bookmarkEnd w:id="20"/>
    <w:bookmarkStart w:id="21" w:name="core-idea"/>
    <w:p>
      <w:pPr>
        <w:pStyle w:val="Heading2"/>
      </w:pPr>
      <w:r>
        <w:t xml:space="preserve">Core Idea</w:t>
      </w:r>
    </w:p>
    <w:p>
      <w:pPr>
        <w:pStyle w:val="FirstParagraph"/>
      </w:pPr>
      <w:r>
        <w:t xml:space="preserve">MAGI Planning should use a</w:t>
      </w:r>
      <w:r>
        <w:t xml:space="preserve"> </w:t>
      </w:r>
      <w:r>
        <w:rPr>
          <w:b/>
          <w:bCs/>
        </w:rPr>
        <w:t xml:space="preserve">4 × 4 input matrix</w:t>
      </w:r>
      <w:r>
        <w:t xml:space="preserve">.</w:t>
      </w:r>
    </w:p>
    <w:p>
      <w:pPr>
        <w:pStyle w:val="BodyText"/>
      </w:pPr>
      <w:r>
        <w:t xml:space="preserve">Rows represent the source of MAGI.</w:t>
      </w:r>
    </w:p>
    <w:p>
      <w:pPr>
        <w:pStyle w:val="BodyText"/>
      </w:pPr>
      <w:r>
        <w:t xml:space="preserve">Columns represent timing.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MAGI 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Projected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</w:tr>
    </w:tbl>
    <w:bookmarkEnd w:id="21"/>
    <w:bookmarkStart w:id="26" w:name="column-meanings"/>
    <w:p>
      <w:pPr>
        <w:pStyle w:val="Heading2"/>
      </w:pPr>
      <w:r>
        <w:t xml:space="preserve">Column Meanings</w:t>
      </w:r>
    </w:p>
    <w:bookmarkStart w:id="22" w:name="ytd"/>
    <w:p>
      <w:pPr>
        <w:pStyle w:val="Heading3"/>
      </w:pPr>
      <w:r>
        <w:t xml:space="preserve">YTD</w:t>
      </w:r>
    </w:p>
    <w:p>
      <w:pPr>
        <w:pStyle w:val="FirstParagraph"/>
      </w:pPr>
      <w:r>
        <w:t xml:space="preserve">Already happened in the first projection year.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Income already earned</w:t>
      </w:r>
    </w:p>
    <w:p>
      <w:pPr>
        <w:pStyle w:val="Compact"/>
        <w:numPr>
          <w:ilvl w:val="0"/>
          <w:numId w:val="1001"/>
        </w:numPr>
      </w:pPr>
      <w:r>
        <w:t xml:space="preserve">Capital gains already realized</w:t>
      </w:r>
    </w:p>
    <w:p>
      <w:pPr>
        <w:pStyle w:val="Compact"/>
        <w:numPr>
          <w:ilvl w:val="0"/>
          <w:numId w:val="1001"/>
        </w:numPr>
      </w:pPr>
      <w:r>
        <w:t xml:space="preserve">Capital losses already realized</w:t>
      </w:r>
    </w:p>
    <w:p>
      <w:pPr>
        <w:pStyle w:val="Compact"/>
        <w:numPr>
          <w:ilvl w:val="0"/>
          <w:numId w:val="1001"/>
        </w:numPr>
      </w:pPr>
      <w:r>
        <w:t xml:space="preserve">Roth conversions already completed</w:t>
      </w:r>
    </w:p>
    <w:bookmarkEnd w:id="22"/>
    <w:bookmarkStart w:id="23" w:name="projected"/>
    <w:p>
      <w:pPr>
        <w:pStyle w:val="Heading3"/>
      </w:pPr>
      <w:r>
        <w:t xml:space="preserve">Projected</w:t>
      </w:r>
    </w:p>
    <w:p>
      <w:pPr>
        <w:pStyle w:val="FirstParagraph"/>
      </w:pPr>
      <w:r>
        <w:t xml:space="preserve">Expected or planned for the rest of the first projection year.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Income expected before year-end</w:t>
      </w:r>
    </w:p>
    <w:p>
      <w:pPr>
        <w:pStyle w:val="Compact"/>
        <w:numPr>
          <w:ilvl w:val="0"/>
          <w:numId w:val="1002"/>
        </w:numPr>
      </w:pPr>
      <w:r>
        <w:t xml:space="preserve">Capital gains expected before year-end</w:t>
      </w:r>
    </w:p>
    <w:p>
      <w:pPr>
        <w:pStyle w:val="Compact"/>
        <w:numPr>
          <w:ilvl w:val="0"/>
          <w:numId w:val="1002"/>
        </w:numPr>
      </w:pPr>
      <w:r>
        <w:t xml:space="preserve">Capital losses expected before year-end</w:t>
      </w:r>
    </w:p>
    <w:p>
      <w:pPr>
        <w:pStyle w:val="Compact"/>
        <w:numPr>
          <w:ilvl w:val="0"/>
          <w:numId w:val="1002"/>
        </w:numPr>
      </w:pPr>
      <w:r>
        <w:t xml:space="preserve">Roth conversions planned before year-end</w:t>
      </w:r>
    </w:p>
    <w:bookmarkEnd w:id="23"/>
    <w:bookmarkStart w:id="24" w:name="annual"/>
    <w:p>
      <w:pPr>
        <w:pStyle w:val="Heading3"/>
      </w:pPr>
      <w:r>
        <w:t xml:space="preserve">Annual</w:t>
      </w:r>
    </w:p>
    <w:p>
      <w:pPr>
        <w:pStyle w:val="FirstParagraph"/>
      </w:pPr>
      <w:r>
        <w:t xml:space="preserve">Full-year amount starting in Year 2.</w:t>
      </w:r>
    </w:p>
    <w:p>
      <w:pPr>
        <w:pStyle w:val="BodyText"/>
      </w:pPr>
      <w:r>
        <w:t xml:space="preserve">This column represents ongoing future-year assumptions, not Year 1 partial-year values.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Annual income after Year 1</w:t>
      </w:r>
    </w:p>
    <w:p>
      <w:pPr>
        <w:pStyle w:val="Compact"/>
        <w:numPr>
          <w:ilvl w:val="0"/>
          <w:numId w:val="1003"/>
        </w:numPr>
      </w:pPr>
      <w:r>
        <w:t xml:space="preserve">Annual gains after Year 1</w:t>
      </w:r>
    </w:p>
    <w:p>
      <w:pPr>
        <w:pStyle w:val="Compact"/>
        <w:numPr>
          <w:ilvl w:val="0"/>
          <w:numId w:val="1003"/>
        </w:numPr>
      </w:pPr>
      <w:r>
        <w:t xml:space="preserve">Annual losses after Year 1</w:t>
      </w:r>
    </w:p>
    <w:p>
      <w:pPr>
        <w:pStyle w:val="Compact"/>
        <w:numPr>
          <w:ilvl w:val="0"/>
          <w:numId w:val="1003"/>
        </w:numPr>
      </w:pPr>
      <w:r>
        <w:t xml:space="preserve">Annual conversions after Year 1</w:t>
      </w:r>
    </w:p>
    <w:bookmarkEnd w:id="24"/>
    <w:bookmarkStart w:id="25" w:name="years"/>
    <w:p>
      <w:pPr>
        <w:pStyle w:val="Heading3"/>
      </w:pPr>
      <w:r>
        <w:t xml:space="preserve">Years</w:t>
      </w:r>
    </w:p>
    <w:p>
      <w:pPr>
        <w:pStyle w:val="FirstParagraph"/>
      </w:pPr>
      <w:r>
        <w:t xml:space="preserve">Number of future years the Annual value applies.</w:t>
      </w:r>
    </w:p>
    <w:p>
      <w:pPr>
        <w:pStyle w:val="BodyText"/>
      </w:pPr>
      <w:r>
        <w:t xml:space="preserve">This must be unique per row because each MAGI source may stop at a different time.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Gains may apply only while taxable brokerage assets are being sold.</w:t>
      </w:r>
    </w:p>
    <w:p>
      <w:pPr>
        <w:pStyle w:val="Compact"/>
        <w:numPr>
          <w:ilvl w:val="0"/>
          <w:numId w:val="1004"/>
        </w:numPr>
      </w:pPr>
      <w:r>
        <w:t xml:space="preserve">Losses may apply for a limited period.</w:t>
      </w:r>
    </w:p>
    <w:p>
      <w:pPr>
        <w:pStyle w:val="Compact"/>
        <w:numPr>
          <w:ilvl w:val="0"/>
          <w:numId w:val="1004"/>
        </w:numPr>
      </w:pPr>
      <w:r>
        <w:t xml:space="preserve">Conversions may continue longer than gains/losses.</w:t>
      </w:r>
    </w:p>
    <w:p>
      <w:pPr>
        <w:pStyle w:val="Compact"/>
        <w:numPr>
          <w:ilvl w:val="0"/>
          <w:numId w:val="1004"/>
        </w:numPr>
      </w:pPr>
      <w:r>
        <w:t xml:space="preserve">Income may have its own duration.</w:t>
      </w:r>
    </w:p>
    <w:bookmarkEnd w:id="25"/>
    <w:bookmarkEnd w:id="26"/>
    <w:bookmarkStart w:id="27" w:name="important-design-decision"/>
    <w:p>
      <w:pPr>
        <w:pStyle w:val="Heading2"/>
      </w:pPr>
      <w:r>
        <w:t xml:space="preserve">Important Design Decision</w:t>
      </w:r>
    </w:p>
    <w:p>
      <w:pPr>
        <w:pStyle w:val="FirstParagraph"/>
      </w:pPr>
      <w:r>
        <w:t xml:space="preserve">Annual values start in</w:t>
      </w:r>
      <w:r>
        <w:t xml:space="preserve"> </w:t>
      </w:r>
      <w:r>
        <w:rPr>
          <w:b/>
          <w:bCs/>
        </w:rPr>
        <w:t xml:space="preserve">Year 2</w:t>
      </w:r>
      <w:r>
        <w:t xml:space="preserve">.</w:t>
      </w:r>
    </w:p>
    <w:p>
      <w:pPr>
        <w:pStyle w:val="BodyText"/>
      </w:pPr>
      <w:r>
        <w:t xml:space="preserve">Year 1 is handled by:</w:t>
      </w:r>
    </w:p>
    <w:p>
      <w:pPr>
        <w:pStyle w:val="SourceCode"/>
      </w:pPr>
      <w:r>
        <w:rPr>
          <w:rStyle w:val="VerbatimChar"/>
        </w:rPr>
        <w:t xml:space="preserve">YTD + Projected</w:t>
      </w:r>
    </w:p>
    <w:p>
      <w:pPr>
        <w:pStyle w:val="FirstParagraph"/>
      </w:pPr>
      <w:r>
        <w:t xml:space="preserve">Future years are handled by:</w:t>
      </w:r>
    </w:p>
    <w:p>
      <w:pPr>
        <w:pStyle w:val="SourceCode"/>
      </w:pPr>
      <w:r>
        <w:rPr>
          <w:rStyle w:val="VerbatimChar"/>
        </w:rPr>
        <w:t xml:space="preserve">Annual amount × Years</w:t>
      </w:r>
    </w:p>
    <w:bookmarkEnd w:id="27"/>
    <w:bookmarkStart w:id="28" w:name="naming-direction"/>
    <w:p>
      <w:pPr>
        <w:pStyle w:val="Heading2"/>
      </w:pPr>
      <w:r>
        <w:t xml:space="preserve">Naming Direction</w:t>
      </w:r>
    </w:p>
    <w:p>
      <w:pPr>
        <w:pStyle w:val="FirstParagraph"/>
      </w:pPr>
      <w:r>
        <w:t xml:space="preserve">Current preferred flat input names:</w:t>
      </w:r>
    </w:p>
    <w:p>
      <w:pPr>
        <w:pStyle w:val="SourceCode"/>
      </w:pPr>
      <w:r>
        <w:rPr>
          <w:rStyle w:val="VerbatimChar"/>
        </w:rPr>
        <w:t xml:space="preserve">magi_income_ytd</w:t>
      </w:r>
      <w:r>
        <w:br/>
      </w:r>
      <w:r>
        <w:rPr>
          <w:rStyle w:val="VerbatimChar"/>
        </w:rPr>
        <w:t xml:space="preserve">magi_income_projected</w:t>
      </w:r>
      <w:r>
        <w:br/>
      </w:r>
      <w:r>
        <w:rPr>
          <w:rStyle w:val="VerbatimChar"/>
        </w:rPr>
        <w:t xml:space="preserve">magi_income_annual</w:t>
      </w:r>
      <w:r>
        <w:br/>
      </w:r>
      <w:r>
        <w:rPr>
          <w:rStyle w:val="VerbatimChar"/>
        </w:rPr>
        <w:t xml:space="preserve">magi_income_years</w:t>
      </w:r>
      <w:r>
        <w:br/>
      </w:r>
      <w:r>
        <w:br/>
      </w:r>
      <w:r>
        <w:rPr>
          <w:rStyle w:val="VerbatimChar"/>
        </w:rPr>
        <w:t xml:space="preserve">magi_gains_ytd</w:t>
      </w:r>
      <w:r>
        <w:br/>
      </w:r>
      <w:r>
        <w:rPr>
          <w:rStyle w:val="VerbatimChar"/>
        </w:rPr>
        <w:t xml:space="preserve">magi_gains_projected</w:t>
      </w:r>
      <w:r>
        <w:br/>
      </w:r>
      <w:r>
        <w:rPr>
          <w:rStyle w:val="VerbatimChar"/>
        </w:rPr>
        <w:t xml:space="preserve">magi_gains_annual</w:t>
      </w:r>
      <w:r>
        <w:br/>
      </w:r>
      <w:r>
        <w:rPr>
          <w:rStyle w:val="VerbatimChar"/>
        </w:rPr>
        <w:t xml:space="preserve">magi_gains_years</w:t>
      </w:r>
      <w:r>
        <w:br/>
      </w:r>
      <w:r>
        <w:br/>
      </w:r>
      <w:r>
        <w:rPr>
          <w:rStyle w:val="VerbatimChar"/>
        </w:rPr>
        <w:t xml:space="preserve">magi_losses_ytd</w:t>
      </w:r>
      <w:r>
        <w:br/>
      </w:r>
      <w:r>
        <w:rPr>
          <w:rStyle w:val="VerbatimChar"/>
        </w:rPr>
        <w:t xml:space="preserve">magi_losses_projected</w:t>
      </w:r>
      <w:r>
        <w:br/>
      </w:r>
      <w:r>
        <w:rPr>
          <w:rStyle w:val="VerbatimChar"/>
        </w:rPr>
        <w:t xml:space="preserve">magi_losses_annual</w:t>
      </w:r>
      <w:r>
        <w:br/>
      </w:r>
      <w:r>
        <w:rPr>
          <w:rStyle w:val="VerbatimChar"/>
        </w:rPr>
        <w:t xml:space="preserve">magi_losses_years</w:t>
      </w:r>
      <w:r>
        <w:br/>
      </w:r>
      <w:r>
        <w:br/>
      </w:r>
      <w:r>
        <w:rPr>
          <w:rStyle w:val="VerbatimChar"/>
        </w:rPr>
        <w:t xml:space="preserve">magi_conversions_ytd</w:t>
      </w:r>
      <w:r>
        <w:br/>
      </w:r>
      <w:r>
        <w:rPr>
          <w:rStyle w:val="VerbatimChar"/>
        </w:rPr>
        <w:t xml:space="preserve">magi_conversions_projected</w:t>
      </w:r>
      <w:r>
        <w:br/>
      </w:r>
      <w:r>
        <w:rPr>
          <w:rStyle w:val="VerbatimChar"/>
        </w:rPr>
        <w:t xml:space="preserve">magi_conversions_annual</w:t>
      </w:r>
      <w:r>
        <w:br/>
      </w:r>
      <w:r>
        <w:rPr>
          <w:rStyle w:val="VerbatimChar"/>
        </w:rPr>
        <w:t xml:space="preserve">magi_conversions_years</w:t>
      </w:r>
    </w:p>
    <w:p>
      <w:pPr>
        <w:pStyle w:val="FirstParagraph"/>
      </w:pPr>
      <w:r>
        <w:t xml:space="preserve">Reason for</w:t>
      </w:r>
      <w:r>
        <w:t xml:space="preserve"> </w:t>
      </w:r>
      <w:r>
        <w:rPr>
          <w:rStyle w:val="VerbatimChar"/>
        </w:rPr>
        <w:t xml:space="preserve">magi_</w:t>
      </w:r>
      <w:r>
        <w:t xml:space="preserve"> </w:t>
      </w:r>
      <w:r>
        <w:t xml:space="preserve">prefix:</w:t>
      </w:r>
      <w:r>
        <w:t xml:space="preserve"> </w:t>
      </w:r>
      <w:r>
        <w:t xml:space="preserve">These are not generic income fields. They are MAGI planning inputs.</w:t>
      </w:r>
    </w:p>
    <w:bookmarkEnd w:id="28"/>
    <w:bookmarkStart w:id="32" w:name="terms-to-preserve"/>
    <w:p>
      <w:pPr>
        <w:pStyle w:val="Heading2"/>
      </w:pPr>
      <w:r>
        <w:t xml:space="preserve">Terms To Preserve</w:t>
      </w:r>
    </w:p>
    <w:bookmarkStart w:id="29" w:name="target"/>
    <w:p>
      <w:pPr>
        <w:pStyle w:val="Heading3"/>
      </w:pPr>
      <w:r>
        <w:t xml:space="preserve">Target</w:t>
      </w:r>
    </w:p>
    <w:p>
      <w:pPr>
        <w:pStyle w:val="FirstParagraph"/>
      </w:pPr>
      <w:r>
        <w:rPr>
          <w:rStyle w:val="VerbatimChar"/>
        </w:rPr>
        <w:t xml:space="preserve">Target</w:t>
      </w:r>
      <w:r>
        <w:t xml:space="preserve"> </w:t>
      </w:r>
      <w:r>
        <w:t xml:space="preserve">means the user-chosen goal only.</w:t>
      </w:r>
    </w:p>
    <w:p>
      <w:pPr>
        <w:pStyle w:val="BodyText"/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for calculated or projected outcomes.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magi_target_base</w:t>
      </w:r>
      <w:r>
        <w:t xml:space="preserve"> </w:t>
      </w:r>
      <w:r>
        <w:t xml:space="preserve">= user’s MAGI goal baseline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Target_MAGI</w:t>
      </w:r>
      <w:r>
        <w:t xml:space="preserve"> </w:t>
      </w:r>
      <w:r>
        <w:t xml:space="preserve">= output/display of the user’s MAGI goal</w:t>
      </w:r>
    </w:p>
    <w:bookmarkEnd w:id="29"/>
    <w:bookmarkStart w:id="30" w:name="projected-1"/>
    <w:p>
      <w:pPr>
        <w:pStyle w:val="Heading3"/>
      </w:pPr>
      <w:r>
        <w:t xml:space="preserve">Projected</w:t>
      </w:r>
    </w:p>
    <w:p>
      <w:pPr>
        <w:pStyle w:val="FirstParagraph"/>
      </w:pPr>
      <w:r>
        <w:rPr>
          <w:rStyle w:val="VerbatimChar"/>
        </w:rPr>
        <w:t xml:space="preserve">Projected</w:t>
      </w:r>
      <w:r>
        <w:t xml:space="preserve"> </w:t>
      </w:r>
      <w:r>
        <w:t xml:space="preserve">means expected/planned or calculated forward-looking value depending on context.</w:t>
      </w:r>
    </w:p>
    <w:p>
      <w:pPr>
        <w:pStyle w:val="BodyText"/>
      </w:pPr>
      <w:r>
        <w:t xml:space="preserve">In the GUI input grid: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Projected</w:t>
      </w:r>
      <w:r>
        <w:t xml:space="preserve"> </w:t>
      </w:r>
      <w:r>
        <w:t xml:space="preserve">means expected/planned for the rest of Year 1.</w:t>
      </w:r>
    </w:p>
    <w:p>
      <w:pPr>
        <w:pStyle w:val="FirstParagraph"/>
      </w:pPr>
      <w:r>
        <w:t xml:space="preserve">In output/calculation context: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Projected_MAGI</w:t>
      </w:r>
      <w:r>
        <w:t xml:space="preserve"> </w:t>
      </w:r>
      <w:r>
        <w:t xml:space="preserve">would mean calculated MAGI outcome.</w:t>
      </w:r>
    </w:p>
    <w:p>
      <w:pPr>
        <w:pStyle w:val="FirstParagraph"/>
      </w:pPr>
      <w:r>
        <w:t xml:space="preserve">Be careful not to confuse user-entered projected inputs with calculated projected results.</w:t>
      </w:r>
    </w:p>
    <w:bookmarkEnd w:id="30"/>
    <w:bookmarkStart w:id="31" w:name="remaining"/>
    <w:p>
      <w:pPr>
        <w:pStyle w:val="Heading3"/>
      </w:pPr>
      <w:r>
        <w:t xml:space="preserve">Remaining</w:t>
      </w:r>
    </w:p>
    <w:p>
      <w:pPr>
        <w:pStyle w:val="FirstParagraph"/>
      </w:pPr>
      <w:r>
        <w:rPr>
          <w:rStyle w:val="VerbatimChar"/>
        </w:rPr>
        <w:t xml:space="preserve">Remaining</w:t>
      </w:r>
      <w:r>
        <w:t xml:space="preserve"> </w:t>
      </w:r>
      <w:r>
        <w:t xml:space="preserve">should mean unused space before reaching a target, limit, or boundary.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8"/>
        </w:numPr>
      </w:pPr>
      <w:r>
        <w:t xml:space="preserve">MAGI remaining before reaching the user target or ACA ceiling.</w:t>
      </w:r>
    </w:p>
    <w:bookmarkEnd w:id="31"/>
    <w:bookmarkEnd w:id="32"/>
    <w:bookmarkStart w:id="33" w:name="gui-direction"/>
    <w:p>
      <w:pPr>
        <w:pStyle w:val="Heading2"/>
      </w:pPr>
      <w:r>
        <w:t xml:space="preserve">GUI Direction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MAGI Planning</w:t>
      </w:r>
      <w:r>
        <w:t xml:space="preserve"> </w:t>
      </w:r>
      <w:r>
        <w:t xml:space="preserve">tab should not be a long vertical list.</w:t>
      </w:r>
    </w:p>
    <w:p>
      <w:pPr>
        <w:pStyle w:val="BodyText"/>
      </w:pPr>
      <w:r>
        <w:t xml:space="preserve">It should be a grid: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Projected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</w:tr>
    </w:tbl>
    <w:p>
      <w:pPr>
        <w:pStyle w:val="BodyText"/>
      </w:pPr>
      <w:r>
        <w:t xml:space="preserve">This layout replaces the cluttered vertical form and avoids repeating</w:t>
      </w:r>
      <w:r>
        <w:t xml:space="preserve"> </w:t>
      </w:r>
      <w:r>
        <w:t xml:space="preserve">“Year 1”</w:t>
      </w:r>
      <w:r>
        <w:t xml:space="preserve"> </w:t>
      </w:r>
      <w:r>
        <w:t xml:space="preserve">on every label.</w:t>
      </w:r>
    </w:p>
    <w:bookmarkEnd w:id="33"/>
    <w:bookmarkStart w:id="34" w:name="X03efdd85dc2dbd370d65932f23fd65be40061c6"/>
    <w:p>
      <w:pPr>
        <w:pStyle w:val="Heading2"/>
      </w:pPr>
      <w:r>
        <w:t xml:space="preserve">Old Fields To Eventually Replace Or Deprecate</w:t>
      </w:r>
    </w:p>
    <w:p>
      <w:pPr>
        <w:pStyle w:val="FirstParagraph"/>
      </w:pPr>
      <w:r>
        <w:t xml:space="preserve">Current aggregate fields are too vague:</w:t>
      </w:r>
    </w:p>
    <w:p>
      <w:pPr>
        <w:pStyle w:val="SourceCode"/>
      </w:pPr>
      <w:r>
        <w:rPr>
          <w:rStyle w:val="VerbatimChar"/>
        </w:rPr>
        <w:t xml:space="preserve">year1_magi_income</w:t>
      </w:r>
      <w:r>
        <w:br/>
      </w:r>
      <w:r>
        <w:rPr>
          <w:rStyle w:val="VerbatimChar"/>
        </w:rPr>
        <w:t xml:space="preserve">year1_magi_losses</w:t>
      </w:r>
    </w:p>
    <w:p>
      <w:pPr>
        <w:pStyle w:val="FirstParagraph"/>
      </w:pPr>
      <w:r>
        <w:t xml:space="preserve">Problems:</w:t>
      </w:r>
    </w:p>
    <w:p>
      <w:pPr>
        <w:pStyle w:val="Compact"/>
        <w:numPr>
          <w:ilvl w:val="0"/>
          <w:numId w:val="1009"/>
        </w:numPr>
      </w:pPr>
      <w:r>
        <w:t xml:space="preserve">They do not separate YTD from projected.</w:t>
      </w:r>
    </w:p>
    <w:p>
      <w:pPr>
        <w:pStyle w:val="Compact"/>
        <w:numPr>
          <w:ilvl w:val="0"/>
          <w:numId w:val="1009"/>
        </w:numPr>
      </w:pPr>
      <w:r>
        <w:t xml:space="preserve">They do not separate income from gains.</w:t>
      </w:r>
    </w:p>
    <w:p>
      <w:pPr>
        <w:pStyle w:val="Compact"/>
        <w:numPr>
          <w:ilvl w:val="0"/>
          <w:numId w:val="1009"/>
        </w:numPr>
      </w:pPr>
      <w:r>
        <w:t xml:space="preserve">They do not clearly represent losses.</w:t>
      </w:r>
    </w:p>
    <w:p>
      <w:pPr>
        <w:pStyle w:val="Compact"/>
        <w:numPr>
          <w:ilvl w:val="0"/>
          <w:numId w:val="1009"/>
        </w:numPr>
      </w:pPr>
      <w:r>
        <w:t xml:space="preserve">They are not a good long-term user-facing model.</w:t>
      </w:r>
    </w:p>
    <w:p>
      <w:pPr>
        <w:pStyle w:val="FirstParagraph"/>
      </w:pPr>
      <w:r>
        <w:t xml:space="preserve">Keep them temporarily only if needed to preserve current behavior while the new MAGI grid is added.</w:t>
      </w:r>
    </w:p>
    <w:bookmarkEnd w:id="34"/>
    <w:bookmarkStart w:id="35" w:name="expected-wiring-later"/>
    <w:p>
      <w:pPr>
        <w:pStyle w:val="Heading2"/>
      </w:pPr>
      <w:r>
        <w:t xml:space="preserve">Expected Wiring Later</w:t>
      </w:r>
    </w:p>
    <w:p>
      <w:pPr>
        <w:pStyle w:val="FirstParagraph"/>
      </w:pPr>
      <w:r>
        <w:t xml:space="preserve">Year 1 projected MAGI should eventually be calculated from the YTD and Projected columns:</w:t>
      </w:r>
    </w:p>
    <w:p>
      <w:pPr>
        <w:pStyle w:val="SourceCode"/>
      </w:pPr>
      <w:r>
        <w:rPr>
          <w:rStyle w:val="VerbatimChar"/>
        </w:rPr>
        <w:t xml:space="preserve">Year 1 Projected MAGI =</w:t>
      </w:r>
      <w:r>
        <w:br/>
      </w:r>
      <w:r>
        <w:rPr>
          <w:rStyle w:val="VerbatimChar"/>
        </w:rPr>
        <w:t xml:space="preserve">  income_ytd</w:t>
      </w:r>
      <w:r>
        <w:br/>
      </w:r>
      <w:r>
        <w:rPr>
          <w:rStyle w:val="VerbatimChar"/>
        </w:rPr>
        <w:t xml:space="preserve">+ income_projected</w:t>
      </w:r>
      <w:r>
        <w:br/>
      </w:r>
      <w:r>
        <w:rPr>
          <w:rStyle w:val="VerbatimChar"/>
        </w:rPr>
        <w:t xml:space="preserve">+ gains_ytd</w:t>
      </w:r>
      <w:r>
        <w:br/>
      </w:r>
      <w:r>
        <w:rPr>
          <w:rStyle w:val="VerbatimChar"/>
        </w:rPr>
        <w:t xml:space="preserve">+ gains_projected</w:t>
      </w:r>
      <w:r>
        <w:br/>
      </w:r>
      <w:r>
        <w:rPr>
          <w:rStyle w:val="VerbatimChar"/>
        </w:rPr>
        <w:t xml:space="preserve">- losses_ytd</w:t>
      </w:r>
      <w:r>
        <w:br/>
      </w:r>
      <w:r>
        <w:rPr>
          <w:rStyle w:val="VerbatimChar"/>
        </w:rPr>
        <w:t xml:space="preserve">- losses_projected</w:t>
      </w:r>
      <w:r>
        <w:br/>
      </w:r>
      <w:r>
        <w:rPr>
          <w:rStyle w:val="VerbatimChar"/>
        </w:rPr>
        <w:t xml:space="preserve">+ conversions_ytd</w:t>
      </w:r>
      <w:r>
        <w:br/>
      </w:r>
      <w:r>
        <w:rPr>
          <w:rStyle w:val="VerbatimChar"/>
        </w:rPr>
        <w:t xml:space="preserve">+ conversions_projected</w:t>
      </w:r>
      <w:r>
        <w:br/>
      </w:r>
      <w:r>
        <w:rPr>
          <w:rStyle w:val="VerbatimChar"/>
        </w:rPr>
        <w:t xml:space="preserve">+ other MAGI items, if added later</w:t>
      </w:r>
    </w:p>
    <w:p>
      <w:pPr>
        <w:pStyle w:val="FirstParagraph"/>
      </w:pPr>
      <w:r>
        <w:t xml:space="preserve">Future-year MAGI should eventually use the Annual and Years columns:</w:t>
      </w:r>
    </w:p>
    <w:p>
      <w:pPr>
        <w:pStyle w:val="SourceCode"/>
      </w:pPr>
      <w:r>
        <w:rPr>
          <w:rStyle w:val="VerbatimChar"/>
        </w:rPr>
        <w:t xml:space="preserve">For each future year starting in Year 2:</w:t>
      </w:r>
      <w:r>
        <w:br/>
      </w:r>
      <w:r>
        <w:rPr>
          <w:rStyle w:val="VerbatimChar"/>
        </w:rPr>
        <w:t xml:space="preserve">  include annual income if within income years</w:t>
      </w:r>
      <w:r>
        <w:br/>
      </w:r>
      <w:r>
        <w:rPr>
          <w:rStyle w:val="VerbatimChar"/>
        </w:rPr>
        <w:t xml:space="preserve">  include annual gains if within gains years</w:t>
      </w:r>
      <w:r>
        <w:br/>
      </w:r>
      <w:r>
        <w:rPr>
          <w:rStyle w:val="VerbatimChar"/>
        </w:rPr>
        <w:t xml:space="preserve">  include annual losses if within losses years</w:t>
      </w:r>
      <w:r>
        <w:br/>
      </w:r>
      <w:r>
        <w:rPr>
          <w:rStyle w:val="VerbatimChar"/>
        </w:rPr>
        <w:t xml:space="preserve">  include annual conversions if within conversion years</w:t>
      </w:r>
    </w:p>
    <w:bookmarkEnd w:id="35"/>
    <w:bookmarkStart w:id="36" w:name="why-row-specific-years-matter"/>
    <w:p>
      <w:pPr>
        <w:pStyle w:val="Heading2"/>
      </w:pPr>
      <w:r>
        <w:t xml:space="preserve">Why Row-Specific Years Matter</w:t>
      </w:r>
    </w:p>
    <w:p>
      <w:pPr>
        <w:pStyle w:val="FirstParagraph"/>
      </w:pPr>
      <w:r>
        <w:t xml:space="preserve">A single shared</w:t>
      </w:r>
      <w:r>
        <w:t xml:space="preserve"> </w:t>
      </w:r>
      <w:r>
        <w:t xml:space="preserve">“number of years”</w:t>
      </w:r>
      <w:r>
        <w:t xml:space="preserve"> </w:t>
      </w:r>
      <w:r>
        <w:t xml:space="preserve">is not enough.</w:t>
      </w:r>
    </w:p>
    <w:p>
      <w:pPr>
        <w:pStyle w:val="BodyText"/>
      </w:pPr>
      <w:r>
        <w:t xml:space="preserve">Each MAGI source can have a different lifespan:</w:t>
      </w:r>
    </w:p>
    <w:p>
      <w:pPr>
        <w:pStyle w:val="Compact"/>
        <w:numPr>
          <w:ilvl w:val="0"/>
          <w:numId w:val="1010"/>
        </w:numPr>
      </w:pPr>
      <w:r>
        <w:t xml:space="preserve">Brokerage gains may stop once taxable brokerage assets are sold.</w:t>
      </w:r>
    </w:p>
    <w:p>
      <w:pPr>
        <w:pStyle w:val="Compact"/>
        <w:numPr>
          <w:ilvl w:val="0"/>
          <w:numId w:val="1010"/>
        </w:numPr>
      </w:pPr>
      <w:r>
        <w:t xml:space="preserve">Losses may apply for only one or two years.</w:t>
      </w:r>
    </w:p>
    <w:p>
      <w:pPr>
        <w:pStyle w:val="Compact"/>
        <w:numPr>
          <w:ilvl w:val="0"/>
          <w:numId w:val="1010"/>
        </w:numPr>
      </w:pPr>
      <w:r>
        <w:t xml:space="preserve">Conversions may continue for several years.</w:t>
      </w:r>
    </w:p>
    <w:p>
      <w:pPr>
        <w:pStyle w:val="Compact"/>
        <w:numPr>
          <w:ilvl w:val="0"/>
          <w:numId w:val="1010"/>
        </w:numPr>
      </w:pPr>
      <w:r>
        <w:t xml:space="preserve">Income may stop or change independently.</w:t>
      </w:r>
    </w:p>
    <w:p>
      <w:pPr>
        <w:pStyle w:val="FirstParagraph"/>
      </w:pPr>
      <w:r>
        <w:t xml:space="preserve">Therefore, the grid needs a separate Years value for each row.</w:t>
      </w:r>
    </w:p>
    <w:bookmarkEnd w:id="36"/>
    <w:bookmarkStart w:id="37" w:name="current-implementation-boundary"/>
    <w:p>
      <w:pPr>
        <w:pStyle w:val="Heading2"/>
      </w:pPr>
      <w:r>
        <w:t xml:space="preserve">Current Implementation Boundary</w:t>
      </w:r>
    </w:p>
    <w:p>
      <w:pPr>
        <w:pStyle w:val="FirstParagraph"/>
      </w:pPr>
      <w:r>
        <w:t xml:space="preserve">Next implementation should focus on input and GUI structure first.</w:t>
      </w:r>
    </w:p>
    <w:p>
      <w:pPr>
        <w:pStyle w:val="BodyText"/>
      </w:pPr>
      <w:r>
        <w:t xml:space="preserve">Do not immediately wire calculations unless intentionally approved.</w:t>
      </w:r>
    </w:p>
    <w:p>
      <w:pPr>
        <w:pStyle w:val="BodyText"/>
      </w:pPr>
      <w:r>
        <w:t xml:space="preserve">Suggested build order:</w:t>
      </w:r>
    </w:p>
    <w:p>
      <w:pPr>
        <w:pStyle w:val="Compact"/>
        <w:numPr>
          <w:ilvl w:val="0"/>
          <w:numId w:val="1011"/>
        </w:numPr>
      </w:pPr>
      <w:r>
        <w:t xml:space="preserve">Add MAGI Planning grid inputs to config, Inputs, GUI, save/load/export.</w:t>
      </w:r>
    </w:p>
    <w:p>
      <w:pPr>
        <w:pStyle w:val="Compact"/>
        <w:numPr>
          <w:ilvl w:val="0"/>
          <w:numId w:val="1011"/>
        </w:numPr>
      </w:pPr>
      <w:r>
        <w:t xml:space="preserve">Preserve existing behavior.</w:t>
      </w:r>
    </w:p>
    <w:p>
      <w:pPr>
        <w:pStyle w:val="Compact"/>
        <w:numPr>
          <w:ilvl w:val="0"/>
          <w:numId w:val="1011"/>
        </w:numPr>
      </w:pPr>
      <w:r>
        <w:t xml:space="preserve">Confirm the layout works visually.</w:t>
      </w:r>
    </w:p>
    <w:p>
      <w:pPr>
        <w:pStyle w:val="Compact"/>
        <w:numPr>
          <w:ilvl w:val="0"/>
          <w:numId w:val="1011"/>
        </w:numPr>
      </w:pPr>
      <w:r>
        <w:t xml:space="preserve">Then wire Year 1 Projected MAGI calculation.</w:t>
      </w:r>
    </w:p>
    <w:p>
      <w:pPr>
        <w:pStyle w:val="Compact"/>
        <w:numPr>
          <w:ilvl w:val="0"/>
          <w:numId w:val="1011"/>
        </w:numPr>
      </w:pPr>
      <w:r>
        <w:t xml:space="preserve">Then wire future-year Annual × Years behavior.</w:t>
      </w:r>
    </w:p>
    <w:p>
      <w:pPr>
        <w:pStyle w:val="Compact"/>
        <w:numPr>
          <w:ilvl w:val="0"/>
          <w:numId w:val="1011"/>
        </w:numPr>
      </w:pPr>
      <w:r>
        <w:t xml:space="preserve">Then deprecate or remove old aggregate MAGI fields.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2026-05-02T01:15:06Z</dcterms:created>
  <dcterms:modified xsi:type="dcterms:W3CDTF">2026-05-02T01:15:06Z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