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21F79" w14:textId="4C4E492F" w:rsidR="00F866EE" w:rsidRDefault="00F866EE" w:rsidP="00F866EE">
      <w:r>
        <w:rPr>
          <w:rFonts w:hint="eastAsia"/>
        </w:rPr>
        <w:t>P10</w:t>
      </w:r>
    </w:p>
    <w:p w14:paraId="7CC638A2" w14:textId="73DE5224" w:rsidR="00F866EE" w:rsidRPr="00F866EE" w:rsidRDefault="00F866EE" w:rsidP="00F866EE">
      <w:r w:rsidRPr="00F866EE">
        <w:t>From here, I will introduce materials discovery using computational chemistry in collaboration with NVIDIA ALCHEMI</w:t>
      </w:r>
    </w:p>
    <w:p w14:paraId="640F2659" w14:textId="77777777" w:rsidR="00D55A6A" w:rsidRDefault="00D55A6A"/>
    <w:p w14:paraId="38F784F8" w14:textId="3397DC70" w:rsidR="00F866EE" w:rsidRDefault="00F866EE">
      <w:r>
        <w:rPr>
          <w:rFonts w:hint="eastAsia"/>
        </w:rPr>
        <w:t>P11</w:t>
      </w:r>
    </w:p>
    <w:p w14:paraId="46FB884C" w14:textId="77777777" w:rsidR="00F866EE" w:rsidRPr="00F866EE" w:rsidRDefault="00F866EE" w:rsidP="00F866EE">
      <w:r w:rsidRPr="00F866EE">
        <w:t>As explained earlier, we sell immersion cooling liquids. And We're using GPUs immersed in our own cooling liquids to search for even better immersion cooling fluids</w:t>
      </w:r>
    </w:p>
    <w:p w14:paraId="1DC6CC28" w14:textId="77777777" w:rsidR="00F866EE" w:rsidRDefault="00F866EE"/>
    <w:p w14:paraId="203043EB" w14:textId="03B9A376" w:rsidR="00F866EE" w:rsidRDefault="00F866EE">
      <w:r>
        <w:rPr>
          <w:rFonts w:hint="eastAsia"/>
        </w:rPr>
        <w:t>P12</w:t>
      </w:r>
    </w:p>
    <w:p w14:paraId="6CC02414" w14:textId="77777777" w:rsidR="00F866EE" w:rsidRPr="00F866EE" w:rsidRDefault="00F866EE" w:rsidP="00F866EE">
      <w:r w:rsidRPr="00F866EE">
        <w:t>Our findings, which I’m about to show now, are featured in the NVIDIA Corporate Blog and the NVIDIA Tech Blog. Please be sure to check them out!</w:t>
      </w:r>
    </w:p>
    <w:p w14:paraId="0C85D0A3" w14:textId="77777777" w:rsidR="00F866EE" w:rsidRDefault="00F866EE"/>
    <w:p w14:paraId="4B5415B3" w14:textId="3BF24007" w:rsidR="00F866EE" w:rsidRDefault="00F866EE">
      <w:r>
        <w:rPr>
          <w:rFonts w:hint="eastAsia"/>
        </w:rPr>
        <w:t>P13</w:t>
      </w:r>
    </w:p>
    <w:p w14:paraId="1E02838F" w14:textId="4D1E558A" w:rsidR="00F866EE" w:rsidRDefault="00F866EE" w:rsidP="00F866EE">
      <w:r>
        <w:rPr>
          <w:rFonts w:hint="eastAsia"/>
        </w:rPr>
        <w:t>L</w:t>
      </w:r>
      <w:r w:rsidRPr="00F866EE">
        <w:rPr>
          <w:rFonts w:hint="eastAsia"/>
        </w:rPr>
        <w:t xml:space="preserve">et me briefly explain the concept of NVIDIA </w:t>
      </w:r>
      <w:proofErr w:type="spellStart"/>
      <w:r w:rsidRPr="00F866EE">
        <w:rPr>
          <w:rFonts w:hint="eastAsia"/>
        </w:rPr>
        <w:t>Alchemi</w:t>
      </w:r>
      <w:proofErr w:type="spellEnd"/>
      <w:r w:rsidRPr="00F866EE">
        <w:rPr>
          <w:rFonts w:hint="eastAsia"/>
        </w:rPr>
        <w:t xml:space="preserve">.  This illustration represents the material space. The yellow star </w:t>
      </w:r>
      <w:r w:rsidRPr="00F866EE">
        <w:t>indicates</w:t>
      </w:r>
      <w:r w:rsidRPr="00F866EE">
        <w:rPr>
          <w:rFonts w:hint="eastAsia"/>
        </w:rPr>
        <w:t xml:space="preserve"> our existing experimental data points</w:t>
      </w:r>
      <w:r>
        <w:rPr>
          <w:rFonts w:hint="eastAsia"/>
        </w:rPr>
        <w:t xml:space="preserve"> - </w:t>
      </w:r>
      <w:r w:rsidRPr="00F866EE">
        <w:rPr>
          <w:rFonts w:hint="eastAsia"/>
        </w:rPr>
        <w:t xml:space="preserve">such as coolant A and coolant B. There might be even better candidates hidden somewhere in the black region.  </w:t>
      </w:r>
    </w:p>
    <w:p w14:paraId="2ECE42A2" w14:textId="77777777" w:rsidR="00F866EE" w:rsidRDefault="00F866EE" w:rsidP="00F866EE"/>
    <w:p w14:paraId="037816E1" w14:textId="77777777" w:rsidR="00F866EE" w:rsidRDefault="00F866EE" w:rsidP="00F866EE">
      <w:r>
        <w:rPr>
          <w:rFonts w:hint="eastAsia"/>
        </w:rPr>
        <w:t>P14</w:t>
      </w:r>
    </w:p>
    <w:p w14:paraId="126A1752" w14:textId="4F7BC813" w:rsidR="00F866EE" w:rsidRPr="00F866EE" w:rsidRDefault="00F866EE" w:rsidP="00F866EE">
      <w:r w:rsidRPr="00F866EE">
        <w:rPr>
          <w:rFonts w:hint="eastAsia"/>
        </w:rPr>
        <w:t xml:space="preserve">NVIDIA </w:t>
      </w:r>
      <w:proofErr w:type="spellStart"/>
      <w:r w:rsidRPr="00F866EE">
        <w:rPr>
          <w:rFonts w:hint="eastAsia"/>
        </w:rPr>
        <w:t>Alchemi</w:t>
      </w:r>
      <w:proofErr w:type="spellEnd"/>
      <w:r w:rsidRPr="00F866EE">
        <w:rPr>
          <w:rFonts w:hint="eastAsia"/>
        </w:rPr>
        <w:t xml:space="preserve"> can illuminate this vast material space using the power of AI and GPU computing — almost like a wizard casting light on the unknown. The bright dots represent simulation results, and the highly blight regions indicate promising materials.  Such unexplored areas are beyond the reach of conventional machine learning.  Why is this possible?  The key is that NVIDIA </w:t>
      </w:r>
      <w:proofErr w:type="spellStart"/>
      <w:r w:rsidRPr="00F866EE">
        <w:rPr>
          <w:rFonts w:hint="eastAsia"/>
        </w:rPr>
        <w:t>Alchemi</w:t>
      </w:r>
      <w:proofErr w:type="spellEnd"/>
      <w:r w:rsidRPr="00F866EE">
        <w:rPr>
          <w:rFonts w:hint="eastAsia"/>
        </w:rPr>
        <w:t xml:space="preserve"> provides lightning-fast computation for large-scale simulations.</w:t>
      </w:r>
    </w:p>
    <w:p w14:paraId="6381ABE9" w14:textId="6949C92F" w:rsidR="00F866EE" w:rsidRDefault="00F866EE" w:rsidP="00F866EE">
      <w:r w:rsidRPr="00F866EE">
        <w:rPr>
          <w:rFonts w:hint="eastAsia"/>
        </w:rPr>
        <w:br/>
      </w:r>
      <w:r w:rsidR="00697E0A">
        <w:rPr>
          <w:rFonts w:hint="eastAsia"/>
        </w:rPr>
        <w:t>P15</w:t>
      </w:r>
    </w:p>
    <w:p w14:paraId="4791FEC8" w14:textId="77777777" w:rsidR="00D16835" w:rsidRPr="00D16835" w:rsidRDefault="00D16835" w:rsidP="00D16835">
      <w:r w:rsidRPr="00D16835">
        <w:t>Using NVIDIA ALCHEMI enables significant acceleration of computational simulations. In recent years, Machine Learning Interatomic Potentials (MLIPs), such as MACE, have become popular and have greatly reduced computational costs compared to conventional DFT methods. However, there is still strong demand to lower computational costs even further. Various methods have been developed to address this need, but NVIDIA ALCHEMI goes beyond these solutions and provides up to a 60-fold acceleration compared to standard MLIP setups.</w:t>
      </w:r>
    </w:p>
    <w:p w14:paraId="592B796E" w14:textId="36F234D0" w:rsidR="00F866EE" w:rsidRPr="00D16835" w:rsidRDefault="00F866EE" w:rsidP="00C035E1"/>
    <w:p w14:paraId="12873047" w14:textId="2533502C" w:rsidR="00C638FE" w:rsidRDefault="00C638FE" w:rsidP="00C035E1">
      <w:r>
        <w:rPr>
          <w:rFonts w:hint="eastAsia"/>
        </w:rPr>
        <w:t>P16</w:t>
      </w:r>
    </w:p>
    <w:p w14:paraId="6FDE92B2" w14:textId="77777777" w:rsidR="00C638FE" w:rsidRPr="00C638FE" w:rsidRDefault="00C638FE" w:rsidP="00C638FE">
      <w:r w:rsidRPr="00C638FE">
        <w:lastRenderedPageBreak/>
        <w:t>Let’s return to the topic of immersion cooling. These cooling fluids are required to meet various physical property demands. The main requirements are signal integrity, safety, and cooling ability, which correspond to dielectric constant, flash point, and viscosity, respectively.</w:t>
      </w:r>
    </w:p>
    <w:p w14:paraId="48AE98E5" w14:textId="77777777" w:rsidR="00C638FE" w:rsidRPr="00C638FE" w:rsidRDefault="00C638FE" w:rsidP="00C638FE">
      <w:r w:rsidRPr="00C638FE">
        <w:t>We consider signal integrity to be the highest priority, so we will minimize the dielectric constant while still meeting safety and cooling requirements.</w:t>
      </w:r>
    </w:p>
    <w:p w14:paraId="18A1CCC1" w14:textId="77777777" w:rsidR="00C638FE" w:rsidRDefault="00C638FE" w:rsidP="00C035E1"/>
    <w:p w14:paraId="054C784A" w14:textId="778BED44" w:rsidR="00C638FE" w:rsidRDefault="00C638FE" w:rsidP="00C035E1">
      <w:r>
        <w:rPr>
          <w:rFonts w:hint="eastAsia"/>
        </w:rPr>
        <w:t>P17</w:t>
      </w:r>
    </w:p>
    <w:p w14:paraId="50C6C16F" w14:textId="020E9DFF" w:rsidR="00C638FE" w:rsidRPr="00C638FE" w:rsidRDefault="00C638FE" w:rsidP="00C638FE">
      <w:r w:rsidRPr="00C638FE">
        <w:t xml:space="preserve">Let me explain </w:t>
      </w:r>
      <w:r w:rsidRPr="00C638FE">
        <w:t>details</w:t>
      </w:r>
      <w:r w:rsidRPr="00C638FE">
        <w:t xml:space="preserve"> about electrical requirements. As illustrated below,</w:t>
      </w:r>
      <w:r>
        <w:rPr>
          <w:rFonts w:hint="eastAsia"/>
        </w:rPr>
        <w:t xml:space="preserve"> </w:t>
      </w:r>
      <w:proofErr w:type="gramStart"/>
      <w:r w:rsidRPr="00C638FE">
        <w:t>The</w:t>
      </w:r>
      <w:proofErr w:type="gramEnd"/>
      <w:r w:rsidRPr="00C638FE">
        <w:t xml:space="preserve"> dielectric constant is determined by orientational polarization arising from molecular dipoles and by electronic polarization resulting from the polarizability of the electron cloud. According to the Open Compute Project, the dielectric constant should be below 2.3. Therefore, we need to identify coolants with very low dielectric constants to maintain GPU signal integrity.  To find such candidates, we performed dipole moment and polarizability calculations and screening using NVIDIA </w:t>
      </w:r>
      <w:proofErr w:type="spellStart"/>
      <w:r w:rsidRPr="00C638FE">
        <w:t>Alchemi</w:t>
      </w:r>
      <w:proofErr w:type="spellEnd"/>
      <w:r w:rsidRPr="00C638FE">
        <w:t>.</w:t>
      </w:r>
    </w:p>
    <w:p w14:paraId="5F22572A" w14:textId="77777777" w:rsidR="00C638FE" w:rsidRDefault="00C638FE" w:rsidP="00C035E1"/>
    <w:p w14:paraId="16410A9E" w14:textId="36BDE769" w:rsidR="00C638FE" w:rsidRDefault="00C638FE" w:rsidP="00C035E1">
      <w:r>
        <w:rPr>
          <w:rFonts w:hint="eastAsia"/>
        </w:rPr>
        <w:t>P18</w:t>
      </w:r>
    </w:p>
    <w:p w14:paraId="09071264" w14:textId="2FCBE921" w:rsidR="00C638FE" w:rsidRPr="00C638FE" w:rsidRDefault="00C638FE" w:rsidP="00C638FE">
      <w:r w:rsidRPr="00C638FE">
        <w:rPr>
          <w:rFonts w:hint="eastAsia"/>
        </w:rPr>
        <w:t xml:space="preserve">Here is the overview of our screening process.  As shown in this funnel, we screen candidates in four steps — narrowing them down from 100 million to about 1,000.  From the top, the steps </w:t>
      </w:r>
      <w:proofErr w:type="gramStart"/>
      <w:r w:rsidRPr="00C638FE">
        <w:rPr>
          <w:rFonts w:hint="eastAsia"/>
        </w:rPr>
        <w:t>are:</w:t>
      </w:r>
      <w:proofErr w:type="gramEnd"/>
      <w:r w:rsidRPr="00C638FE">
        <w:rPr>
          <w:rFonts w:hint="eastAsia"/>
        </w:rPr>
        <w:t xml:space="preserve"> chemical class filtering, dipole moment screening, polarizability screening, and bulk dielectric constant screening.</w:t>
      </w:r>
      <w:r w:rsidRPr="00C638FE">
        <w:rPr>
          <w:rFonts w:hint="eastAsia"/>
        </w:rPr>
        <w:br/>
        <w:t>遷移→</w:t>
      </w:r>
      <w:r w:rsidRPr="00C638FE">
        <w:rPr>
          <w:rFonts w:hint="eastAsia"/>
        </w:rPr>
        <w:br/>
        <w:t xml:space="preserve">In Step 1, we extracted approximately 100 million molecules from PubChem, which is a widely used open-source chemical database.  Many of these entries are clearly unsuitable as coolants because they are acidic, highly volatile, easily oxidized, or contain toxic elements.  We filtered out less promising candidates by chemical class, reducing the number from 100 million to about 10 million candidates </w:t>
      </w:r>
    </w:p>
    <w:p w14:paraId="3B778849" w14:textId="77777777" w:rsidR="00C638FE" w:rsidRDefault="00C638FE" w:rsidP="00C035E1"/>
    <w:p w14:paraId="79B9D6AA" w14:textId="692E599E" w:rsidR="00C638FE" w:rsidRDefault="00C638FE" w:rsidP="00C035E1">
      <w:r>
        <w:rPr>
          <w:rFonts w:hint="eastAsia"/>
        </w:rPr>
        <w:t>P19</w:t>
      </w:r>
    </w:p>
    <w:p w14:paraId="3CE9D5BF" w14:textId="77777777" w:rsidR="00CF40F9" w:rsidRPr="00CF40F9" w:rsidRDefault="00CF40F9" w:rsidP="00CF40F9">
      <w:r w:rsidRPr="00CF40F9">
        <w:t>Secondly, we screened for low dipole moment using batched conformer search with NIM. AIMNet2 is an open-source MLIP that is lightweight, highly accurate, and well suited for organic small molecules. The key features of AIMNet2 include dynamic batching and a GPU-based optimizer. These features accelerate AIMNet2 by up to 800 times, allowing us to efficiently sample conformations across many molecules and reliably calculate dipole moments.</w:t>
      </w:r>
    </w:p>
    <w:p w14:paraId="71B9C757" w14:textId="77777777" w:rsidR="00CF40F9" w:rsidRDefault="00CF40F9" w:rsidP="00CF40F9">
      <w:r w:rsidRPr="00CF40F9">
        <w:t>By using this approach, we narrowed down our candidate set to about one million structures with lower dipole moments.</w:t>
      </w:r>
    </w:p>
    <w:p w14:paraId="32255570" w14:textId="77777777" w:rsidR="00CF40F9" w:rsidRPr="00CF40F9" w:rsidRDefault="00CF40F9" w:rsidP="00CF40F9"/>
    <w:p w14:paraId="1B77740E" w14:textId="4C59623A" w:rsidR="00C638FE" w:rsidRDefault="00C638FE" w:rsidP="00C035E1">
      <w:r>
        <w:rPr>
          <w:rFonts w:hint="eastAsia"/>
        </w:rPr>
        <w:lastRenderedPageBreak/>
        <w:t>P20</w:t>
      </w:r>
    </w:p>
    <w:p w14:paraId="1FD063DF" w14:textId="77777777" w:rsidR="00CF40F9" w:rsidRPr="00CF40F9" w:rsidRDefault="00CF40F9" w:rsidP="00CF40F9">
      <w:r w:rsidRPr="00CF40F9">
        <w:t xml:space="preserve">Third, we screened for candidates with low polarizability using GPU4PySCF-MPS. Calculating electronic polarizability requires accurate electronic state, which MLIP such as AIMNet2 cannot reliably provide. Therefore, we evaluated polarizability using quantum calculations. NVIDIA ALCHEMI offers GPU4PySCF—a DFT calculation package—as a multi-process service. This allows us to run DFT calculations concurrently and at high speed, achieving results about two to three times faster than conventional </w:t>
      </w:r>
      <w:proofErr w:type="spellStart"/>
      <w:r w:rsidRPr="00CF40F9">
        <w:t>PySCF</w:t>
      </w:r>
      <w:proofErr w:type="spellEnd"/>
      <w:r w:rsidRPr="00CF40F9">
        <w:t>.</w:t>
      </w:r>
    </w:p>
    <w:p w14:paraId="18941C62" w14:textId="77777777" w:rsidR="00CF40F9" w:rsidRPr="00CF40F9" w:rsidRDefault="00CF40F9" w:rsidP="00CF40F9">
      <w:r w:rsidRPr="00CF40F9">
        <w:t>By combining these DFT polarizability results with our earlier dipole moment data, we narrowed our candidate list to around 1,000 promising structures.</w:t>
      </w:r>
    </w:p>
    <w:p w14:paraId="0511A230" w14:textId="77777777" w:rsidR="00CF40F9" w:rsidRPr="00CF40F9" w:rsidRDefault="00CF40F9" w:rsidP="00CF40F9"/>
    <w:p w14:paraId="71D0D677" w14:textId="77777777" w:rsidR="00C638FE" w:rsidRPr="00C638FE" w:rsidRDefault="00C638FE" w:rsidP="00C638FE"/>
    <w:p w14:paraId="322F0E82" w14:textId="01ED40F6" w:rsidR="00C638FE" w:rsidRDefault="00C638FE" w:rsidP="00C035E1">
      <w:r>
        <w:rPr>
          <w:rFonts w:hint="eastAsia"/>
        </w:rPr>
        <w:t>P21</w:t>
      </w:r>
    </w:p>
    <w:p w14:paraId="4F4AB27A" w14:textId="77777777" w:rsidR="000E0691" w:rsidRPr="000E0691" w:rsidRDefault="000E0691" w:rsidP="000E0691">
      <w:r w:rsidRPr="000E0691">
        <w:t>After step 3, we calculated dielectric constants for isolated molecules, but real-world conditions require bulk values.</w:t>
      </w:r>
    </w:p>
    <w:p w14:paraId="7FADC20A" w14:textId="77777777" w:rsidR="000E0691" w:rsidRPr="000E0691" w:rsidRDefault="000E0691" w:rsidP="000E0691">
      <w:r w:rsidRPr="000E0691">
        <w:t>We used NVIDIA ALCHEMI’s batched molecular dynamics NIM to efficiently compute bulk dielectric constants</w:t>
      </w:r>
    </w:p>
    <w:p w14:paraId="47FA0406" w14:textId="77777777" w:rsidR="000E0691" w:rsidRPr="000E0691" w:rsidRDefault="000E0691" w:rsidP="000E0691">
      <w:r w:rsidRPr="000E0691">
        <w:t>This approach makes large-scale screening feasible, and we are now integrating these results to further narrow down our candidate set.</w:t>
      </w:r>
    </w:p>
    <w:p w14:paraId="4007E352" w14:textId="77777777" w:rsidR="00C638FE" w:rsidRPr="000E0691" w:rsidRDefault="00C638FE" w:rsidP="00C035E1"/>
    <w:p w14:paraId="734BF1DA" w14:textId="778B74EA" w:rsidR="00C638FE" w:rsidRDefault="00C638FE" w:rsidP="00C035E1">
      <w:r>
        <w:rPr>
          <w:rFonts w:hint="eastAsia"/>
        </w:rPr>
        <w:t>P22</w:t>
      </w:r>
    </w:p>
    <w:p w14:paraId="4C3DFD6F" w14:textId="77777777" w:rsidR="000E0691" w:rsidRPr="000E0691" w:rsidRDefault="000E0691" w:rsidP="000E0691">
      <w:r w:rsidRPr="000E0691">
        <w:t>Finally, using NVIDIA ALCHEMI’s GNN encoder, we predicted the flash point of each candidate in addition to calculating dielectric constants.</w:t>
      </w:r>
      <w:r w:rsidRPr="000E0691">
        <w:rPr>
          <w:rFonts w:hint="eastAsia"/>
        </w:rPr>
        <w:br/>
      </w:r>
      <w:r w:rsidRPr="000E0691">
        <w:t>By plotting these results, we identified about 1,000 promising cooling fluid candidates meeting at least two key requirements.</w:t>
      </w:r>
      <w:r w:rsidRPr="000E0691">
        <w:rPr>
          <w:rFonts w:hint="eastAsia"/>
        </w:rPr>
        <w:br/>
      </w:r>
      <w:r w:rsidRPr="000E0691">
        <w:t>NVIDIA ALCHEMI enabled us to screen 10 million compounds in just three weeks.</w:t>
      </w:r>
      <w:r w:rsidRPr="000E0691">
        <w:rPr>
          <w:rFonts w:hint="eastAsia"/>
        </w:rPr>
        <w:br/>
      </w:r>
      <w:r w:rsidRPr="000E0691">
        <w:t>Next, we will evaluate additional properties—such as viscosity and thermal conductivity—to select the best molecules for experimental testing.</w:t>
      </w:r>
    </w:p>
    <w:p w14:paraId="43E4ACEB" w14:textId="77777777" w:rsidR="00C638FE" w:rsidRPr="00C638FE" w:rsidRDefault="00C638FE" w:rsidP="00C035E1">
      <w:pPr>
        <w:rPr>
          <w:rFonts w:hint="eastAsia"/>
        </w:rPr>
      </w:pPr>
    </w:p>
    <w:sectPr w:rsidR="00C638FE" w:rsidRPr="00C638FE">
      <w:headerReference w:type="even" r:id="rId6"/>
      <w:headerReference w:type="default" r:id="rId7"/>
      <w:headerReference w:type="firs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9741F" w14:textId="77777777" w:rsidR="00D16835" w:rsidRDefault="00D16835" w:rsidP="00D16835">
      <w:r>
        <w:separator/>
      </w:r>
    </w:p>
  </w:endnote>
  <w:endnote w:type="continuationSeparator" w:id="0">
    <w:p w14:paraId="34A8D9E4" w14:textId="77777777" w:rsidR="00D16835" w:rsidRDefault="00D16835" w:rsidP="00D16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E09B0" w14:textId="77777777" w:rsidR="00D16835" w:rsidRDefault="00D16835" w:rsidP="00D16835">
      <w:r>
        <w:separator/>
      </w:r>
    </w:p>
  </w:footnote>
  <w:footnote w:type="continuationSeparator" w:id="0">
    <w:p w14:paraId="2A71FE8F" w14:textId="77777777" w:rsidR="00D16835" w:rsidRDefault="00D16835" w:rsidP="00D16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C8700" w14:textId="0C06A6D3" w:rsidR="00D16835" w:rsidRDefault="00D16835">
    <w:pPr>
      <w:pStyle w:val="aa"/>
    </w:pPr>
    <w:r>
      <w:rPr>
        <w:noProof/>
      </w:rPr>
      <mc:AlternateContent>
        <mc:Choice Requires="wps">
          <w:drawing>
            <wp:anchor distT="0" distB="0" distL="0" distR="0" simplePos="0" relativeHeight="251659264" behindDoc="0" locked="0" layoutInCell="1" allowOverlap="1" wp14:anchorId="763A9290" wp14:editId="0C554310">
              <wp:simplePos x="635" y="635"/>
              <wp:positionH relativeFrom="page">
                <wp:align>right</wp:align>
              </wp:positionH>
              <wp:positionV relativeFrom="page">
                <wp:align>top</wp:align>
              </wp:positionV>
              <wp:extent cx="1321435" cy="421005"/>
              <wp:effectExtent l="0" t="0" r="0" b="17145"/>
              <wp:wrapNone/>
              <wp:docPr id="2085041996" name="テキスト ボックス 2" descr="【社内限り】">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21435" cy="421005"/>
                      </a:xfrm>
                      <a:prstGeom prst="rect">
                        <a:avLst/>
                      </a:prstGeom>
                      <a:noFill/>
                      <a:ln>
                        <a:noFill/>
                      </a:ln>
                    </wps:spPr>
                    <wps:txbx>
                      <w:txbxContent>
                        <w:p w14:paraId="24AD4F6B" w14:textId="27CC74BE" w:rsidR="00D16835" w:rsidRPr="00D16835" w:rsidRDefault="00D16835" w:rsidP="00D16835">
                          <w:pPr>
                            <w:rPr>
                              <w:rFonts w:ascii="Calibri" w:eastAsia="Calibri" w:hAnsi="Calibri" w:cs="Calibri"/>
                              <w:noProof/>
                              <w:color w:val="000000"/>
                              <w:sz w:val="28"/>
                              <w:szCs w:val="28"/>
                            </w:rPr>
                          </w:pPr>
                          <w:r w:rsidRPr="00D16835">
                            <w:rPr>
                              <w:rFonts w:ascii="Calibri" w:eastAsia="Calibri" w:hAnsi="Calibri" w:cs="Calibri"/>
                              <w:noProof/>
                              <w:color w:val="000000"/>
                              <w:sz w:val="28"/>
                              <w:szCs w:val="28"/>
                            </w:rPr>
                            <w:t>【社内限り】</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63A9290" id="_x0000_t202" coordsize="21600,21600" o:spt="202" path="m,l,21600r21600,l21600,xe">
              <v:stroke joinstyle="miter"/>
              <v:path gradientshapeok="t" o:connecttype="rect"/>
            </v:shapetype>
            <v:shape id="テキスト ボックス 2" o:spid="_x0000_s1026" type="#_x0000_t202" alt="【社内限り】" style="position:absolute;left:0;text-align:left;margin-left:52.85pt;margin-top:0;width:104.05pt;height:33.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" filled="f" stroked="f">
              <v:fill o:detectmouseclick="t"/>
              <v:textbox style="mso-fit-shape-to-text:t" inset="0,15pt,20pt,0">
                <w:txbxContent>
                  <w:p w14:paraId="24AD4F6B" w14:textId="27CC74BE" w:rsidR="00D16835" w:rsidRPr="00D16835" w:rsidRDefault="00D16835" w:rsidP="00D16835">
                    <w:pPr>
                      <w:rPr>
                        <w:rFonts w:ascii="Calibri" w:eastAsia="Calibri" w:hAnsi="Calibri" w:cs="Calibri"/>
                        <w:noProof/>
                        <w:color w:val="000000"/>
                        <w:sz w:val="28"/>
                        <w:szCs w:val="28"/>
                      </w:rPr>
                    </w:pPr>
                    <w:r w:rsidRPr="00D16835">
                      <w:rPr>
                        <w:rFonts w:ascii="Calibri" w:eastAsia="Calibri" w:hAnsi="Calibri" w:cs="Calibri"/>
                        <w:noProof/>
                        <w:color w:val="000000"/>
                        <w:sz w:val="28"/>
                        <w:szCs w:val="28"/>
                      </w:rPr>
                      <w:t>【社内限り】</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4A8FB" w14:textId="4AA464B6" w:rsidR="00D16835" w:rsidRDefault="00D16835">
    <w:pPr>
      <w:pStyle w:val="aa"/>
    </w:pPr>
    <w:r>
      <w:rPr>
        <w:noProof/>
      </w:rPr>
      <mc:AlternateContent>
        <mc:Choice Requires="wps">
          <w:drawing>
            <wp:anchor distT="0" distB="0" distL="0" distR="0" simplePos="0" relativeHeight="251660288" behindDoc="0" locked="0" layoutInCell="1" allowOverlap="1" wp14:anchorId="1FB87741" wp14:editId="488FE4C1">
              <wp:simplePos x="1076325" y="542925"/>
              <wp:positionH relativeFrom="page">
                <wp:align>right</wp:align>
              </wp:positionH>
              <wp:positionV relativeFrom="page">
                <wp:align>top</wp:align>
              </wp:positionV>
              <wp:extent cx="1321435" cy="421005"/>
              <wp:effectExtent l="0" t="0" r="0" b="17145"/>
              <wp:wrapNone/>
              <wp:docPr id="1776302609" name="テキスト ボックス 3" descr="【社内限り】">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21435" cy="421005"/>
                      </a:xfrm>
                      <a:prstGeom prst="rect">
                        <a:avLst/>
                      </a:prstGeom>
                      <a:noFill/>
                      <a:ln>
                        <a:noFill/>
                      </a:ln>
                    </wps:spPr>
                    <wps:txbx>
                      <w:txbxContent>
                        <w:p w14:paraId="2F6BB050" w14:textId="5157A7F5" w:rsidR="00D16835" w:rsidRPr="00D16835" w:rsidRDefault="00D16835" w:rsidP="00D16835">
                          <w:pPr>
                            <w:rPr>
                              <w:rFonts w:ascii="Calibri" w:eastAsia="Calibri" w:hAnsi="Calibri" w:cs="Calibri"/>
                              <w:noProof/>
                              <w:color w:val="000000"/>
                              <w:sz w:val="28"/>
                              <w:szCs w:val="28"/>
                            </w:rPr>
                          </w:pPr>
                          <w:r w:rsidRPr="00D16835">
                            <w:rPr>
                              <w:rFonts w:ascii="Calibri" w:eastAsia="Calibri" w:hAnsi="Calibri" w:cs="Calibri"/>
                              <w:noProof/>
                              <w:color w:val="000000"/>
                              <w:sz w:val="28"/>
                              <w:szCs w:val="28"/>
                            </w:rPr>
                            <w:t>【社内限り】</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FB87741" id="_x0000_t202" coordsize="21600,21600" o:spt="202" path="m,l,21600r21600,l21600,xe">
              <v:stroke joinstyle="miter"/>
              <v:path gradientshapeok="t" o:connecttype="rect"/>
            </v:shapetype>
            <v:shape id="テキスト ボックス 3" o:spid="_x0000_s1027" type="#_x0000_t202" alt="【社内限り】" style="position:absolute;left:0;text-align:left;margin-left:52.85pt;margin-top:0;width:104.05pt;height:33.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" filled="f" stroked="f">
              <v:fill o:detectmouseclick="t"/>
              <v:textbox style="mso-fit-shape-to-text:t" inset="0,15pt,20pt,0">
                <w:txbxContent>
                  <w:p w14:paraId="2F6BB050" w14:textId="5157A7F5" w:rsidR="00D16835" w:rsidRPr="00D16835" w:rsidRDefault="00D16835" w:rsidP="00D16835">
                    <w:pPr>
                      <w:rPr>
                        <w:rFonts w:ascii="Calibri" w:eastAsia="Calibri" w:hAnsi="Calibri" w:cs="Calibri"/>
                        <w:noProof/>
                        <w:color w:val="000000"/>
                        <w:sz w:val="28"/>
                        <w:szCs w:val="28"/>
                      </w:rPr>
                    </w:pPr>
                    <w:r w:rsidRPr="00D16835">
                      <w:rPr>
                        <w:rFonts w:ascii="Calibri" w:eastAsia="Calibri" w:hAnsi="Calibri" w:cs="Calibri"/>
                        <w:noProof/>
                        <w:color w:val="000000"/>
                        <w:sz w:val="28"/>
                        <w:szCs w:val="28"/>
                      </w:rPr>
                      <w:t>【社内限り】</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87AA2" w14:textId="7C0240FC" w:rsidR="00D16835" w:rsidRDefault="00D16835">
    <w:pPr>
      <w:pStyle w:val="aa"/>
    </w:pPr>
    <w:r>
      <w:rPr>
        <w:noProof/>
      </w:rPr>
      <mc:AlternateContent>
        <mc:Choice Requires="wps">
          <w:drawing>
            <wp:anchor distT="0" distB="0" distL="0" distR="0" simplePos="0" relativeHeight="251658240" behindDoc="0" locked="0" layoutInCell="1" allowOverlap="1" wp14:anchorId="7D83F150" wp14:editId="32393F5A">
              <wp:simplePos x="635" y="635"/>
              <wp:positionH relativeFrom="page">
                <wp:align>right</wp:align>
              </wp:positionH>
              <wp:positionV relativeFrom="page">
                <wp:align>top</wp:align>
              </wp:positionV>
              <wp:extent cx="1321435" cy="421005"/>
              <wp:effectExtent l="0" t="0" r="0" b="17145"/>
              <wp:wrapNone/>
              <wp:docPr id="236792823" name="テキスト ボックス 1" descr="【社内限り】">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21435" cy="421005"/>
                      </a:xfrm>
                      <a:prstGeom prst="rect">
                        <a:avLst/>
                      </a:prstGeom>
                      <a:noFill/>
                      <a:ln>
                        <a:noFill/>
                      </a:ln>
                    </wps:spPr>
                    <wps:txbx>
                      <w:txbxContent>
                        <w:p w14:paraId="46E3863B" w14:textId="21A163C5" w:rsidR="00D16835" w:rsidRPr="00D16835" w:rsidRDefault="00D16835" w:rsidP="00D16835">
                          <w:pPr>
                            <w:rPr>
                              <w:rFonts w:ascii="Calibri" w:eastAsia="Calibri" w:hAnsi="Calibri" w:cs="Calibri"/>
                              <w:noProof/>
                              <w:color w:val="000000"/>
                              <w:sz w:val="28"/>
                              <w:szCs w:val="28"/>
                            </w:rPr>
                          </w:pPr>
                          <w:r w:rsidRPr="00D16835">
                            <w:rPr>
                              <w:rFonts w:ascii="Calibri" w:eastAsia="Calibri" w:hAnsi="Calibri" w:cs="Calibri"/>
                              <w:noProof/>
                              <w:color w:val="000000"/>
                              <w:sz w:val="28"/>
                              <w:szCs w:val="28"/>
                            </w:rPr>
                            <w:t>【社内限り】</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83F150" id="_x0000_t202" coordsize="21600,21600" o:spt="202" path="m,l,21600r21600,l21600,xe">
              <v:stroke joinstyle="miter"/>
              <v:path gradientshapeok="t" o:connecttype="rect"/>
            </v:shapetype>
            <v:shape id="テキスト ボックス 1" o:spid="_x0000_s1028" type="#_x0000_t202" alt="【社内限り】" style="position:absolute;left:0;text-align:left;margin-left:52.85pt;margin-top:0;width:104.05pt;height:33.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" filled="f" stroked="f">
              <v:fill o:detectmouseclick="t"/>
              <v:textbox style="mso-fit-shape-to-text:t" inset="0,15pt,20pt,0">
                <w:txbxContent>
                  <w:p w14:paraId="46E3863B" w14:textId="21A163C5" w:rsidR="00D16835" w:rsidRPr="00D16835" w:rsidRDefault="00D16835" w:rsidP="00D16835">
                    <w:pPr>
                      <w:rPr>
                        <w:rFonts w:ascii="Calibri" w:eastAsia="Calibri" w:hAnsi="Calibri" w:cs="Calibri"/>
                        <w:noProof/>
                        <w:color w:val="000000"/>
                        <w:sz w:val="28"/>
                        <w:szCs w:val="28"/>
                      </w:rPr>
                    </w:pPr>
                    <w:r w:rsidRPr="00D16835">
                      <w:rPr>
                        <w:rFonts w:ascii="Calibri" w:eastAsia="Calibri" w:hAnsi="Calibri" w:cs="Calibri"/>
                        <w:noProof/>
                        <w:color w:val="000000"/>
                        <w:sz w:val="28"/>
                        <w:szCs w:val="28"/>
                      </w:rPr>
                      <w:t>【社内限り】</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EE"/>
    <w:rsid w:val="000E0691"/>
    <w:rsid w:val="001C41A3"/>
    <w:rsid w:val="00202C95"/>
    <w:rsid w:val="00697E0A"/>
    <w:rsid w:val="00861ED5"/>
    <w:rsid w:val="00C035E1"/>
    <w:rsid w:val="00C638FE"/>
    <w:rsid w:val="00CF40F9"/>
    <w:rsid w:val="00D16835"/>
    <w:rsid w:val="00D52767"/>
    <w:rsid w:val="00D55A6A"/>
    <w:rsid w:val="00F866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F350A3A"/>
  <w15:chartTrackingRefBased/>
  <w15:docId w15:val="{543915EC-53EB-408C-81D3-96FB13E69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66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866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866E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866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866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866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866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866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866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866E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866E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866E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866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866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866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866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866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866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866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866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66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866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66EE"/>
    <w:pPr>
      <w:spacing w:before="160" w:after="160"/>
      <w:jc w:val="center"/>
    </w:pPr>
    <w:rPr>
      <w:i/>
      <w:iCs/>
      <w:color w:val="404040" w:themeColor="text1" w:themeTint="BF"/>
    </w:rPr>
  </w:style>
  <w:style w:type="character" w:customStyle="1" w:styleId="a8">
    <w:name w:val="引用文 (文字)"/>
    <w:basedOn w:val="a0"/>
    <w:link w:val="a7"/>
    <w:uiPriority w:val="29"/>
    <w:rsid w:val="00F866EE"/>
    <w:rPr>
      <w:i/>
      <w:iCs/>
      <w:color w:val="404040" w:themeColor="text1" w:themeTint="BF"/>
    </w:rPr>
  </w:style>
  <w:style w:type="paragraph" w:styleId="a9">
    <w:name w:val="List Paragraph"/>
    <w:basedOn w:val="a"/>
    <w:uiPriority w:val="34"/>
    <w:qFormat/>
    <w:rsid w:val="00F866EE"/>
    <w:pPr>
      <w:ind w:left="720"/>
      <w:contextualSpacing/>
    </w:pPr>
  </w:style>
  <w:style w:type="character" w:styleId="21">
    <w:name w:val="Intense Emphasis"/>
    <w:basedOn w:val="a0"/>
    <w:uiPriority w:val="21"/>
    <w:qFormat/>
    <w:rsid w:val="00F866EE"/>
    <w:rPr>
      <w:i/>
      <w:iCs/>
      <w:color w:val="0F4761" w:themeColor="accent1" w:themeShade="BF"/>
    </w:rPr>
  </w:style>
  <w:style w:type="paragraph" w:styleId="22">
    <w:name w:val="Intense Quote"/>
    <w:basedOn w:val="a"/>
    <w:next w:val="a"/>
    <w:link w:val="23"/>
    <w:uiPriority w:val="30"/>
    <w:qFormat/>
    <w:rsid w:val="00F86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866EE"/>
    <w:rPr>
      <w:i/>
      <w:iCs/>
      <w:color w:val="0F4761" w:themeColor="accent1" w:themeShade="BF"/>
    </w:rPr>
  </w:style>
  <w:style w:type="character" w:styleId="24">
    <w:name w:val="Intense Reference"/>
    <w:basedOn w:val="a0"/>
    <w:uiPriority w:val="32"/>
    <w:qFormat/>
    <w:rsid w:val="00F866EE"/>
    <w:rPr>
      <w:b/>
      <w:bCs/>
      <w:smallCaps/>
      <w:color w:val="0F4761" w:themeColor="accent1" w:themeShade="BF"/>
      <w:spacing w:val="5"/>
    </w:rPr>
  </w:style>
  <w:style w:type="paragraph" w:styleId="Web">
    <w:name w:val="Normal (Web)"/>
    <w:basedOn w:val="a"/>
    <w:uiPriority w:val="99"/>
    <w:semiHidden/>
    <w:unhideWhenUsed/>
    <w:rsid w:val="00C035E1"/>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styleId="aa">
    <w:name w:val="header"/>
    <w:basedOn w:val="a"/>
    <w:link w:val="ab"/>
    <w:uiPriority w:val="99"/>
    <w:unhideWhenUsed/>
    <w:rsid w:val="00D16835"/>
    <w:pPr>
      <w:tabs>
        <w:tab w:val="center" w:pos="4252"/>
        <w:tab w:val="right" w:pos="8504"/>
      </w:tabs>
      <w:snapToGrid w:val="0"/>
    </w:pPr>
  </w:style>
  <w:style w:type="character" w:customStyle="1" w:styleId="ab">
    <w:name w:val="ヘッダー (文字)"/>
    <w:basedOn w:val="a0"/>
    <w:link w:val="aa"/>
    <w:uiPriority w:val="99"/>
    <w:rsid w:val="00D16835"/>
  </w:style>
  <w:style w:type="paragraph" w:styleId="ac">
    <w:name w:val="footer"/>
    <w:basedOn w:val="a"/>
    <w:link w:val="ad"/>
    <w:uiPriority w:val="99"/>
    <w:unhideWhenUsed/>
    <w:rsid w:val="00202C95"/>
    <w:pPr>
      <w:tabs>
        <w:tab w:val="center" w:pos="4252"/>
        <w:tab w:val="right" w:pos="8504"/>
      </w:tabs>
      <w:snapToGrid w:val="0"/>
    </w:pPr>
  </w:style>
  <w:style w:type="character" w:customStyle="1" w:styleId="ad">
    <w:name w:val="フッター (文字)"/>
    <w:basedOn w:val="a0"/>
    <w:link w:val="ac"/>
    <w:uiPriority w:val="99"/>
    <w:rsid w:val="00202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91945">
      <w:bodyDiv w:val="1"/>
      <w:marLeft w:val="0"/>
      <w:marRight w:val="0"/>
      <w:marTop w:val="0"/>
      <w:marBottom w:val="0"/>
      <w:divBdr>
        <w:top w:val="none" w:sz="0" w:space="0" w:color="auto"/>
        <w:left w:val="none" w:sz="0" w:space="0" w:color="auto"/>
        <w:bottom w:val="none" w:sz="0" w:space="0" w:color="auto"/>
        <w:right w:val="none" w:sz="0" w:space="0" w:color="auto"/>
      </w:divBdr>
    </w:div>
    <w:div w:id="157117900">
      <w:bodyDiv w:val="1"/>
      <w:marLeft w:val="0"/>
      <w:marRight w:val="0"/>
      <w:marTop w:val="0"/>
      <w:marBottom w:val="0"/>
      <w:divBdr>
        <w:top w:val="none" w:sz="0" w:space="0" w:color="auto"/>
        <w:left w:val="none" w:sz="0" w:space="0" w:color="auto"/>
        <w:bottom w:val="none" w:sz="0" w:space="0" w:color="auto"/>
        <w:right w:val="none" w:sz="0" w:space="0" w:color="auto"/>
      </w:divBdr>
    </w:div>
    <w:div w:id="187106397">
      <w:bodyDiv w:val="1"/>
      <w:marLeft w:val="0"/>
      <w:marRight w:val="0"/>
      <w:marTop w:val="0"/>
      <w:marBottom w:val="0"/>
      <w:divBdr>
        <w:top w:val="none" w:sz="0" w:space="0" w:color="auto"/>
        <w:left w:val="none" w:sz="0" w:space="0" w:color="auto"/>
        <w:bottom w:val="none" w:sz="0" w:space="0" w:color="auto"/>
        <w:right w:val="none" w:sz="0" w:space="0" w:color="auto"/>
      </w:divBdr>
    </w:div>
    <w:div w:id="284819661">
      <w:bodyDiv w:val="1"/>
      <w:marLeft w:val="0"/>
      <w:marRight w:val="0"/>
      <w:marTop w:val="0"/>
      <w:marBottom w:val="0"/>
      <w:divBdr>
        <w:top w:val="none" w:sz="0" w:space="0" w:color="auto"/>
        <w:left w:val="none" w:sz="0" w:space="0" w:color="auto"/>
        <w:bottom w:val="none" w:sz="0" w:space="0" w:color="auto"/>
        <w:right w:val="none" w:sz="0" w:space="0" w:color="auto"/>
      </w:divBdr>
    </w:div>
    <w:div w:id="421293612">
      <w:bodyDiv w:val="1"/>
      <w:marLeft w:val="0"/>
      <w:marRight w:val="0"/>
      <w:marTop w:val="0"/>
      <w:marBottom w:val="0"/>
      <w:divBdr>
        <w:top w:val="none" w:sz="0" w:space="0" w:color="auto"/>
        <w:left w:val="none" w:sz="0" w:space="0" w:color="auto"/>
        <w:bottom w:val="none" w:sz="0" w:space="0" w:color="auto"/>
        <w:right w:val="none" w:sz="0" w:space="0" w:color="auto"/>
      </w:divBdr>
    </w:div>
    <w:div w:id="441196235">
      <w:bodyDiv w:val="1"/>
      <w:marLeft w:val="0"/>
      <w:marRight w:val="0"/>
      <w:marTop w:val="0"/>
      <w:marBottom w:val="0"/>
      <w:divBdr>
        <w:top w:val="none" w:sz="0" w:space="0" w:color="auto"/>
        <w:left w:val="none" w:sz="0" w:space="0" w:color="auto"/>
        <w:bottom w:val="none" w:sz="0" w:space="0" w:color="auto"/>
        <w:right w:val="none" w:sz="0" w:space="0" w:color="auto"/>
      </w:divBdr>
    </w:div>
    <w:div w:id="517744472">
      <w:bodyDiv w:val="1"/>
      <w:marLeft w:val="0"/>
      <w:marRight w:val="0"/>
      <w:marTop w:val="0"/>
      <w:marBottom w:val="0"/>
      <w:divBdr>
        <w:top w:val="none" w:sz="0" w:space="0" w:color="auto"/>
        <w:left w:val="none" w:sz="0" w:space="0" w:color="auto"/>
        <w:bottom w:val="none" w:sz="0" w:space="0" w:color="auto"/>
        <w:right w:val="none" w:sz="0" w:space="0" w:color="auto"/>
      </w:divBdr>
    </w:div>
    <w:div w:id="595946325">
      <w:bodyDiv w:val="1"/>
      <w:marLeft w:val="0"/>
      <w:marRight w:val="0"/>
      <w:marTop w:val="0"/>
      <w:marBottom w:val="0"/>
      <w:divBdr>
        <w:top w:val="none" w:sz="0" w:space="0" w:color="auto"/>
        <w:left w:val="none" w:sz="0" w:space="0" w:color="auto"/>
        <w:bottom w:val="none" w:sz="0" w:space="0" w:color="auto"/>
        <w:right w:val="none" w:sz="0" w:space="0" w:color="auto"/>
      </w:divBdr>
    </w:div>
    <w:div w:id="897088946">
      <w:bodyDiv w:val="1"/>
      <w:marLeft w:val="0"/>
      <w:marRight w:val="0"/>
      <w:marTop w:val="0"/>
      <w:marBottom w:val="0"/>
      <w:divBdr>
        <w:top w:val="none" w:sz="0" w:space="0" w:color="auto"/>
        <w:left w:val="none" w:sz="0" w:space="0" w:color="auto"/>
        <w:bottom w:val="none" w:sz="0" w:space="0" w:color="auto"/>
        <w:right w:val="none" w:sz="0" w:space="0" w:color="auto"/>
      </w:divBdr>
    </w:div>
    <w:div w:id="948775914">
      <w:bodyDiv w:val="1"/>
      <w:marLeft w:val="0"/>
      <w:marRight w:val="0"/>
      <w:marTop w:val="0"/>
      <w:marBottom w:val="0"/>
      <w:divBdr>
        <w:top w:val="none" w:sz="0" w:space="0" w:color="auto"/>
        <w:left w:val="none" w:sz="0" w:space="0" w:color="auto"/>
        <w:bottom w:val="none" w:sz="0" w:space="0" w:color="auto"/>
        <w:right w:val="none" w:sz="0" w:space="0" w:color="auto"/>
      </w:divBdr>
    </w:div>
    <w:div w:id="1002468095">
      <w:bodyDiv w:val="1"/>
      <w:marLeft w:val="0"/>
      <w:marRight w:val="0"/>
      <w:marTop w:val="0"/>
      <w:marBottom w:val="0"/>
      <w:divBdr>
        <w:top w:val="none" w:sz="0" w:space="0" w:color="auto"/>
        <w:left w:val="none" w:sz="0" w:space="0" w:color="auto"/>
        <w:bottom w:val="none" w:sz="0" w:space="0" w:color="auto"/>
        <w:right w:val="none" w:sz="0" w:space="0" w:color="auto"/>
      </w:divBdr>
    </w:div>
    <w:div w:id="1264386612">
      <w:bodyDiv w:val="1"/>
      <w:marLeft w:val="0"/>
      <w:marRight w:val="0"/>
      <w:marTop w:val="0"/>
      <w:marBottom w:val="0"/>
      <w:divBdr>
        <w:top w:val="none" w:sz="0" w:space="0" w:color="auto"/>
        <w:left w:val="none" w:sz="0" w:space="0" w:color="auto"/>
        <w:bottom w:val="none" w:sz="0" w:space="0" w:color="auto"/>
        <w:right w:val="none" w:sz="0" w:space="0" w:color="auto"/>
      </w:divBdr>
    </w:div>
    <w:div w:id="1355303996">
      <w:bodyDiv w:val="1"/>
      <w:marLeft w:val="0"/>
      <w:marRight w:val="0"/>
      <w:marTop w:val="0"/>
      <w:marBottom w:val="0"/>
      <w:divBdr>
        <w:top w:val="none" w:sz="0" w:space="0" w:color="auto"/>
        <w:left w:val="none" w:sz="0" w:space="0" w:color="auto"/>
        <w:bottom w:val="none" w:sz="0" w:space="0" w:color="auto"/>
        <w:right w:val="none" w:sz="0" w:space="0" w:color="auto"/>
      </w:divBdr>
    </w:div>
    <w:div w:id="1488286196">
      <w:bodyDiv w:val="1"/>
      <w:marLeft w:val="0"/>
      <w:marRight w:val="0"/>
      <w:marTop w:val="0"/>
      <w:marBottom w:val="0"/>
      <w:divBdr>
        <w:top w:val="none" w:sz="0" w:space="0" w:color="auto"/>
        <w:left w:val="none" w:sz="0" w:space="0" w:color="auto"/>
        <w:bottom w:val="none" w:sz="0" w:space="0" w:color="auto"/>
        <w:right w:val="none" w:sz="0" w:space="0" w:color="auto"/>
      </w:divBdr>
    </w:div>
    <w:div w:id="1502743895">
      <w:bodyDiv w:val="1"/>
      <w:marLeft w:val="0"/>
      <w:marRight w:val="0"/>
      <w:marTop w:val="0"/>
      <w:marBottom w:val="0"/>
      <w:divBdr>
        <w:top w:val="none" w:sz="0" w:space="0" w:color="auto"/>
        <w:left w:val="none" w:sz="0" w:space="0" w:color="auto"/>
        <w:bottom w:val="none" w:sz="0" w:space="0" w:color="auto"/>
        <w:right w:val="none" w:sz="0" w:space="0" w:color="auto"/>
      </w:divBdr>
    </w:div>
    <w:div w:id="1556697453">
      <w:bodyDiv w:val="1"/>
      <w:marLeft w:val="0"/>
      <w:marRight w:val="0"/>
      <w:marTop w:val="0"/>
      <w:marBottom w:val="0"/>
      <w:divBdr>
        <w:top w:val="none" w:sz="0" w:space="0" w:color="auto"/>
        <w:left w:val="none" w:sz="0" w:space="0" w:color="auto"/>
        <w:bottom w:val="none" w:sz="0" w:space="0" w:color="auto"/>
        <w:right w:val="none" w:sz="0" w:space="0" w:color="auto"/>
      </w:divBdr>
    </w:div>
    <w:div w:id="1559316897">
      <w:bodyDiv w:val="1"/>
      <w:marLeft w:val="0"/>
      <w:marRight w:val="0"/>
      <w:marTop w:val="0"/>
      <w:marBottom w:val="0"/>
      <w:divBdr>
        <w:top w:val="none" w:sz="0" w:space="0" w:color="auto"/>
        <w:left w:val="none" w:sz="0" w:space="0" w:color="auto"/>
        <w:bottom w:val="none" w:sz="0" w:space="0" w:color="auto"/>
        <w:right w:val="none" w:sz="0" w:space="0" w:color="auto"/>
      </w:divBdr>
    </w:div>
    <w:div w:id="2127583189">
      <w:bodyDiv w:val="1"/>
      <w:marLeft w:val="0"/>
      <w:marRight w:val="0"/>
      <w:marTop w:val="0"/>
      <w:marBottom w:val="0"/>
      <w:divBdr>
        <w:top w:val="none" w:sz="0" w:space="0" w:color="auto"/>
        <w:left w:val="none" w:sz="0" w:space="0" w:color="auto"/>
        <w:bottom w:val="none" w:sz="0" w:space="0" w:color="auto"/>
        <w:right w:val="none" w:sz="0" w:space="0" w:color="auto"/>
      </w:divBdr>
    </w:div>
    <w:div w:id="2128742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827</Words>
  <Characters>4720</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YOMOGITA Kentaro/蓬田憲太郎(HD AIイノベーション MI技術)</dc:creator>
  <cp:keywords/>
  <dc:description/>
  <cp:lastModifiedBy>YOMOGITA Kentaro/蓬田憲太郎(HD AIイノベーション MI技術)</cp:lastModifiedBy>
  <cp:revision>2</cp:revision>
  <dcterms:created xsi:type="dcterms:W3CDTF">2025-11-13T11:28:00Z</dcterms:created>
  <dcterms:modified xsi:type="dcterms:W3CDTF">2025-11-13T12:46:00Z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e1d2bf7,7c47374c,69e03a11</vt:lpwstr>
  </property>
  <property fmtid="{D5CDD505-2E9C-101B-9397-08002B2CF9AE}" pid="3" name="ClassificationContentMarkingHeaderFontProps">
    <vt:lpwstr>#000000,14,Calibri</vt:lpwstr>
  </property>
  <property fmtid="{D5CDD505-2E9C-101B-9397-08002B2CF9AE}" pid="4" name="ClassificationContentMarkingHeaderText">
    <vt:lpwstr>【社内限り】</vt:lpwstr>
  </property>
  <property fmtid="{D5CDD505-2E9C-101B-9397-08002B2CF9AE}" pid="5" name="MSIP_Label_ee4e5477-c4fb-470b-83ce-140d5a4b72e2_Enabled">
    <vt:lpwstr>true</vt:lpwstr>
  </property>
  <property fmtid="{D5CDD505-2E9C-101B-9397-08002B2CF9AE}" pid="6" name="MSIP_Label_ee4e5477-c4fb-470b-83ce-140d5a4b72e2_SetDate">
    <vt:lpwstr>2025-11-13T12:27:03Z</vt:lpwstr>
  </property>
  <property fmtid="{D5CDD505-2E9C-101B-9397-08002B2CF9AE}" pid="7" name="MSIP_Label_ee4e5477-c4fb-470b-83ce-140d5a4b72e2_Method">
    <vt:lpwstr>Standard</vt:lpwstr>
  </property>
  <property fmtid="{D5CDD505-2E9C-101B-9397-08002B2CF9AE}" pid="8" name="MSIP_Label_ee4e5477-c4fb-470b-83ce-140d5a4b72e2_Name">
    <vt:lpwstr>【社内限り】サブラベル</vt:lpwstr>
  </property>
  <property fmtid="{D5CDD505-2E9C-101B-9397-08002B2CF9AE}" pid="9" name="MSIP_Label_ee4e5477-c4fb-470b-83ce-140d5a4b72e2_SiteId">
    <vt:lpwstr>083b56f6-afc0-41a4-8aa0-de8b7a92e923</vt:lpwstr>
  </property>
  <property fmtid="{D5CDD505-2E9C-101B-9397-08002B2CF9AE}" pid="10" name="MSIP_Label_ee4e5477-c4fb-470b-83ce-140d5a4b72e2_ActionId">
    <vt:lpwstr>ca710a0c-26e1-4b7b-9372-e3142ca54c40</vt:lpwstr>
  </property>
  <property fmtid="{D5CDD505-2E9C-101B-9397-08002B2CF9AE}" pid="11" name="MSIP_Label_ee4e5477-c4fb-470b-83ce-140d5a4b72e2_ContentBits">
    <vt:lpwstr>1</vt:lpwstr>
  </property>
</Properties>
</file>