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Étude énergétique du siège</w:t>
      </w:r>
    </w:p>
    <w:p>
      <w:r>
        <w:t xml:space="preserve">Le bâtiment consomme 182 kWh/m² par an. L'objectif fixé par la maîtrise d'ouvrage est de réduire cette consommation de 40 % d'ici 2030.</w:t>
      </w:r>
    </w:p>
  </w:body>
</w:document>
</file>