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255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 video (intro.mov)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255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Slides + audio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0.00 - Slide 1: Learning outcomes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2.09 - Slide 2: What do we mean by protocol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3.32 - Slide 3: Importance to researchers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4.16 - Slide 4: International standards on research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5.34 - Slide 5: Good laboratory practice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6.48 - Slide 6: Grant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9.00 - Slide 7: Editors’ interest in the protocol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Learning activity - MCQs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order for media elements (inc timings for slide transitions).docx</dc:title>
</cp:coreProperties>
</file>