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000000"/>
          <w:sz w:val="28"/>
          <w:szCs w:val="28"/>
        </w:rPr>
        <w:t xml:space="preserve">FUNDORA</w:t>
      </w:r>
    </w:p>
    <w:p>
      <w:pPr>
        <w:spacing w:after="80" w:before="0"/>
        <w:jc w:val="center"/>
      </w:pPr>
      <w:r>
        <w:rPr>
          <w:rFonts w:ascii="Times New Roman" w:cs="Times New Roman" w:eastAsia="Times New Roman" w:hAnsi="Times New Roman"/>
          <w:b/>
          <w:bCs/>
          <w:color w:val="000000"/>
          <w:sz w:val="28"/>
          <w:szCs w:val="28"/>
          <w:u w:val="single"/>
        </w:rPr>
        <w:t xml:space="preserve">REFUND POLICY</w:t>
      </w:r>
    </w:p>
    <w:p>
      <w:pPr>
        <w:spacing w:after="40" w:before="0"/>
        <w:jc w:val="center"/>
      </w:pPr>
      <w:r>
        <w:rPr>
          <w:rFonts w:ascii="Times New Roman" w:cs="Times New Roman" w:eastAsia="Times New Roman" w:hAnsi="Times New Roman"/>
          <w:i/>
          <w:iCs/>
          <w:color w:val="444444"/>
          <w:sz w:val="20"/>
          <w:szCs w:val="20"/>
        </w:rPr>
        <w:t xml:space="preserve">Effective Date: Upon Public Launch</w:t>
      </w:r>
    </w:p>
    <w:p>
      <w:pPr>
        <w:spacing w:after="360" w:before="0"/>
        <w:jc w:val="center"/>
      </w:pPr>
      <w:r>
        <w:rPr>
          <w:rFonts w:ascii="Times New Roman" w:cs="Times New Roman" w:eastAsia="Times New Roman" w:hAnsi="Times New Roman"/>
          <w:i/>
          <w:iCs/>
          <w:color w:val="444444"/>
          <w:sz w:val="20"/>
          <w:szCs w:val="20"/>
        </w:rPr>
        <w:t xml:space="preserve">Maramag, Bukidnon, Philippines</w:t>
      </w:r>
    </w:p>
    <w:p>
      <w:pPr>
        <w:pStyle w:val="Heading1"/>
        <w:spacing w:after="120" w:before="360"/>
      </w:pPr>
      <w:r>
        <w:rPr>
          <w:rFonts w:ascii="Times New Roman" w:cs="Times New Roman" w:eastAsia="Times New Roman" w:hAnsi="Times New Roman"/>
          <w:b/>
          <w:bCs/>
          <w:color w:val="000000"/>
          <w:sz w:val="24"/>
          <w:szCs w:val="24"/>
        </w:rPr>
        <w:t xml:space="preserve">1. OVERVIEW</w:t>
      </w:r>
    </w:p>
    <w:p>
      <w:pPr>
        <w:spacing w:after="160" w:before="0" w:line="360"/>
        <w:jc w:val="both"/>
      </w:pPr>
      <w:r>
        <w:rPr>
          <w:rFonts w:ascii="Times New Roman" w:cs="Times New Roman" w:eastAsia="Times New Roman" w:hAnsi="Times New Roman"/>
          <w:b w:val="false"/>
          <w:bCs w:val="false"/>
          <w:color w:val="000000"/>
          <w:sz w:val="24"/>
          <w:szCs w:val="24"/>
        </w:rPr>
        <w:t xml:space="preserve">This Refund Policy outlines the conditions under which refunds are issued on the Fundora platform. By donating to a campaign or creating a campaign on Fundora, you agree to the terms described in this policy.</w:t>
      </w:r>
    </w:p>
    <w:p>
      <w:pPr>
        <w:spacing w:after="160" w:before="0" w:line="360"/>
        <w:jc w:val="both"/>
      </w:pPr>
      <w:r>
        <w:rPr>
          <w:rFonts w:ascii="Times New Roman" w:cs="Times New Roman" w:eastAsia="Times New Roman" w:hAnsi="Times New Roman"/>
          <w:b w:val="false"/>
          <w:bCs w:val="false"/>
          <w:color w:val="000000"/>
          <w:sz w:val="24"/>
          <w:szCs w:val="24"/>
        </w:rPr>
        <w:t xml:space="preserve">Fundora acts as a platform connecting organizers and sponsors. All funds flow through our payment gateway provider. Refunds are subject to the capabilities and timelines of our payment processor.</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2. CAMPAIGN AUTO-RETURN REFUNDS</w:t>
      </w:r>
    </w:p>
    <w:p>
      <w:pPr>
        <w:pStyle w:val="Heading2"/>
        <w:spacing w:after="80" w:before="240"/>
      </w:pPr>
      <w:r>
        <w:rPr>
          <w:rFonts w:ascii="Times New Roman" w:cs="Times New Roman" w:eastAsia="Times New Roman" w:hAnsi="Times New Roman"/>
          <w:b/>
          <w:bCs/>
          <w:color w:val="000000"/>
          <w:sz w:val="24"/>
          <w:szCs w:val="24"/>
        </w:rPr>
        <w:t xml:space="preserve">2.1 How Auto-Return Works</w:t>
      </w:r>
    </w:p>
    <w:p>
      <w:pPr>
        <w:spacing w:after="160" w:before="0" w:line="360"/>
        <w:jc w:val="both"/>
      </w:pPr>
      <w:r>
        <w:rPr>
          <w:rFonts w:ascii="Times New Roman" w:cs="Times New Roman" w:eastAsia="Times New Roman" w:hAnsi="Times New Roman"/>
          <w:b w:val="false"/>
          <w:bCs w:val="false"/>
          <w:color w:val="000000"/>
          <w:sz w:val="24"/>
          <w:szCs w:val="24"/>
        </w:rPr>
        <w:t xml:space="preserve">Each campaign on Fundora has an auto-return setting configured by the organizer at the time of campaign creation. This setting is displayed prominently on the campaign page so sponsors can make an informed decision before donating.</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2.2 Auto-Return Enabled</w:t>
      </w:r>
    </w:p>
    <w:p>
      <w:pPr>
        <w:spacing w:after="160" w:before="0" w:line="360"/>
        <w:jc w:val="both"/>
      </w:pPr>
      <w:r>
        <w:rPr>
          <w:rFonts w:ascii="Times New Roman" w:cs="Times New Roman" w:eastAsia="Times New Roman" w:hAnsi="Times New Roman"/>
          <w:b w:val="false"/>
          <w:bCs w:val="false"/>
          <w:color w:val="000000"/>
          <w:sz w:val="24"/>
          <w:szCs w:val="24"/>
        </w:rPr>
        <w:t xml:space="preserve">If a campaign has auto-return enabled and does not reach its fundraising goal by the deadline: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All sponsors will be refunded their full donation amount.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Refunds will be processed within thirty (30) business days of the campaign expiry date.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Refunds will be returned to the original payment method used at the time of donation.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gateway processing fees are non-refundable as they are charged by the payment provider.</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2.3 Auto-Return Disabled</w:t>
      </w:r>
    </w:p>
    <w:p>
      <w:pPr>
        <w:spacing w:after="160" w:before="0" w:line="360"/>
        <w:jc w:val="both"/>
      </w:pPr>
      <w:r>
        <w:rPr>
          <w:rFonts w:ascii="Times New Roman" w:cs="Times New Roman" w:eastAsia="Times New Roman" w:hAnsi="Times New Roman"/>
          <w:b w:val="false"/>
          <w:bCs w:val="false"/>
          <w:color w:val="000000"/>
          <w:sz w:val="24"/>
          <w:szCs w:val="24"/>
        </w:rPr>
        <w:t xml:space="preserve">If a campaign has auto-return disabled: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Sponsors acknowledge before donating that the organizer retains all funds raised regardless of whether the goal is met.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No refunds will be issued under this setting unless fraud or misrepresentation is determined through Fundora's dispute resolution process.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This setting is clearly communicated on the campaign page before any donation is made.</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3. DISPUTE AND FRAUD REFUNDS</w:t>
      </w:r>
    </w:p>
    <w:p>
      <w:pPr>
        <w:pStyle w:val="Heading2"/>
        <w:spacing w:after="80" w:before="240"/>
      </w:pPr>
      <w:r>
        <w:rPr>
          <w:rFonts w:ascii="Times New Roman" w:cs="Times New Roman" w:eastAsia="Times New Roman" w:hAnsi="Times New Roman"/>
          <w:b/>
          <w:bCs/>
          <w:color w:val="000000"/>
          <w:sz w:val="24"/>
          <w:szCs w:val="24"/>
        </w:rPr>
        <w:t xml:space="preserve">3.1 Filing a Complaint</w:t>
      </w:r>
    </w:p>
    <w:p>
      <w:pPr>
        <w:spacing w:after="160" w:before="0" w:line="360"/>
        <w:jc w:val="both"/>
      </w:pPr>
      <w:r>
        <w:rPr>
          <w:rFonts w:ascii="Times New Roman" w:cs="Times New Roman" w:eastAsia="Times New Roman" w:hAnsi="Times New Roman"/>
          <w:b w:val="false"/>
          <w:bCs w:val="false"/>
          <w:color w:val="000000"/>
          <w:sz w:val="24"/>
          <w:szCs w:val="24"/>
        </w:rPr>
        <w:t xml:space="preserve">If a sponsor believes that an organizer has acted fraudulently, provided false information, or misused campaign funds, they may file a formal complaint through Fundora's support channel. The complaint must include: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The name of the campaign and the organizer.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The amount donated and the date of donation.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 clear description of the alleged fraud or misrepresentation.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Any supporting evidence available.</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3.2 Investigation Process</w:t>
      </w:r>
    </w:p>
    <w:p>
      <w:pPr>
        <w:spacing w:after="160" w:before="0" w:line="360"/>
        <w:jc w:val="both"/>
      </w:pPr>
      <w:r>
        <w:rPr>
          <w:rFonts w:ascii="Times New Roman" w:cs="Times New Roman" w:eastAsia="Times New Roman" w:hAnsi="Times New Roman"/>
          <w:b w:val="false"/>
          <w:bCs w:val="false"/>
          <w:color w:val="000000"/>
          <w:sz w:val="24"/>
          <w:szCs w:val="24"/>
        </w:rPr>
        <w:t xml:space="preserve">Upon receiving a valid complaint, Fundora will:</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Acknowledge receipt of the complaint within three (3) business days.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Review all available evidence including campaign content, organizer communications, and transaction records.</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Contact the organizer for a response.</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Make a determination based on the evidence presented.</w:t>
      </w:r>
    </w:p>
    <w:p>
      <w:pPr>
        <w:pStyle w:val="ListParagraph"/>
        <w:numPr>
          <w:ilvl w:val="0"/>
          <w:numId w:val="3"/>
        </w:numPr>
        <w:spacing w:after="60" w:before="60" w:line="360"/>
        <w:jc w:val="both"/>
      </w:pPr>
      <w:r>
        <w:rPr>
          <w:rFonts w:ascii="Times New Roman" w:cs="Times New Roman" w:eastAsia="Times New Roman" w:hAnsi="Times New Roman"/>
          <w:color w:val="000000"/>
          <w:sz w:val="24"/>
          <w:szCs w:val="24"/>
        </w:rPr>
        <w:t xml:space="preserve">Notify both parties of the outcome.</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3.3 Refund Outcome</w:t>
      </w:r>
    </w:p>
    <w:p>
      <w:pPr>
        <w:spacing w:after="160" w:before="0" w:line="360"/>
        <w:jc w:val="both"/>
      </w:pPr>
      <w:r>
        <w:rPr>
          <w:rFonts w:ascii="Times New Roman" w:cs="Times New Roman" w:eastAsia="Times New Roman" w:hAnsi="Times New Roman"/>
          <w:b w:val="false"/>
          <w:bCs w:val="false"/>
          <w:color w:val="000000"/>
          <w:sz w:val="24"/>
          <w:szCs w:val="24"/>
        </w:rPr>
        <w:t xml:space="preserve">If Fundora determines that fraud or misrepresentation has occurred: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Affected sponsors will receive a refund of their donation amount.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Dispute refunds will be processed within fourteen (14) business days of the resolution of the investigation.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gateway processing fees are non-refundable.</w:t>
      </w:r>
    </w:p>
    <w:p>
      <w:pPr>
        <w:spacing w:after="160" w:before="0" w:line="360"/>
        <w:jc w:val="both"/>
      </w:pPr>
      <w:r>
        <w:rPr>
          <w:rFonts w:ascii="Times New Roman" w:cs="Times New Roman" w:eastAsia="Times New Roman" w:hAnsi="Times New Roman"/>
          <w:b w:val="false"/>
          <w:bCs w:val="false"/>
          <w:color w:val="000000"/>
          <w:sz w:val="24"/>
          <w:szCs w:val="24"/>
        </w:rPr>
        <w:t xml:space="preserve">If Fundora determines that no fraud has occurred, no refund will be issued under the dispute process. Sponsors retain the right to pursue remedies through appropriate Philippine legal channels.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4. NON-REFUNDABLE ITEMS</w:t>
      </w:r>
    </w:p>
    <w:p>
      <w:pPr>
        <w:spacing w:after="160" w:before="0" w:line="360"/>
        <w:jc w:val="both"/>
      </w:pPr>
      <w:r>
        <w:rPr>
          <w:rFonts w:ascii="Times New Roman" w:cs="Times New Roman" w:eastAsia="Times New Roman" w:hAnsi="Times New Roman"/>
          <w:b w:val="false"/>
          <w:bCs w:val="false"/>
          <w:color w:val="000000"/>
          <w:sz w:val="24"/>
          <w:szCs w:val="24"/>
        </w:rPr>
        <w:t xml:space="preserve">The following are non-refundable under all circumstances: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gateway processing fees charged at the time of donation.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Platform fees (5%) deducted from organizer withdrawals.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Donations to campaigns with auto-return disabled, unless fraud is determined.</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Donations to campaigns where funds have already been withdrawn, unless fraud is determined.</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5. REFUND METHOD</w:t>
      </w:r>
    </w:p>
    <w:p>
      <w:pPr>
        <w:spacing w:after="160" w:before="0" w:line="360"/>
        <w:jc w:val="both"/>
      </w:pPr>
      <w:r>
        <w:rPr>
          <w:rFonts w:ascii="Times New Roman" w:cs="Times New Roman" w:eastAsia="Times New Roman" w:hAnsi="Times New Roman"/>
          <w:b w:val="false"/>
          <w:bCs w:val="false"/>
          <w:color w:val="000000"/>
          <w:sz w:val="24"/>
          <w:szCs w:val="24"/>
        </w:rPr>
        <w:t xml:space="preserve">All refunds will be returned to the original payment method used at the time of donation. Fundora does not issue refunds via alternative payment methods or cash. Refund timelines may vary depending on the sponsor's bank or e-wallet provider after processing on Fundora's end.</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6. CONTACT</w:t>
      </w:r>
    </w:p>
    <w:p>
      <w:pPr>
        <w:spacing w:after="160" w:before="0" w:line="360"/>
        <w:jc w:val="both"/>
      </w:pPr>
      <w:r>
        <w:rPr>
          <w:rFonts w:ascii="Times New Roman" w:cs="Times New Roman" w:eastAsia="Times New Roman" w:hAnsi="Times New Roman"/>
          <w:b w:val="false"/>
          <w:bCs w:val="false"/>
          <w:color w:val="000000"/>
          <w:sz w:val="24"/>
          <w:szCs w:val="24"/>
        </w:rPr>
        <w:t xml:space="preserve">For refund-related questions or to file a complaint, please contact Fundora through our official support channel on the platform or via our official Facebook page.</w:t>
      </w:r>
    </w:p>
    <w:p>
      <w:pPr>
        <w:spacing w:after="160" w:before="0" w:line="360"/>
        <w:jc w:val="both"/>
      </w:pPr>
      <w:r>
        <w:rPr>
          <w:rFonts w:ascii="Times New Roman" w:cs="Times New Roman" w:eastAsia="Times New Roman" w:hAnsi="Times New Roman"/>
          <w:b w:val="false"/>
          <w:bCs w:val="false"/>
          <w:color w:val="000000"/>
          <w:sz w:val="24"/>
          <w:szCs w:val="24"/>
        </w:rPr>
        <w:t xml:space="preserve">Fundora | Maramag, Bukidnon, Philippines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pPr>
    <w:r>
      <w:rPr>
        <w:rFonts w:ascii="Times New Roman" w:cs="Times New Roman" w:eastAsia="Times New Roman" w:hAnsi="Times New Roman"/>
        <w:color w:val="666666"/>
        <w:sz w:val="18"/>
        <w:szCs w:val="18"/>
      </w:rPr>
      <w:t xml:space="preserve">Fundora | Maramag, Bukidnon, Philippines</w:t>
    </w:r>
    <w:r>
      <w:rPr>
        <w:rFonts w:ascii="Times New Roman" w:cs="Times New Roman" w:eastAsia="Times New Roman" w:hAnsi="Times New Roman"/>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44444"/>
        <w:sz w:val="20"/>
        <w:szCs w:val="20"/>
      </w:rPr>
      <w:t xml:space="preserve">Fundora — 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2026-04-05T09:27:22.977Z</dcterms:created>
  <dcterms:modified xsi:type="dcterms:W3CDTF">2026-04-05T09:27:22.977Z</dcterms:modified>
</cp:coreProperties>
</file>

<file path=docProps/custom.xml><?xml version="1.0" encoding="utf-8"?>
<Properties xmlns="http://schemas.openxmlformats.org/officeDocument/2006/custom-properties" xmlns:vt="http://schemas.openxmlformats.org/officeDocument/2006/docPropsVTypes"/>
</file>