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2.png" ContentType="image/png"/>
  <Override PartName="/word/media/rId81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 · Versión 4 (cópula CROSS)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· v4 con verificación exhaustiva 200/200 correlaciones macro×producto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 para el Directorio</w:t>
      </w:r>
    </w:p>
    <w:bookmarkStart w:id="9" w:name="qué-hicimo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se obtiene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se obtienen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60" w:name="por-qué-cópulas-y-cuáles-aplicamo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Start w:id="59" w:name="Xc0abdfcff0d61a4af054f7740652e4745e5707f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4.6 Versión 3 — Cópula CROSS unificada (IMPLEMENTADA)</w:t>
      </w:r>
    </w:p>
    <w:p>
      <w:pPr>
        <w:pStyle w:val="FirstParagraph"/>
      </w:pPr>
      <w:r>
        <w:t xml:space="preserve">A partir del análisis profundo se identificó una</w:t>
      </w:r>
      <w:r>
        <w:t xml:space="preserve"> </w:t>
      </w:r>
      <w:r>
        <w:rPr>
          <w:b/>
          <w:bCs/>
        </w:rPr>
        <w:t xml:space="preserve">brecha estructural</w:t>
      </w:r>
      <w:r>
        <w:t xml:space="preserve">: el modelo separaba en dos cópulas la dependencia macro-macro y producto-producto, pero</w:t>
      </w:r>
      <w:r>
        <w:t xml:space="preserve"> </w:t>
      </w:r>
      <w:r>
        <w:rPr>
          <w:b/>
          <w:bCs/>
        </w:rPr>
        <w:t xml:space="preserve">no calibraba correlaciones cruzadas directas</w:t>
      </w:r>
      <w:r>
        <w:t xml:space="preserve"> </w:t>
      </w:r>
      <w:r>
        <w:t xml:space="preserve">entre, por ejemplo,</w:t>
      </w:r>
      <w:r>
        <w:t xml:space="preserve"> </w:t>
      </w:r>
      <w:r>
        <w:t xml:space="preserve">“tasa hipotecaria”</w:t>
      </w:r>
      <w:r>
        <w:t xml:space="preserve"> </w:t>
      </w:r>
      <w:r>
        <w:t xml:space="preserve">y</w:t>
      </w:r>
      <w:r>
        <w:t xml:space="preserve"> </w:t>
      </w:r>
      <w:r>
        <w:t xml:space="preserve">“velocidad de venta”</w:t>
      </w:r>
      <w:r>
        <w:t xml:space="preserve">. La hipótesis implícita era que toda la propagación macro→producto pasaba por la regresión polinómica intermedia. Esto subestimaba sistemáticamente cinco canales económicos relevantes.</w:t>
      </w:r>
    </w:p>
    <w:p>
      <w:pPr>
        <w:pStyle w:val="BodyText"/>
      </w:pPr>
      <w:r>
        <w:rPr>
          <w:b/>
          <w:bCs/>
        </w:rPr>
        <w:t xml:space="preserve">Solución v3</w:t>
      </w:r>
      <w:r>
        <w:t xml:space="preserve">: una sola cópula de</w:t>
      </w:r>
      <w:r>
        <w:t xml:space="preserve"> </w:t>
      </w:r>
      <w:r>
        <w:rPr>
          <w:b/>
          <w:bCs/>
        </w:rPr>
        <w:t xml:space="preserve">10 dimensiones</w:t>
      </w:r>
      <w:r>
        <w:t xml:space="preserve"> </w:t>
      </w:r>
      <w:r>
        <w:t xml:space="preserve">que integra simultáneamente las cinco macros (IMACEC, Δ tasa hipotecaria, Δ desempleo, IPV YoY, ICOI YoY) y las cinco variables de producto (precio, velocidad, plazo, descuento, tamaño). Calibrada por familia y por zona (AUDP vs. Nacional) sobre los datos pareados TINSA × macros 2010-2024.</w:t>
      </w:r>
    </w:p>
    <w:p>
      <w:pPr>
        <w:pStyle w:val="BodyText"/>
      </w:pPr>
      <w:r>
        <w:rPr>
          <w:b/>
          <w:bCs/>
        </w:rPr>
        <w:t xml:space="preserve">Verificación exhaustiva</w:t>
      </w:r>
      <w:r>
        <w:t xml:space="preserve">: se auditaron las</w:t>
      </w:r>
      <w:r>
        <w:t xml:space="preserve"> </w:t>
      </w:r>
      <w:r>
        <w:rPr>
          <w:b/>
          <w:bCs/>
        </w:rPr>
        <w:t xml:space="preserve">200 correlaciones macro × producto</w:t>
      </w:r>
      <w:r>
        <w:t xml:space="preserve"> </w:t>
      </w:r>
      <w:r>
        <w:t xml:space="preserve">(5 macros × 5 productos × 4 familias × 2 zonas). Las 200 están calibradas; 102 son significativas (|ρ| &gt; 0.20) y 27 fuertes (|ρ| &gt; 0.40). El detalle auditable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Hallazgos económicamente coherentes que la versión 2 no capturaba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760"/>
        <w:gridCol w:w="528"/>
        <w:gridCol w:w="281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Familia · Zona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Plazo de venta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townhouse · AUDP</w:t>
            </w:r>
          </w:p>
        </w:tc>
        <w:tc>
          <w:tcPr/>
          <w:p>
            <w:pPr>
              <w:pStyle w:val="Compact"/>
            </w:pPr>
            <w:r>
              <w:t xml:space="preserve">precios aceleran → unidades se venden 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Descuentos</w:t>
            </w:r>
          </w:p>
        </w:tc>
        <w:tc>
          <w:tcPr/>
          <w:p>
            <w:pPr>
              <w:pStyle w:val="Compact"/>
            </w:pPr>
            <w: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casa · AUDP</w:t>
            </w:r>
          </w:p>
        </w:tc>
        <w:tc>
          <w:tcPr/>
          <w:p>
            <w:pPr>
              <w:pStyle w:val="Compact"/>
            </w:pPr>
            <w:r>
              <w:t xml:space="preserve">costos suben → developers reducen descuentos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Precio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townhouse · nacional</w:t>
            </w:r>
          </w:p>
        </w:tc>
        <w:tc>
          <w:tcPr/>
          <w:p>
            <w:pPr>
              <w:pStyle w:val="Compact"/>
            </w:pPr>
            <w:r>
              <w:t xml:space="preserve">desempleo destruye demanda → precio cae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edif_4p · AUDP</w:t>
            </w:r>
          </w:p>
        </w:tc>
        <w:tc>
          <w:tcPr/>
          <w:p>
            <w:pPr>
              <w:pStyle w:val="Compact"/>
            </w:pPr>
            <w:r>
              <w:t xml:space="preserve">actividad económica eleva absorción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edif_4p · nacional</w:t>
            </w:r>
          </w:p>
        </w:tc>
        <w:tc>
          <w:tcPr/>
          <w:p>
            <w:pPr>
              <w:pStyle w:val="Compact"/>
            </w:pPr>
            <w:r>
              <w:t xml:space="preserve">canal de</w:t>
            </w:r>
            <w:r>
              <w:t xml:space="preserve"> </w:t>
            </w:r>
            <w:r>
              <w:rPr>
                <w:i/>
                <w:iCs/>
              </w:rPr>
              <w:t xml:space="preserve">affordability</w:t>
            </w:r>
            <w:r>
              <w:t xml:space="preserve">: tasa sube → calificación cae</w:t>
            </w:r>
          </w:p>
        </w:tc>
      </w:tr>
    </w:tbl>
    <w:p>
      <w:pPr>
        <w:pStyle w:val="BodyText"/>
      </w:pPr>
      <w:r>
        <w:t xml:space="preserve">El canal</w:t>
      </w:r>
      <w:r>
        <w:t xml:space="preserve"> </w:t>
      </w:r>
      <w:r>
        <w:t xml:space="preserve">“Δ tasa hipotecaria → Velocidad”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negativo en las ocho celdas significativas</w:t>
      </w:r>
      <w:r>
        <w:t xml:space="preserve"> </w:t>
      </w:r>
      <w:r>
        <w:t xml:space="preserve">(rango -0.28 a -0.46). Es uno de los pocos efectos cuyo signo es unánime en todas las familias y zonas, validando el mecanismo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como canal sistémico.</w:t>
      </w:r>
    </w:p>
    <w:p>
      <w:pPr>
        <w:pStyle w:val="BodyText"/>
      </w:pPr>
      <w:r>
        <w:rPr>
          <w:b/>
          <w:bCs/>
        </w:rPr>
        <w:t xml:space="preserve">Limitación honesta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n=25</w:t>
      </w:r>
      <w:r>
        <w:t xml:space="preserve"> </w:t>
      </w:r>
      <w:r>
        <w:t xml:space="preserve">trimestres en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y 10 dimensiones, el ratio observaciones/variables es 2.5 — por debajo del umbral conservador de 5. La t-cópula con ν=4 mitiga el sobreajuste en colas, pero los extremos como ρ=-0.78 deben leerse con una banda de confianza aproximada de ±0.20.</w:t>
      </w:r>
    </w:p>
    <w:bookmarkEnd w:id="59"/>
    <w:bookmarkEnd w:id="60"/>
    <w:bookmarkStart w:id="66" w:name="X2bd836e803a430c6035778c473856ccb5d9083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modelo.</w:t>
      </w:r>
    </w:p>
    <w:bookmarkStart w:id="61" w:name="X19d87d919f1f0308b62dd8bea053cee7f66c7aa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El recorrido de un sample en el Monte Carlo</w:t>
      </w:r>
    </w:p>
    <w:p>
      <w:pPr>
        <w:pStyle w:val="SourceCode"/>
      </w:pPr>
      <w:r>
        <w:rPr>
          <w:rStyle w:val="VerbatimChar"/>
        </w:rPr>
        <w:t xml:space="preserve">PASO 1: Sortear shocks macro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Sample joint con t-cópula respetando correlaciones empíricas:</w:t>
      </w:r>
      <w:r>
        <w:br/>
      </w:r>
      <w:r>
        <w:rPr>
          <w:rStyle w:val="VerbatimChar"/>
        </w:rPr>
        <w:t xml:space="preserve">- IMACEC variación %       (e.g., -2.5%)</w:t>
      </w:r>
      <w:r>
        <w:br/>
      </w:r>
      <w:r>
        <w:rPr>
          <w:rStyle w:val="VerbatimChar"/>
        </w:rPr>
        <w:t xml:space="preserve">- Δ Tasa hipotecaria pp    (e.g., +0.8pp)</w:t>
      </w:r>
      <w:r>
        <w:br/>
      </w:r>
      <w:r>
        <w:rPr>
          <w:rStyle w:val="VerbatimChar"/>
        </w:rPr>
        <w:t xml:space="preserve">- Δ Desempleo pp           (e.g., +1.2pp)</w:t>
      </w:r>
      <w:r>
        <w:br/>
      </w:r>
      <w:r>
        <w:rPr>
          <w:rStyle w:val="VerbatimChar"/>
        </w:rPr>
        <w:t xml:space="preserve">- IPV YoY %                (e.g., +1.0%)</w:t>
      </w:r>
      <w:r>
        <w:br/>
      </w:r>
      <w:r>
        <w:rPr>
          <w:rStyle w:val="VerbatimChar"/>
        </w:rPr>
        <w:t xml:space="preserve">- ICOI YoY %               (e.g., +5.7%)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2: Propagar a variables del proyecto (Capa 1)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Por cada familia (edif, ds19, casa, townhouse):</w:t>
      </w:r>
      <w:r>
        <w:br/>
      </w:r>
      <w:r>
        <w:rPr>
          <w:rStyle w:val="VerbatimChar"/>
        </w:rPr>
        <w:t xml:space="preserve">  precio_yoy   = IPV_familiar_sampleado + ε       (shock directo + ruido)</w:t>
      </w:r>
      <w:r>
        <w:br/>
      </w:r>
      <w:r>
        <w:rPr>
          <w:rStyle w:val="VerbatimChar"/>
        </w:rPr>
        <w:t xml:space="preserve">  costo_yoy   = ICOI_sampleado + ε                (shock directo + ruido)</w:t>
      </w:r>
      <w:r>
        <w:br/>
      </w:r>
      <w:r>
        <w:rPr>
          <w:rStyle w:val="VerbatimChar"/>
        </w:rPr>
        <w:t xml:space="preserve">  velocidad   = α + β·macros + ε                  (regresión OLS)</w:t>
      </w:r>
      <w:r>
        <w:br/>
      </w:r>
      <w:r>
        <w:rPr>
          <w:rStyle w:val="VerbatimChar"/>
        </w:rPr>
        <w:t xml:space="preserve">  plazo_yoy   = ε                                 (ruido idiosincrático)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3: Convertir a multipliers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tm         = 1 + precio_yoy/100      (multiplicador ticket)</w:t>
      </w:r>
      <w:r>
        <w:br/>
      </w:r>
      <w:r>
        <w:rPr>
          <w:rStyle w:val="VerbatimChar"/>
        </w:rPr>
        <w:t xml:space="preserve">vel        = velocidad_yoy            (% sobre baseline)</w:t>
      </w:r>
      <w:r>
        <w:br/>
      </w:r>
      <w:r>
        <w:rPr>
          <w:rStyle w:val="VerbatimChar"/>
        </w:rPr>
        <w:t xml:space="preserve">costoMult  = 1 + costo_yoy/100</w:t>
      </w:r>
      <w:r>
        <w:br/>
      </w:r>
      <w:r>
        <w:rPr>
          <w:rStyle w:val="VerbatimChar"/>
        </w:rPr>
        <w:t xml:space="preserve">plazoMult  = 1 + plazo_yoy/100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4: Aplicar a la incidencia del residual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Para cada familia con representante guardado:</w:t>
      </w:r>
      <w:r>
        <w:br/>
      </w:r>
      <w:r>
        <w:rPr>
          <w:rStyle w:val="VerbatimChar"/>
        </w:rPr>
        <w:t xml:space="preserve">  Δincidencia = ∂i/∂ticket × (tm-1) +</w:t>
      </w:r>
      <w:r>
        <w:br/>
      </w:r>
      <w:r>
        <w:rPr>
          <w:rStyle w:val="VerbatimChar"/>
        </w:rPr>
        <w:t xml:space="preserve">                ∂i/∂vel × (vel/100) +</w:t>
      </w:r>
      <w:r>
        <w:br/>
      </w:r>
      <w:r>
        <w:rPr>
          <w:rStyle w:val="VerbatimChar"/>
        </w:rPr>
        <w:t xml:space="preserve">                ∂i/∂costo × (costoMult-1) +</w:t>
      </w:r>
      <w:r>
        <w:br/>
      </w:r>
      <w:r>
        <w:rPr>
          <w:rStyle w:val="VerbatimChar"/>
        </w:rPr>
        <w:t xml:space="preserve">                ∂i/∂plazo × (plazoMult-1)</w:t>
      </w:r>
      <w:r>
        <w:br/>
      </w:r>
      <w:r>
        <w:rPr>
          <w:rStyle w:val="VerbatimChar"/>
        </w:rPr>
        <w:t xml:space="preserve">  PRODUCTS[fam].incidencia = baseline + Δincidencia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5: Re-correr peResimulate del flujo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Con los nuevos valores en PRODUCTS:</w:t>
      </w:r>
      <w:r>
        <w:br/>
      </w:r>
      <w:r>
        <w:rPr>
          <w:rStyle w:val="VerbatimChar"/>
        </w:rPr>
        <w:t xml:space="preserve">- Velocidad cambiada (peVelocidadPct = vel)</w:t>
      </w:r>
      <w:r>
        <w:br/>
      </w:r>
      <w:r>
        <w:rPr>
          <w:rStyle w:val="VerbatimChar"/>
        </w:rPr>
        <w:t xml:space="preserve">- Ticket multiplicado (tm aplica a revenue)</w:t>
      </w:r>
      <w:r>
        <w:br/>
      </w:r>
      <w:r>
        <w:rPr>
          <w:rStyle w:val="VerbatimChar"/>
        </w:rPr>
        <w:t xml:space="preserve">- Incidencia ajustada (vía Δincidencia)</w:t>
      </w:r>
      <w:r>
        <w:br/>
      </w:r>
      <w:r>
        <w:rPr>
          <w:rStyle w:val="VerbatimChar"/>
        </w:rPr>
        <w:t xml:space="preserve">- Costos triangulares (infra, mit, san)</w:t>
      </w:r>
      <w:r>
        <w:br/>
      </w:r>
      <w:r>
        <w:rPr>
          <w:rStyle w:val="VerbatimChar"/>
        </w:rPr>
        <w:t xml:space="preserve">- Tasa descuento sortado uniforme</w:t>
      </w:r>
      <w:r>
        <w:br/>
      </w:r>
      <w:r>
        <w:br/>
      </w:r>
      <w:r>
        <w:rPr>
          <w:rStyle w:val="VerbatimChar"/>
        </w:rPr>
        <w:t xml:space="preserve">Calcula el flujo de caja del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6: Calcular VAN del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VAN = Σ flujo_t / (1 + discRate)^t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7: Almacenar resultado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Guardar VAN en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1"/>
    <w:bookmarkStart w:id="65" w:name="Xb6354301a5268599fb25a4beb6ba19b1617ca8b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3" name="Picture"/>
            <a:graphic>
              <a:graphicData uri="http://schemas.openxmlformats.org/drawingml/2006/picture">
                <pic:pic>
                  <pic:nvPicPr>
                    <pic:cNvPr descr="figures/07_velocidad_acoplamient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5"/>
    <w:bookmarkEnd w:id="66"/>
    <w:bookmarkStart w:id="78" w:name="variables-del-modelo-catálogo-detallado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2" w:name="X4b0eb8a467a6fc25f1a09dd371fc6d20b9f320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 Variables sampleadas (Capa 2 — entran a la cópula)</w:t>
      </w:r>
    </w:p>
    <w:bookmarkStart w:id="67" w:name="imacec-variación-interanual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67"/>
    <w:bookmarkStart w:id="68" w:name="δ-tasa-hipotecaria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68"/>
    <w:bookmarkStart w:id="69" w:name="δ-tasa-de-desempleo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69"/>
    <w:bookmarkStart w:id="70" w:name="X035136653f5f314cebcd2ca26669561fa0e58e6"/>
    <w:p>
      <w:pPr>
        <w:pStyle w:val="Heading3"/>
      </w:pPr>
      <w:r>
        <w:rPr>
          <w:rStyle w:val="SectionNumber"/>
        </w:rPr>
        <w:t xml:space="preserve">7.1.4</w:t>
      </w:r>
      <w:r>
        <w:tab/>
      </w: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70"/>
    <w:bookmarkStart w:id="71" w:name="X53d6300536a953d1ebb537575f77d186403a793"/>
    <w:p>
      <w:pPr>
        <w:pStyle w:val="Heading3"/>
      </w:pPr>
      <w:r>
        <w:rPr>
          <w:rStyle w:val="SectionNumber"/>
        </w:rPr>
        <w:t xml:space="preserve">7.1.5</w:t>
      </w:r>
      <w:r>
        <w:tab/>
      </w: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1"/>
    <w:bookmarkEnd w:id="72"/>
    <w:bookmarkStart w:id="77" w:name="variables-del-proyecto-derivadas-capa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 Variables del proyecto derivadas (Capa 1)</w:t>
      </w:r>
    </w:p>
    <w:bookmarkStart w:id="73" w:name="precio-de-venta-yoy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3"/>
    <w:bookmarkStart w:id="74" w:name="costo-construcción-yoy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4"/>
    <w:bookmarkStart w:id="75" w:name="velocidad-de-venta-yoy-variable-acoplada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5"/>
    <w:bookmarkStart w:id="76" w:name="plazo-de-obra-yoy"/>
    <w:p>
      <w:pPr>
        <w:pStyle w:val="Heading3"/>
      </w:pPr>
      <w:r>
        <w:rPr>
          <w:rStyle w:val="SectionNumber"/>
        </w:rPr>
        <w:t xml:space="preserve">7.2.4</w:t>
      </w:r>
      <w:r>
        <w:tab/>
      </w: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76"/>
    <w:bookmarkEnd w:id="77"/>
    <w:bookmarkEnd w:id="78"/>
    <w:bookmarkStart w:id="85" w:name="validación-del-model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Validación del modelo</w:t>
      </w:r>
    </w:p>
    <w:bookmarkStart w:id="79" w:name="Xad905f94f797be6e5b2ee211784de462f1b8589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79"/>
    <w:bookmarkStart w:id="80" w:name="X25dc40cdba7d67d2eab4938a9652d37e2998721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80"/>
    <w:bookmarkStart w:id="84" w:name="tornado-qué-variables-mueven-más-el-van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2" name="Picture"/>
            <a:graphic>
              <a:graphicData uri="http://schemas.openxmlformats.org/drawingml/2006/picture">
                <pic:pic>
                  <pic:nvPicPr>
                    <pic:cNvPr descr="figures/08_tornado_esperad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4"/>
    <w:bookmarkEnd w:id="85"/>
    <w:bookmarkStart w:id="94" w:name="Xc69656c1b9253d5f29a17fee93bff31dddc9ab8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Limitaciones honestas y oportunidades de mejora</w:t>
      </w:r>
    </w:p>
    <w:bookmarkStart w:id="86" w:name="limitaciones-reconocida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86"/>
    <w:bookmarkStart w:id="93" w:name="Xefe088c2d1e588c1c9e3c6a8f483d1d758c7bec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 Mejoras IMPLEMENTADAS (Versión 2 del modelo)</w:t>
      </w:r>
    </w:p>
    <w:p>
      <w:pPr>
        <w:pStyle w:val="FirstParagraph"/>
      </w:pPr>
      <w:r>
        <w:t xml:space="preserve">Las 4 primeras mejoras priorizadas se implementaron en una nueva versión del factor model (</w:t>
      </w:r>
      <w:r>
        <w:rPr>
          <w:rStyle w:val="VerbatimChar"/>
        </w:rPr>
        <w:t xml:space="preserve">analysis/build_macro_v2.py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public/macro_factor_v2.js</w:t>
      </w:r>
      <w:r>
        <w:t xml:space="preserve">). Resultados honestos:</w:t>
      </w:r>
    </w:p>
    <w:bookmarkStart w:id="87" w:name="mejora-1-ipv-con-lag-t-3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Mejora 1 ✓: IPV con lag t-3</w:t>
      </w:r>
    </w:p>
    <w:p>
      <w:pPr>
        <w:pStyle w:val="FirstParagraph"/>
      </w:pPr>
      <w:r>
        <w:t xml:space="preserve">Recalibramos σ idiosincrático del precio usando IPV con lag de 3 trimestres en lugar de contemporáneo.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la diferencia σ_t vs σ_t-3 es</w:t>
      </w:r>
      <w:r>
        <w:t xml:space="preserve"> </w:t>
      </w:r>
      <w:r>
        <w:rPr>
          <w:b/>
          <w:bCs/>
        </w:rPr>
        <w:t xml:space="preserve">marginal por familia</w:t>
      </w:r>
      <w:r>
        <w:t xml:space="preserve"> </w:t>
      </w:r>
      <w:r>
        <w:t xml:space="preserve">(0.03-0.34 pp). Esto contrasta con el efecto fuerte que se ve en pooled (ρ 0.34 → 0.55).</w:t>
      </w:r>
    </w:p>
    <w:p>
      <w:pPr>
        <w:pStyle w:val="BodyText"/>
      </w:pPr>
      <w:r>
        <w:rPr>
          <w:b/>
          <w:bCs/>
        </w:rPr>
        <w:t xml:space="preserve">Por qué</w:t>
      </w:r>
      <w:r>
        <w:t xml:space="preserve">: cuando estratificamos por familia (36-57 obs por celda), el efecto del lag se diluye porque hay más ruido idiosincrático específico al producto. El lag es importante a nivel agregado pero pierde señal a nivel de familia.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cambio conceptualmente correcto pero impacto cuantitativo modesto.</w:t>
      </w:r>
    </w:p>
    <w:bookmarkEnd w:id="87"/>
    <w:bookmarkStart w:id="88" w:name="X7503bd91b615e79c53c78d3b231f6d58cb39472"/>
    <w:p>
      <w:pPr>
        <w:pStyle w:val="Heading3"/>
      </w:pPr>
      <w:r>
        <w:rPr>
          <w:rStyle w:val="SectionNumber"/>
        </w:rPr>
        <w:t xml:space="preserve">9.2.2</w:t>
      </w:r>
      <w:r>
        <w:tab/>
      </w:r>
      <w:r>
        <w:t xml:space="preserve">Mejora 2 ✓: Estratificación por comuna AUDP-relevante</w:t>
      </w:r>
    </w:p>
    <w:p>
      <w:pPr>
        <w:pStyle w:val="FirstParagraph"/>
      </w:pPr>
      <w:r>
        <w:t xml:space="preserve">Filtramos TINSA por las</w:t>
      </w:r>
      <w:r>
        <w:t xml:space="preserve"> </w:t>
      </w:r>
      <w:r>
        <w:rPr>
          <w:b/>
          <w:bCs/>
        </w:rPr>
        <w:t xml:space="preserve">7 comunas</w:t>
      </w:r>
      <w:r>
        <w:t xml:space="preserve"> </w:t>
      </w:r>
      <w:r>
        <w:t xml:space="preserve">de la zona periurbana de Santiago: LAMPA, COLINA, BUIN, PADRE HURTADO, SAN BERNARDO, TILTIL, MELIPILLA. Total:</w:t>
      </w:r>
      <w:r>
        <w:t xml:space="preserve"> </w:t>
      </w:r>
      <w:r>
        <w:rPr>
          <w:b/>
          <w:bCs/>
        </w:rPr>
        <w:t xml:space="preserve">14.708 observaciones</w:t>
      </w:r>
      <w:r>
        <w:t xml:space="preserve">, dominadas por COLINA (5.348), BUIN (2.639) y SAN BERNARDO (2.571).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diferencia real y cuantificable en σ idiosincrático del precio: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σ AUDP zone</w:t>
            </w:r>
          </w:p>
        </w:tc>
        <w:tc>
          <w:tcPr/>
          <w:p>
            <w:pPr>
              <w:pStyle w:val="Compact"/>
            </w:pPr>
            <w:r>
              <w:t xml:space="preserve">σ nacional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21.69 pp</w:t>
            </w:r>
          </w:p>
        </w:tc>
        <w:tc>
          <w:tcPr/>
          <w:p>
            <w:pPr>
              <w:pStyle w:val="Compact"/>
            </w:pPr>
            <w:r>
              <w:t xml:space="preserve">9.52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21.38 pp</w:t>
            </w:r>
          </w:p>
        </w:tc>
        <w:tc>
          <w:tcPr/>
          <w:p>
            <w:pPr>
              <w:pStyle w:val="Compact"/>
            </w:pPr>
            <w:r>
              <w:t xml:space="preserve">16.21 pp</w:t>
            </w:r>
          </w:p>
        </w:tc>
        <w:tc>
          <w:tcPr/>
          <w:p>
            <w:pPr>
              <w:pStyle w:val="Compact"/>
            </w:pPr>
            <w:r>
              <w:t xml:space="preserve">+5.2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7.97 pp</w:t>
            </w:r>
          </w:p>
        </w:tc>
        <w:tc>
          <w:tcPr/>
          <w:p>
            <w:pPr>
              <w:pStyle w:val="Compact"/>
            </w:pPr>
            <w:r>
              <w:t xml:space="preserve">7.06 pp</w:t>
            </w:r>
          </w:p>
        </w:tc>
        <w:tc>
          <w:tcPr/>
          <w:p>
            <w:pPr>
              <w:pStyle w:val="Compact"/>
            </w:pPr>
            <w:r>
              <w:t xml:space="preserve">+0.9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6.40 pp</w:t>
            </w:r>
          </w:p>
        </w:tc>
        <w:tc>
          <w:tcPr/>
          <w:p>
            <w:pPr>
              <w:pStyle w:val="Compact"/>
            </w:pPr>
            <w:r>
              <w:t xml:space="preserve">4.68 pp</w:t>
            </w:r>
          </w:p>
        </w:tc>
        <w:tc>
          <w:tcPr/>
          <w:p>
            <w:pPr>
              <w:pStyle w:val="Compact"/>
            </w:pPr>
            <w:r>
              <w:t xml:space="preserve">+1.7 pp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 los proyectos en la zona AUDP tienen</w:t>
      </w:r>
      <w:r>
        <w:t xml:space="preserve"> </w:t>
      </w:r>
      <w:r>
        <w:rPr>
          <w:b/>
          <w:bCs/>
        </w:rPr>
        <w:t xml:space="preserve">MAYOR variabilidad de precios</w:t>
      </w:r>
      <w:r>
        <w:t xml:space="preserve"> </w:t>
      </w:r>
      <w:r>
        <w:t xml:space="preserve">entre sí que el promedio nacional. Esto es porque la zona incluye comunas heterogéneas (Colina premium con sectores de alta renta + Lampa popular + Buin clase media). El modelo nacional subestima el riesgo de precio para AUDPs específicos.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aporte real al modelo. Para evaluación de AUDP debería usarse la calibración AUDP-zone.</w:t>
      </w:r>
    </w:p>
    <w:bookmarkEnd w:id="88"/>
    <w:bookmarkStart w:id="89" w:name="Xc8aa999e0351b2ef905842e46151bd10402a809"/>
    <w:p>
      <w:pPr>
        <w:pStyle w:val="Heading3"/>
      </w:pPr>
      <w:r>
        <w:rPr>
          <w:rStyle w:val="SectionNumber"/>
        </w:rPr>
        <w:t xml:space="preserve">9.2.3</w:t>
      </w:r>
      <w:r>
        <w:tab/>
      </w:r>
      <w:r>
        <w:t xml:space="preserve">Mejora 3 ✓: Regresión polinómica con interacciones para velocidad</w:t>
      </w:r>
    </w:p>
    <w:p>
      <w:pPr>
        <w:pStyle w:val="FirstParagraph"/>
      </w:pPr>
      <w:r>
        <w:t xml:space="preserve">Reemplazamos la regresión OLS lineal por una polinómica con 5 features: IMACEC, IPV, ICOI, IMACEC×IPV (interacción), IMACEC² (no-lineal).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mejoras heterogéneas por familia: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R² lineal v1</w:t>
            </w:r>
          </w:p>
        </w:tc>
        <w:tc>
          <w:tcPr/>
          <w:p>
            <w:pPr>
              <w:pStyle w:val="Compact"/>
            </w:pPr>
            <w:r>
              <w:t xml:space="preserve">R² polinómica v2 (AUDP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0.157</w:t>
            </w:r>
            <w:r>
              <w:t xml:space="preserve"> </w:t>
            </w:r>
            <w:r>
              <w:t xml:space="preserve">(×3.7)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0.139</w:t>
            </w:r>
            <w:r>
              <w:t xml:space="preserve"> </w:t>
            </w:r>
            <w:r>
              <w:t xml:space="preserve">(×7.3)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0.029 (similar)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0.093 (bajó — overfit) ⚠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Casa empeora</w:t>
      </w:r>
      <w:r>
        <w:t xml:space="preserve">: con 57 obs y 5 features, el ratio observaciones/features es 11. La casa lineal tenía mejor ajuste por chance. La polinómica overfit en este caso específico.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mejora consistente para DS19 y Townhouse; para Casa la polinómica no aporta. La selección de modelo debería ser caso por caso.</w:t>
      </w:r>
    </w:p>
    <w:bookmarkEnd w:id="89"/>
    <w:bookmarkStart w:id="90" w:name="X64410767b9be1eafebd6929c8c053cbd5c5dfd8"/>
    <w:p>
      <w:pPr>
        <w:pStyle w:val="Heading3"/>
      </w:pPr>
      <w:r>
        <w:rPr>
          <w:rStyle w:val="SectionNumber"/>
        </w:rPr>
        <w:t xml:space="preserve">9.2.4</w:t>
      </w:r>
      <w:r>
        <w:tab/>
      </w:r>
      <w:r>
        <w:t xml:space="preserve">Mejora 4 ✓: Cópula expandida con lags principales</w:t>
      </w:r>
    </w:p>
    <w:p>
      <w:pPr>
        <w:pStyle w:val="FirstParagraph"/>
      </w:pPr>
      <w:r>
        <w:t xml:space="preserve">Construimos cópula t (ν=4) con</w:t>
      </w:r>
      <w:r>
        <w:t xml:space="preserve"> </w:t>
      </w:r>
      <w:r>
        <w:rPr>
          <w:b/>
          <w:bCs/>
        </w:rPr>
        <w:t xml:space="preserve">9 variables</w:t>
      </w:r>
      <w:r>
        <w:t xml:space="preserve"> </w:t>
      </w:r>
      <w:r>
        <w:t xml:space="preserve">(originalmente 5), agregando los lags más relevantes:</w:t>
      </w:r>
    </w:p>
    <w:p>
      <w:pPr>
        <w:pStyle w:val="SourceCode"/>
      </w:pPr>
      <w:r>
        <w:rPr>
          <w:rStyle w:val="VerbatimChar"/>
        </w:rPr>
        <w:t xml:space="preserve">Variables originales (5): IMACEC, Δtasa hipo, Δdesempleo, IPV, ICOI</w:t>
      </w:r>
      <w:r>
        <w:br/>
      </w:r>
      <w:r>
        <w:rPr>
          <w:rStyle w:val="VerbatimChar"/>
        </w:rPr>
        <w:t xml:space="preserve">Lags agregados (4): IMACEC L1, IPV L3 (3 variantes), ICOI L1</w:t>
      </w:r>
      <w:r>
        <w:br/>
      </w:r>
      <w:r>
        <w:rPr>
          <w:rStyle w:val="VerbatimChar"/>
        </w:rPr>
        <w:t xml:space="preserve">Total: 9 variables sobre ~37 trimestres con todos los lags presentes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ratio observaciones/variables ≈ 4 — al límite de lo aceptable. Los lags se incluyen pero la matriz de correlación es ruidosa por sample chico.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implementado pero con alerta sobre robustez. Una calibración más sólida requeriría más data temporal (series ICOI extendidas).</w:t>
      </w:r>
    </w:p>
    <w:bookmarkEnd w:id="90"/>
    <w:bookmarkStart w:id="91" w:name="X4907102f5a0dd9aea494c36ba1632aebe4cd6f6"/>
    <w:p>
      <w:pPr>
        <w:pStyle w:val="Heading3"/>
      </w:pPr>
      <w:r>
        <w:rPr>
          <w:rStyle w:val="SectionNumber"/>
        </w:rPr>
        <w:t xml:space="preserve">9.2.5</w:t>
      </w:r>
      <w:r>
        <w:tab/>
      </w:r>
      <w:r>
        <w:t xml:space="preserve">Mejora 5 ⏳: Cobertura ICOI más larga (pendiente)</w:t>
      </w:r>
    </w:p>
    <w:p>
      <w:pPr>
        <w:pStyle w:val="FirstParagraph"/>
      </w:pPr>
      <w:r>
        <w:t xml:space="preserve">ICOI tiene solo 10 puntos anuales (2013-2024) en la fuente disponible. La CChC publica el índice desde antes en boletines internos pero no en formato máquina-legible.</w:t>
      </w:r>
    </w:p>
    <w:p>
      <w:pPr>
        <w:pStyle w:val="BodyText"/>
      </w:pPr>
      <w:r>
        <w:rPr>
          <w:b/>
          <w:bCs/>
        </w:rPr>
        <w:t xml:space="preserve">Trabajo pendiente</w:t>
      </w:r>
      <w:r>
        <w:t xml:space="preserve">: contactar a CChC para obtener serie histórica completa, o reconstruir desde indicadores proxy (IPC construcción, costos commodities).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extender ICOI a 20+ años permite calibrar mejor su volatilidad real y captura ciclos completos (incluido pre-crisis 2008).</w:t>
      </w:r>
    </w:p>
    <w:bookmarkEnd w:id="91"/>
    <w:bookmarkStart w:id="92" w:name="X589c893a000aacc0a3c7330b1a3cfd23dc2f3ac"/>
    <w:p>
      <w:pPr>
        <w:pStyle w:val="Heading3"/>
      </w:pPr>
      <w:r>
        <w:rPr>
          <w:rStyle w:val="SectionNumber"/>
        </w:rPr>
        <w:t xml:space="preserve">9.2.6</w:t>
      </w:r>
      <w:r>
        <w:tab/>
      </w:r>
      <w:r>
        <w:t xml:space="preserve">Mejora 6 ✓: Cópula CROSS unificada 10D (Versión 3)</w:t>
      </w:r>
    </w:p>
    <w:p>
      <w:pPr>
        <w:pStyle w:val="FirstParagraph"/>
      </w:pPr>
      <w:r>
        <w:rPr>
          <w:b/>
          <w:bCs/>
        </w:rPr>
        <w:t xml:space="preserve">Brecha que cerró</w:t>
      </w:r>
      <w:r>
        <w:t xml:space="preserve">: la versión 2 mantenía dos cópulas separadas (macro-macro y producto-producto). La dependencia macro→producto se modelaba indirectamente a través de la regresión polinómica de velocidad. Esto subestimaba canales económicos directos como</w:t>
      </w:r>
      <w:r>
        <w:t xml:space="preserve"> </w:t>
      </w:r>
      <w:r>
        <w:t xml:space="preserve">“tasa hipotecaria → velocidad”</w:t>
      </w:r>
      <w:r>
        <w:t xml:space="preserve"> </w:t>
      </w:r>
      <w:r>
        <w:t xml:space="preserve">o</w:t>
      </w:r>
      <w:r>
        <w:t xml:space="preserve"> </w:t>
      </w:r>
      <w:r>
        <w:t xml:space="preserve">“desempleo → precio”</w:t>
      </w:r>
      <w:r>
        <w:t xml:space="preserve">, cuya transmisión es estructural y no se reduce a una función de IMACEC e IPV.</w:t>
      </w:r>
    </w:p>
    <w:p>
      <w:pPr>
        <w:pStyle w:val="BodyText"/>
      </w:pPr>
      <w:r>
        <w:rPr>
          <w:b/>
          <w:bCs/>
        </w:rPr>
        <w:t xml:space="preserve">Implementación</w:t>
      </w:r>
      <w:r>
        <w:t xml:space="preserve">: una única cópula t (ν=4) de 10 dimensiones por celda (familia × zona). Las 10 variables son las cinco macros (IMACEC, Δ tasa hipotecaria, Δ desempleo, IPV YoY, ICOI YoY) y las cinco de producto (precio, velocidad, plazo, descuento, tamaño), todas en YoY o variación interanual. Calibración por Spearman empírico convertido a Pearson y luego a matriz de correlación PSD vía Cholesky.</w:t>
      </w:r>
    </w:p>
    <w:p>
      <w:pPr>
        <w:pStyle w:val="BodyText"/>
      </w:pPr>
      <w:r>
        <w:rPr>
          <w:b/>
          <w:bCs/>
        </w:rPr>
        <w:t xml:space="preserve">Verificación 200/200</w:t>
      </w:r>
      <w:r>
        <w:t xml:space="preserve">: el script</w:t>
      </w:r>
      <w:r>
        <w:t xml:space="preserve"> </w:t>
      </w:r>
      <w:r>
        <w:rPr>
          <w:rStyle w:val="VerbatimChar"/>
        </w:rPr>
        <w:t xml:space="preserve">analysis/verify_all_cross_correlations.py</w:t>
      </w:r>
      <w:r>
        <w:t xml:space="preserve"> </w:t>
      </w:r>
      <w:r>
        <w:t xml:space="preserve">recorre las 200 combinaciones (5 macros × 5 productos × 4 familias × 2 zonas) y reporta el ρ empírico, su significancia y el sample size. Las 200 están calibradas; 102 son significativas y 27 fuertes.</w:t>
      </w:r>
    </w:p>
    <w:p>
      <w:pPr>
        <w:pStyle w:val="BodyText"/>
      </w:pPr>
      <w:r>
        <w:rPr>
          <w:b/>
          <w:bCs/>
        </w:rPr>
        <w:t xml:space="preserve">Validación económica de signos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Δ tasa hipo → Velocidad: -0.28 a -0.46 (8/8 celdas)</w:t>
      </w:r>
      <w:r>
        <w:br/>
      </w:r>
      <w:r>
        <w:rPr>
          <w:rStyle w:val="VerbatimChar"/>
        </w:rPr>
        <w:t xml:space="preserve">   Affordability confirmada: tasa sube → menos compradores califican.</w:t>
      </w:r>
      <w:r>
        <w:br/>
      </w:r>
      <w:r>
        <w:br/>
      </w:r>
      <w:r>
        <w:rPr>
          <w:rStyle w:val="VerbatimChar"/>
        </w:rPr>
        <w:t xml:space="preserve">✓ Δ desempleo → Precio: -0.22 a -0.55 (4/4 celdas significativas)</w:t>
      </w:r>
      <w:r>
        <w:br/>
      </w:r>
      <w:r>
        <w:rPr>
          <w:rStyle w:val="VerbatimChar"/>
        </w:rPr>
        <w:t xml:space="preserve">   Canal de empleo→demanda directo, sin pasar por IMACEC.</w:t>
      </w:r>
      <w:r>
        <w:br/>
      </w:r>
      <w:r>
        <w:br/>
      </w:r>
      <w:r>
        <w:rPr>
          <w:rStyle w:val="VerbatimChar"/>
        </w:rPr>
        <w:t xml:space="preserve">✓ IPV YoY → Plazo de venta: -0.43 a -0.78</w:t>
      </w:r>
      <w:r>
        <w:br/>
      </w:r>
      <w:r>
        <w:rPr>
          <w:rStyle w:val="VerbatimChar"/>
        </w:rPr>
        <w:t xml:space="preserve">   Cuando precios aceleran, las unidades se venden más rápido.</w:t>
      </w:r>
      <w:r>
        <w:br/>
      </w:r>
      <w:r>
        <w:rPr>
          <w:rStyle w:val="VerbatimChar"/>
        </w:rPr>
        <w:t xml:space="preserve">   Validación cruzada con el modelo dinámico residual.</w:t>
      </w:r>
      <w:r>
        <w:br/>
      </w:r>
      <w:r>
        <w:br/>
      </w:r>
      <w:r>
        <w:rPr>
          <w:rStyle w:val="VerbatimChar"/>
        </w:rPr>
        <w:t xml:space="preserve">✗ Δ desempleo → Velocidad: signo mixto en townhouse</w:t>
      </w:r>
      <w:r>
        <w:br/>
      </w:r>
      <w:r>
        <w:rPr>
          <w:rStyle w:val="VerbatimChar"/>
        </w:rPr>
        <w:t xml:space="preserve">   Probablemente refleja efecto cohorte (compradores DS19 no</w:t>
      </w:r>
      <w:r>
        <w:br/>
      </w:r>
      <w:r>
        <w:rPr>
          <w:rStyle w:val="VerbatimChar"/>
        </w:rPr>
        <w:t xml:space="preserve">   afectados por ciclo laboral formal de manera lineal).</w:t>
      </w:r>
    </w:p>
    <w:p>
      <w:pPr>
        <w:pStyle w:val="FirstParagraph"/>
      </w:pPr>
      <w:r>
        <w:rPr>
          <w:b/>
          <w:bCs/>
        </w:rPr>
        <w:t xml:space="preserve">Toggle en el simulador</w:t>
      </w:r>
      <w:r>
        <w:t xml:space="preserve">: ⭐ v3 CROSS (default) | 🌟 v2 | 🌎 v1 | 📊 Empírico | ⚙ Paramétrico. El panel</w:t>
      </w:r>
      <w:r>
        <w:t xml:space="preserve"> </w:t>
      </w:r>
      <w:r>
        <w:t xml:space="preserve">“Drivers macroeconómicos sampleados”</w:t>
      </w:r>
      <w:r>
        <w:t xml:space="preserve"> </w:t>
      </w:r>
      <w:r>
        <w:t xml:space="preserve">en el resultado del Monte Carlo muestra histogramas con la distribución observada de las cinco macros durante las N iteraciones, permitiendo verificar visualmente que el sample respeta los regímenes históricos (boom, COVID, slowdown).</w:t>
      </w:r>
    </w:p>
    <w:p>
      <w:pPr>
        <w:pStyle w:val="BodyText"/>
      </w:pPr>
      <w:r>
        <w:rPr>
          <w:b/>
          <w:bCs/>
        </w:rPr>
        <w:t xml:space="preserve">Limitación documentada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n=25-48</w:t>
      </w:r>
      <w:r>
        <w:t xml:space="preserve"> </w:t>
      </w:r>
      <w:r>
        <w:t xml:space="preserve">trimestres por celda y 10 dimensiones, el ratio observaciones/variables va de 2.5 a 4.8. La t-cópula con ν=4 introduce</w:t>
      </w:r>
      <w:r>
        <w:t xml:space="preserve"> </w:t>
      </w:r>
      <w:r>
        <w:rPr>
          <w:i/>
          <w:iCs/>
        </w:rPr>
        <w:t xml:space="preserve">tail dependence</w:t>
      </w:r>
      <w:r>
        <w:t xml:space="preserve"> </w:t>
      </w:r>
      <w:r>
        <w:t xml:space="preserve">y mitiga el sobreajuste, pero las correlaciones extremas individuales (e.g., -0.78) deben interpretarse con una banda aproximada de ±0.20. El detalle por celda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bookmarkEnd w:id="92"/>
    <w:bookmarkEnd w:id="93"/>
    <w:bookmarkEnd w:id="94"/>
    <w:bookmarkStart w:id="98" w:name="conclusiones-para-el-directori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9. Conclusiones para el Directorio</w:t>
      </w:r>
    </w:p>
    <w:bookmarkStart w:id="95" w:name="es-estadísticamente-robusto-el-modelo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95"/>
    <w:bookmarkStart w:id="96" w:name="para-qué-sirve-y-para-qué-no-sirv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96"/>
    <w:bookmarkStart w:id="97" w:name="recomendación-al-directorio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18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18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18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18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18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19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19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19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19"/>
        </w:numPr>
      </w:pPr>
      <w:r>
        <w:t xml:space="preserve">Expandir cópula con lags principales</w:t>
      </w:r>
    </w:p>
    <w:bookmarkEnd w:id="97"/>
    <w:bookmarkEnd w:id="98"/>
    <w:bookmarkStart w:id="99" w:name="anexo-a-glosari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99"/>
    <w:bookmarkStart w:id="100" w:name="anexo-b-referencia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Anexo B — Referencias</w:t>
      </w:r>
    </w:p>
    <w:p>
      <w:pPr>
        <w:pStyle w:val="Compact"/>
        <w:numPr>
          <w:ilvl w:val="0"/>
          <w:numId w:val="1020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0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0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0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0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0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0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0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0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0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100"/>
    <w:bookmarkStart w:id="103" w:name="anexo-c-reproducibilidad-técnica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Anexo C — Reproducibilidad técnica</w:t>
      </w:r>
    </w:p>
    <w:bookmarkStart w:id="101" w:name="c.1-pipeline-reproducible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101"/>
    <w:bookmarkStart w:id="102" w:name="c.2-archivos-clave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81" Target="media/rId81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dc:language>es</dc:language>
  <cp:keywords/>
  <dcterms:created xsi:type="dcterms:W3CDTF">2026-04-29T02:20:15Z</dcterms:created>
  <dcterms:modified xsi:type="dcterms:W3CDTF">2026-04-29T02:20:15Z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· v4 con verificación exhaustiva 200/200 correlaciones macro×producto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 · Versión 4 (cópula CROSS)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