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1.png" ContentType="image/png"/>
  <Override PartName="/word/media/rId80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(versión 3)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t xml:space="preserve">Resumen para el Directorio</w:t>
      </w:r>
    </w:p>
    <w:bookmarkStart w:id="9" w:name="qué-hicimos"/>
    <w:p>
      <w:pPr>
        <w:pStyle w:val="Heading2"/>
      </w:pP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tenés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tenés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59" w:name="por-qué-cópulas-y-cuáles-aplicamos"/>
    <w:p>
      <w:pPr>
        <w:pStyle w:val="Heading1"/>
      </w:pP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End w:id="59"/>
    <w:bookmarkStart w:id="65" w:name="X2bd836e803a430c6035778c473856ccb5d90832"/>
    <w:p>
      <w:pPr>
        <w:pStyle w:val="Heading1"/>
      </w:pP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modelo.</w:t>
      </w:r>
    </w:p>
    <w:bookmarkStart w:id="60" w:name="X19d87d919f1f0308b62dd8bea053cee7f66c7aa"/>
    <w:p>
      <w:pPr>
        <w:pStyle w:val="Heading2"/>
      </w:pPr>
      <w:r>
        <w:t xml:space="preserve">5.1 El recorrido de un sample en el Monte Carlo</w:t>
      </w:r>
    </w:p>
    <w:p>
      <w:pPr>
        <w:pStyle w:val="SourceCode"/>
      </w:pPr>
      <w:r>
        <w:rPr>
          <w:rStyle w:val="VerbatimChar"/>
        </w:rPr>
        <w:t xml:space="preserve">PASO 1: Sortear shocks macro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Sample joint con t-cópula respetando correlaciones empíricas:</w:t>
      </w:r>
      <w:r>
        <w:br/>
      </w:r>
      <w:r>
        <w:rPr>
          <w:rStyle w:val="VerbatimChar"/>
        </w:rPr>
        <w:t xml:space="preserve">- IMACEC variación %       (e.g., -2.5%)</w:t>
      </w:r>
      <w:r>
        <w:br/>
      </w:r>
      <w:r>
        <w:rPr>
          <w:rStyle w:val="VerbatimChar"/>
        </w:rPr>
        <w:t xml:space="preserve">- Δ Tasa hipotecaria pp    (e.g., +0.8pp)</w:t>
      </w:r>
      <w:r>
        <w:br/>
      </w:r>
      <w:r>
        <w:rPr>
          <w:rStyle w:val="VerbatimChar"/>
        </w:rPr>
        <w:t xml:space="preserve">- Δ Desempleo pp           (e.g., +1.2pp)</w:t>
      </w:r>
      <w:r>
        <w:br/>
      </w:r>
      <w:r>
        <w:rPr>
          <w:rStyle w:val="VerbatimChar"/>
        </w:rPr>
        <w:t xml:space="preserve">- IPV YoY %                (e.g., +1.0%)</w:t>
      </w:r>
      <w:r>
        <w:br/>
      </w:r>
      <w:r>
        <w:rPr>
          <w:rStyle w:val="VerbatimChar"/>
        </w:rPr>
        <w:t xml:space="preserve">- ICOI YoY %               (e.g., +5.7%)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2: Propagar a variables del proyecto (Capa 1)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Por cada familia (edif, ds19, casa, townhouse):</w:t>
      </w:r>
      <w:r>
        <w:br/>
      </w:r>
      <w:r>
        <w:rPr>
          <w:rStyle w:val="VerbatimChar"/>
        </w:rPr>
        <w:t xml:space="preserve">  precio_yoy   = IPV_familiar_sampleado + ε       (shock directo + ruido)</w:t>
      </w:r>
      <w:r>
        <w:br/>
      </w:r>
      <w:r>
        <w:rPr>
          <w:rStyle w:val="VerbatimChar"/>
        </w:rPr>
        <w:t xml:space="preserve">  costo_yoy   = ICOI_sampleado + ε                (shock directo + ruido)</w:t>
      </w:r>
      <w:r>
        <w:br/>
      </w:r>
      <w:r>
        <w:rPr>
          <w:rStyle w:val="VerbatimChar"/>
        </w:rPr>
        <w:t xml:space="preserve">  velocidad   = α + β·macros + ε                  (regresión OLS)</w:t>
      </w:r>
      <w:r>
        <w:br/>
      </w:r>
      <w:r>
        <w:rPr>
          <w:rStyle w:val="VerbatimChar"/>
        </w:rPr>
        <w:t xml:space="preserve">  plazo_yoy   = ε                                 (ruido idiosincrático)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3: Convertir a multipliers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tm         = 1 + precio_yoy/100      (multiplicador ticket)</w:t>
      </w:r>
      <w:r>
        <w:br/>
      </w:r>
      <w:r>
        <w:rPr>
          <w:rStyle w:val="VerbatimChar"/>
        </w:rPr>
        <w:t xml:space="preserve">vel        = velocidad_yoy            (% sobre baseline)</w:t>
      </w:r>
      <w:r>
        <w:br/>
      </w:r>
      <w:r>
        <w:rPr>
          <w:rStyle w:val="VerbatimChar"/>
        </w:rPr>
        <w:t xml:space="preserve">costoMult  = 1 + costo_yoy/100</w:t>
      </w:r>
      <w:r>
        <w:br/>
      </w:r>
      <w:r>
        <w:rPr>
          <w:rStyle w:val="VerbatimChar"/>
        </w:rPr>
        <w:t xml:space="preserve">plazoMult  = 1 + plazo_yoy/100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4: Aplicar a la incidencia del residual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Para cada familia con representante guardado:</w:t>
      </w:r>
      <w:r>
        <w:br/>
      </w:r>
      <w:r>
        <w:rPr>
          <w:rStyle w:val="VerbatimChar"/>
        </w:rPr>
        <w:t xml:space="preserve">  Δincidencia = ∂i/∂ticket × (tm-1) +</w:t>
      </w:r>
      <w:r>
        <w:br/>
      </w:r>
      <w:r>
        <w:rPr>
          <w:rStyle w:val="VerbatimChar"/>
        </w:rPr>
        <w:t xml:space="preserve">                ∂i/∂vel × (vel/100) +</w:t>
      </w:r>
      <w:r>
        <w:br/>
      </w:r>
      <w:r>
        <w:rPr>
          <w:rStyle w:val="VerbatimChar"/>
        </w:rPr>
        <w:t xml:space="preserve">                ∂i/∂costo × (costoMult-1) +</w:t>
      </w:r>
      <w:r>
        <w:br/>
      </w:r>
      <w:r>
        <w:rPr>
          <w:rStyle w:val="VerbatimChar"/>
        </w:rPr>
        <w:t xml:space="preserve">                ∂i/∂plazo × (plazoMult-1)</w:t>
      </w:r>
      <w:r>
        <w:br/>
      </w:r>
      <w:r>
        <w:rPr>
          <w:rStyle w:val="VerbatimChar"/>
        </w:rPr>
        <w:t xml:space="preserve">  PRODUCTS[fam].incidencia = baseline + Δincidencia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5: Re-correr peResimulate del flujo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Con los nuevos valores en PRODUCTS:</w:t>
      </w:r>
      <w:r>
        <w:br/>
      </w:r>
      <w:r>
        <w:rPr>
          <w:rStyle w:val="VerbatimChar"/>
        </w:rPr>
        <w:t xml:space="preserve">- Velocidad cambiada (peVelocidadPct = vel)</w:t>
      </w:r>
      <w:r>
        <w:br/>
      </w:r>
      <w:r>
        <w:rPr>
          <w:rStyle w:val="VerbatimChar"/>
        </w:rPr>
        <w:t xml:space="preserve">- Ticket multiplicado (tm aplica a revenue)</w:t>
      </w:r>
      <w:r>
        <w:br/>
      </w:r>
      <w:r>
        <w:rPr>
          <w:rStyle w:val="VerbatimChar"/>
        </w:rPr>
        <w:t xml:space="preserve">- Incidencia ajustada (vía Δincidencia)</w:t>
      </w:r>
      <w:r>
        <w:br/>
      </w:r>
      <w:r>
        <w:rPr>
          <w:rStyle w:val="VerbatimChar"/>
        </w:rPr>
        <w:t xml:space="preserve">- Costos triangulares (infra, mit, san)</w:t>
      </w:r>
      <w:r>
        <w:br/>
      </w:r>
      <w:r>
        <w:rPr>
          <w:rStyle w:val="VerbatimChar"/>
        </w:rPr>
        <w:t xml:space="preserve">- Tasa descuento sortado uniforme</w:t>
      </w:r>
      <w:r>
        <w:br/>
      </w:r>
      <w:r>
        <w:br/>
      </w:r>
      <w:r>
        <w:rPr>
          <w:rStyle w:val="VerbatimChar"/>
        </w:rPr>
        <w:t xml:space="preserve">Calcula el flujo de caja del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6: Calcular VAN del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VAN = Σ flujo_t / (1 + discRate)^t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7: Almacenar resultado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Guardar VAN en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0"/>
    <w:bookmarkStart w:id="64" w:name="Xb6354301a5268599fb25a4beb6ba19b1617ca8b"/>
    <w:p>
      <w:pPr>
        <w:pStyle w:val="Heading2"/>
      </w:pPr>
      <w:r>
        <w:t xml:space="preserve">5.2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2" name="Picture"/>
            <a:graphic>
              <a:graphicData uri="http://schemas.openxmlformats.org/drawingml/2006/picture">
                <pic:pic>
                  <pic:nvPicPr>
                    <pic:cNvPr descr="figures/07_velocidad_acoplamient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4"/>
    <w:bookmarkEnd w:id="65"/>
    <w:bookmarkStart w:id="77" w:name="variables-del-modelo-catálogo-detallado"/>
    <w:p>
      <w:pPr>
        <w:pStyle w:val="Heading1"/>
      </w:pP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1" w:name="X4b0eb8a467a6fc25f1a09dd371fc6d20b9f320c"/>
    <w:p>
      <w:pPr>
        <w:pStyle w:val="Heading2"/>
      </w:pPr>
      <w:r>
        <w:t xml:space="preserve">6.1 Variables sampleadas (Capa 2 — entran a la cópula)</w:t>
      </w:r>
    </w:p>
    <w:bookmarkStart w:id="66" w:name="imacec-variación-interanual"/>
    <w:p>
      <w:pPr>
        <w:pStyle w:val="Heading3"/>
      </w:pP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66"/>
    <w:bookmarkStart w:id="67" w:name="δ-tasa-hipotecaria"/>
    <w:p>
      <w:pPr>
        <w:pStyle w:val="Heading3"/>
      </w:pP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67"/>
    <w:bookmarkStart w:id="68" w:name="δ-tasa-de-desempleo"/>
    <w:p>
      <w:pPr>
        <w:pStyle w:val="Heading3"/>
      </w:pP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68"/>
    <w:bookmarkStart w:id="69" w:name="X035136653f5f314cebcd2ca26669561fa0e58e6"/>
    <w:p>
      <w:pPr>
        <w:pStyle w:val="Heading3"/>
      </w:pP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69"/>
    <w:bookmarkStart w:id="70" w:name="X53d6300536a953d1ebb537575f77d186403a793"/>
    <w:p>
      <w:pPr>
        <w:pStyle w:val="Heading3"/>
      </w:pP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0"/>
    <w:bookmarkEnd w:id="71"/>
    <w:bookmarkStart w:id="76" w:name="variables-del-proyecto-derivadas-capa-1"/>
    <w:p>
      <w:pPr>
        <w:pStyle w:val="Heading2"/>
      </w:pPr>
      <w:r>
        <w:t xml:space="preserve">6.2 Variables del proyecto derivadas (Capa 1)</w:t>
      </w:r>
    </w:p>
    <w:bookmarkStart w:id="72" w:name="precio-de-venta-yoy"/>
    <w:p>
      <w:pPr>
        <w:pStyle w:val="Heading3"/>
      </w:pP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2"/>
    <w:bookmarkStart w:id="73" w:name="costo-construcción-yoy"/>
    <w:p>
      <w:pPr>
        <w:pStyle w:val="Heading3"/>
      </w:pP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3"/>
    <w:bookmarkStart w:id="74" w:name="velocidad-de-venta-yoy-variable-acoplada"/>
    <w:p>
      <w:pPr>
        <w:pStyle w:val="Heading3"/>
      </w:pP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4"/>
    <w:bookmarkStart w:id="75" w:name="plazo-de-obra-yoy"/>
    <w:p>
      <w:pPr>
        <w:pStyle w:val="Heading3"/>
      </w:pP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75"/>
    <w:bookmarkEnd w:id="76"/>
    <w:bookmarkEnd w:id="77"/>
    <w:bookmarkStart w:id="84" w:name="validación-del-modelo"/>
    <w:p>
      <w:pPr>
        <w:pStyle w:val="Heading1"/>
      </w:pPr>
      <w:r>
        <w:t xml:space="preserve">7. Validación del modelo</w:t>
      </w:r>
    </w:p>
    <w:bookmarkStart w:id="78" w:name="Xad905f94f797be6e5b2ee211784de462f1b8589"/>
    <w:p>
      <w:pPr>
        <w:pStyle w:val="Heading2"/>
      </w:pP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78"/>
    <w:bookmarkStart w:id="79" w:name="X25dc40cdba7d67d2eab4938a9652d37e2998721"/>
    <w:p>
      <w:pPr>
        <w:pStyle w:val="Heading2"/>
      </w:pP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79"/>
    <w:bookmarkStart w:id="83" w:name="tornado-qué-variables-mueven-más-el-van"/>
    <w:p>
      <w:pPr>
        <w:pStyle w:val="Heading2"/>
      </w:pP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1" name="Picture"/>
            <a:graphic>
              <a:graphicData uri="http://schemas.openxmlformats.org/drawingml/2006/picture">
                <pic:pic>
                  <pic:nvPicPr>
                    <pic:cNvPr descr="figures/08_tornado_esperad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3"/>
    <w:bookmarkEnd w:id="84"/>
    <w:bookmarkStart w:id="92" w:name="Xc69656c1b9253d5f29a17fee93bff31dddc9ab8"/>
    <w:p>
      <w:pPr>
        <w:pStyle w:val="Heading1"/>
      </w:pPr>
      <w:r>
        <w:t xml:space="preserve">8. Limitaciones honestas y oportunidades de mejora</w:t>
      </w:r>
    </w:p>
    <w:bookmarkStart w:id="85" w:name="limitaciones-reconocidas"/>
    <w:p>
      <w:pPr>
        <w:pStyle w:val="Heading2"/>
      </w:pP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85"/>
    <w:bookmarkStart w:id="91" w:name="Xb5f431129553148ec0e3c8fc355f34db470259e"/>
    <w:p>
      <w:pPr>
        <w:pStyle w:val="Heading2"/>
      </w:pPr>
      <w:r>
        <w:t xml:space="preserve">8.2 Mejoras priorizadas para próxima iteración</w:t>
      </w:r>
    </w:p>
    <w:p>
      <w:pPr>
        <w:pStyle w:val="FirstParagraph"/>
      </w:pPr>
      <w:r>
        <w:t xml:space="preserve">Basadas en los hallazgos del análisis profundo:</w:t>
      </w:r>
    </w:p>
    <w:bookmarkStart w:id="86" w:name="prioridad-1-estratificación-por-comuna"/>
    <w:p>
      <w:pPr>
        <w:pStyle w:val="Heading3"/>
      </w:pPr>
      <w:r>
        <w:t xml:space="preserve">Prioridad 1: Estratificación por comuna</w:t>
      </w:r>
    </w:p>
    <w:p>
      <w:pPr>
        <w:pStyle w:val="FirstParagraph"/>
      </w:pPr>
      <w:r>
        <w:t xml:space="preserve">El análisis de varianza muestra que</w:t>
      </w:r>
      <w:r>
        <w:t xml:space="preserve"> </w:t>
      </w:r>
      <w:r>
        <w:rPr>
          <w:b/>
          <w:bCs/>
        </w:rPr>
        <w:t xml:space="preserve">la comuna explica 49% del precio</w:t>
      </w:r>
      <w:r>
        <w:t xml:space="preserve">, vs. 10% de la familia. Para AUDP Batuco/Colina, deberíamos:</w:t>
      </w:r>
      <w:r>
        <w:t xml:space="preserve"> </w:t>
      </w:r>
      <w:r>
        <w:t xml:space="preserve">- Filtrar TINSA por proyectos en Lampa, Buin, Padre Hurtado, Colina (zonas similares)</w:t>
      </w:r>
      <w:r>
        <w:t xml:space="preserve"> </w:t>
      </w:r>
      <w:r>
        <w:t xml:space="preserve">- Calibrar marginales empíricas con esta data filtrada</w:t>
      </w:r>
      <w:r>
        <w:t xml:space="preserve"> </w:t>
      </w:r>
      <w:r>
        <w:t xml:space="preserve">- Mantener la estratificación por familia DENTRO de las comunas relevantes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distribuciones de baseline más representativas del AUDP específico.</w:t>
      </w:r>
    </w:p>
    <w:bookmarkEnd w:id="86"/>
    <w:bookmarkStart w:id="87" w:name="prioridad-2-ipv-con-lag-óptimo"/>
    <w:p>
      <w:pPr>
        <w:pStyle w:val="Heading3"/>
      </w:pPr>
      <w:r>
        <w:t xml:space="preserve">Prioridad 2: IPV con lag óptimo</w:t>
      </w:r>
    </w:p>
    <w:p>
      <w:pPr>
        <w:pStyle w:val="FirstParagraph"/>
      </w:pPr>
      <w:r>
        <w:t xml:space="preserve">Cambiar el modelo para usar</w:t>
      </w:r>
      <w:r>
        <w:t xml:space="preserve"> </w:t>
      </w:r>
      <w:r>
        <w:rPr>
          <w:b/>
          <w:bCs/>
        </w:rPr>
        <w:t xml:space="preserve">IPV de hace 2-3 trimestres</w:t>
      </w:r>
      <w:r>
        <w:t xml:space="preserve"> </w:t>
      </w:r>
      <w:r>
        <w:t xml:space="preserve">en lugar de contemporáneo como driver de precio. La correlación crece de ρ=0.34 a ρ=0.55 con este cambio.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las predicciones de precio responden mejor a la macro real.</w:t>
      </w:r>
    </w:p>
    <w:bookmarkEnd w:id="87"/>
    <w:bookmarkStart w:id="88" w:name="prioridad-3-random-forest-para-velocidad"/>
    <w:p>
      <w:pPr>
        <w:pStyle w:val="Heading3"/>
      </w:pPr>
      <w:r>
        <w:t xml:space="preserve">Prioridad 3: Random Forest para velocidad</w:t>
      </w:r>
    </w:p>
    <w:p>
      <w:pPr>
        <w:pStyle w:val="FirstParagraph"/>
      </w:pPr>
      <w:r>
        <w:t xml:space="preserve">Reemplazar las regresiones OLS por</w:t>
      </w:r>
      <w:r>
        <w:t xml:space="preserve"> </w:t>
      </w:r>
      <w:r>
        <w:rPr>
          <w:b/>
          <w:bCs/>
        </w:rPr>
        <w:t xml:space="preserve">modelos no-lineales</w:t>
      </w:r>
      <w:r>
        <w:t xml:space="preserve"> </w:t>
      </w:r>
      <w:r>
        <w:t xml:space="preserve">(Random Forest). El R² mejora de 0.05-0.40 a 0.62-0.75. La razón: hay interacciones entre macros que OLS lineal no captura.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el componente sistémico de velocidad se predice mejor; el ruido idiosincrático queda más limpio.</w:t>
      </w:r>
    </w:p>
    <w:bookmarkEnd w:id="88"/>
    <w:bookmarkStart w:id="89" w:name="prioridad-4-cópula-expandida-con-lags"/>
    <w:p>
      <w:pPr>
        <w:pStyle w:val="Heading3"/>
      </w:pPr>
      <w:r>
        <w:t xml:space="preserve">Prioridad 4: Cópula expandida con lags</w:t>
      </w:r>
    </w:p>
    <w:p>
      <w:pPr>
        <w:pStyle w:val="FirstParagraph"/>
      </w:pPr>
      <w:r>
        <w:t xml:space="preserve">Agregar a la cópula los lags principales (IPV t-2, IMACEC t-1, ICOI t-1) además de los contemporáneos. Esto preserva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escenarios más realistas (los shocks no aparecen y desaparecen en un trimestre).</w:t>
      </w:r>
    </w:p>
    <w:bookmarkEnd w:id="89"/>
    <w:bookmarkStart w:id="90" w:name="prioridad-5-cobertura-icoi-más-larga"/>
    <w:p>
      <w:pPr>
        <w:pStyle w:val="Heading3"/>
      </w:pPr>
      <w:r>
        <w:t xml:space="preserve">Prioridad 5: Cobertura ICOI más larga</w:t>
      </w:r>
    </w:p>
    <w:p>
      <w:pPr>
        <w:pStyle w:val="FirstParagraph"/>
      </w:pPr>
      <w:r>
        <w:t xml:space="preserve">ICOI tiene solo 10 puntos anuales. Ampliar la serie usando otras fuentes (CChC tiene serie más larga en boletines internos).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mejor estimación de la varianza de costos.</w:t>
      </w:r>
    </w:p>
    <w:bookmarkEnd w:id="90"/>
    <w:bookmarkEnd w:id="91"/>
    <w:bookmarkEnd w:id="92"/>
    <w:bookmarkStart w:id="96" w:name="conclusiones-para-el-directorio"/>
    <w:p>
      <w:pPr>
        <w:pStyle w:val="Heading1"/>
      </w:pPr>
      <w:r>
        <w:t xml:space="preserve">9. Conclusiones para el Directorio</w:t>
      </w:r>
    </w:p>
    <w:bookmarkStart w:id="93" w:name="es-estadísticamente-robusto-el-modelo"/>
    <w:p>
      <w:pPr>
        <w:pStyle w:val="Heading2"/>
      </w:pP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93"/>
    <w:bookmarkStart w:id="94" w:name="para-qué-sirve-y-para-qué-no-sirve"/>
    <w:p>
      <w:pPr>
        <w:pStyle w:val="Heading2"/>
      </w:pP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94"/>
    <w:bookmarkStart w:id="95" w:name="recomendación-al-directorio"/>
    <w:p>
      <w:pPr>
        <w:pStyle w:val="Heading2"/>
      </w:pP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18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18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18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18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18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19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19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19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19"/>
        </w:numPr>
      </w:pPr>
      <w:r>
        <w:t xml:space="preserve">Expandir cópula con lags principales</w:t>
      </w:r>
    </w:p>
    <w:bookmarkEnd w:id="95"/>
    <w:bookmarkEnd w:id="96"/>
    <w:bookmarkStart w:id="97" w:name="anexo-a-glosario"/>
    <w:p>
      <w:pPr>
        <w:pStyle w:val="Heading1"/>
      </w:pP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97"/>
    <w:bookmarkStart w:id="98" w:name="anexo-b-referencias"/>
    <w:p>
      <w:pPr>
        <w:pStyle w:val="Heading1"/>
      </w:pPr>
      <w:r>
        <w:t xml:space="preserve">Anexo B — Referencias</w:t>
      </w:r>
    </w:p>
    <w:p>
      <w:pPr>
        <w:pStyle w:val="Compact"/>
        <w:numPr>
          <w:ilvl w:val="0"/>
          <w:numId w:val="1020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0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0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0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0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0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0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0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0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0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98"/>
    <w:bookmarkStart w:id="101" w:name="anexo-c-reproducibilidad-técnica"/>
    <w:p>
      <w:pPr>
        <w:pStyle w:val="Heading1"/>
      </w:pPr>
      <w:r>
        <w:t xml:space="preserve">Anexo C — Reproducibilidad técnica</w:t>
      </w:r>
    </w:p>
    <w:bookmarkStart w:id="99" w:name="c.1-pipeline-reproducible"/>
    <w:p>
      <w:pPr>
        <w:pStyle w:val="Heading2"/>
      </w:pP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99"/>
    <w:bookmarkStart w:id="100" w:name="c.2-archivos-clave"/>
    <w:p>
      <w:pPr>
        <w:pStyle w:val="Heading2"/>
      </w:pP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0" Target="media/rId80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cp:keywords/>
  <dcterms:created xsi:type="dcterms:W3CDTF">2026-04-28T23:45:02Z</dcterms:created>
  <dcterms:modified xsi:type="dcterms:W3CDTF">2026-04-28T23:45:02Z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(versión 3)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