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67.png" ContentType="image/png"/>
  <Override PartName="/word/media/rId63.png" ContentType="image/png"/>
  <Override PartName="/word/media/rId55.png" ContentType="image/png"/>
  <Override PartName="/word/media/rId59.png" ContentType="image/png"/>
  <Override PartName="/word/media/rId71.png" ContentType="image/png"/>
  <Override PartName="/word/media/rId42.png" ContentType="image/png"/>
  <Override PartName="/word/media/rId8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esumen-ejecutivo"/>
    <w:p>
      <w:pPr>
        <w:pStyle w:val="Heading1"/>
      </w:pPr>
      <w:r>
        <w:t xml:space="preserve">Resumen Ejecutivo</w:t>
      </w:r>
    </w:p>
    <w:bookmarkStart w:id="9" w:name="propósito-del-modelo"/>
    <w:p>
      <w:pPr>
        <w:pStyle w:val="Heading2"/>
      </w:pPr>
      <w:r>
        <w:t xml:space="preserve">Propósito del modelo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Factorial Estocástico</w:t>
      </w:r>
      <w:r>
        <w:t xml:space="preserve"> </w:t>
      </w:r>
      <w:r>
        <w:t xml:space="preserve">desarrollado por Modela para sensibilizar el Valor Actual Neto (VAN) del flujo financiero de Áreas Urbanas de Desarrollo Prioritario (AUDPs) frente a escenarios macroeconómicos chilenos. El modelo opera como capa estadística sobre el simulador macro existente, permitiendo: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Cuantificar el rango plausible del VAN</w:t>
      </w:r>
      <w:r>
        <w:t xml:space="preserve"> </w:t>
      </w:r>
      <w:r>
        <w:t xml:space="preserve">bajo distintas trayectorias macroeconómicas, no solo el valor central.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Replicar episodios históricos</w:t>
      </w:r>
      <w:r>
        <w:t xml:space="preserve"> </w:t>
      </w:r>
      <w:r>
        <w:t xml:space="preserve">(Crisis Subprime 2009, Estallido + COVID 2019-2020, Boom post-COVID 2021, Slowdown 2023) usando los valores macro reales de cada período.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Identificar las variables más sensibles</w:t>
      </w:r>
      <w:r>
        <w:t xml:space="preserve"> </w:t>
      </w:r>
      <w:r>
        <w:t xml:space="preserve">mediante análisis tornado, concentrando la atención del management en las palancas de mayor impacto.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Auditar las hipótesis</w:t>
      </w:r>
      <w:r>
        <w:t xml:space="preserve"> </w:t>
      </w:r>
      <w:r>
        <w:t xml:space="preserve">vía la trazabilidad completa a fuentes oficiales (Banco Central de Chile, INE, Cámara Chilena de la Construcción) y a una base de datos transaccional de 124.531 observaciones de mercado inmobiliario.</w:t>
      </w:r>
    </w:p>
    <w:bookmarkEnd w:id="9"/>
    <w:bookmarkStart w:id="10" w:name="características-principales"/>
    <w:p>
      <w:pPr>
        <w:pStyle w:val="Heading2"/>
      </w:pPr>
      <w:r>
        <w:t xml:space="preserve">Características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Calibración empírica</w:t>
            </w:r>
          </w:p>
        </w:tc>
        <w:tc>
          <w:tcPr/>
          <w:p>
            <w:pPr>
              <w:pStyle w:val="Compact"/>
            </w:pPr>
            <w:r>
              <w:t xml:space="preserve">124.531 observaciones TINSA + 401 trimestres macro 2010–2024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sampleadas</w:t>
            </w:r>
          </w:p>
        </w:tc>
        <w:tc>
          <w:tcPr/>
          <w:p>
            <w:pPr>
              <w:pStyle w:val="Compact"/>
            </w:pPr>
            <w:r>
              <w:t xml:space="preserve">5 macros (IMACEC, Δ tasa hipo, Δ desempleo, IPV, ICOI)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propagadas</w:t>
            </w:r>
          </w:p>
        </w:tc>
        <w:tc>
          <w:tcPr/>
          <w:p>
            <w:pPr>
              <w:pStyle w:val="Compact"/>
            </w:pPr>
            <w:r>
              <w:t xml:space="preserve">4 shocks de proyecto (precio, costo, velocidad, plazo)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Familias de producto</w:t>
            </w:r>
          </w:p>
        </w:tc>
        <w:tc>
          <w:tcPr/>
          <w:p>
            <w:pPr>
              <w:pStyle w:val="Compact"/>
            </w:pPr>
            <w:r>
              <w:t xml:space="preserve">4 (Edificio 4–6 pisos, DS19, Casa, Townhouse)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Distribuciones marginales</w:t>
            </w:r>
          </w:p>
        </w:tc>
        <w:tc>
          <w:tcPr/>
          <w:p>
            <w:pPr>
              <w:pStyle w:val="Compact"/>
            </w:pPr>
            <w:r>
              <w:t xml:space="preserve">Empíricas con 99 percentiles densos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Estructura de dependencia</w:t>
            </w:r>
          </w:p>
        </w:tc>
        <w:tc>
          <w:tcPr/>
          <w:p>
            <w:pPr>
              <w:pStyle w:val="Compact"/>
            </w:pPr>
            <w:r>
              <w:t xml:space="preserve">t-cópula (ν=4) calibrada con Iman-Conover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Iteraciones</w:t>
            </w:r>
          </w:p>
        </w:tc>
        <w:tc>
          <w:tcPr/>
          <w:p>
            <w:pPr>
              <w:pStyle w:val="Compact"/>
            </w:pPr>
            <w:r>
              <w:t xml:space="preserve">500 a 10.000 configurables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Reproducibilidad</w:t>
            </w:r>
          </w:p>
        </w:tc>
        <w:tc>
          <w:tcPr/>
          <w:p>
            <w:pPr>
              <w:pStyle w:val="Compact"/>
            </w:pPr>
            <w:r>
              <w:t xml:space="preserve">Seed determinista; mismo input → mismo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Tiempo de cómputo</w:t>
            </w:r>
          </w:p>
        </w:tc>
        <w:tc>
          <w:tcPr/>
          <w:p>
            <w:pPr>
              <w:pStyle w:val="Compact"/>
            </w:pPr>
            <w:r>
              <w:t xml:space="preserve">~110 s para 10.000 iteraciones</w:t>
            </w:r>
          </w:p>
        </w:tc>
      </w:tr>
    </w:tbl>
    <w:bookmarkEnd w:id="10"/>
    <w:bookmarkEnd w:id="11"/>
    <w:bookmarkStart w:id="17" w:name="qué-es-monte-carlo-y-por-qué-lo-usamos"/>
    <w:p>
      <w:pPr>
        <w:pStyle w:val="Heading1"/>
      </w:pPr>
      <w:r>
        <w:t xml:space="preserve">1. ¿Qué es Monte Carlo y por qué lo usamos?</w:t>
      </w:r>
    </w:p>
    <w:bookmarkStart w:id="12" w:name="la-pregunta-que-motiva-la-simulación"/>
    <w:p>
      <w:pPr>
        <w:pStyle w:val="Heading2"/>
      </w:pPr>
      <w:r>
        <w:t xml:space="preserve">1.1 La pregunta que motiva la simulación</w:t>
      </w:r>
    </w:p>
    <w:p>
      <w:pPr>
        <w:pStyle w:val="FirstParagraph"/>
      </w:pPr>
      <w:r>
        <w:t xml:space="preserve">Cuando se evalúa la inversión en un AUDP que tomará 15-30 años en madurar, la pregunta natural del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</w:t>
      </w:r>
      <w:r>
        <w:t xml:space="preserve"> </w:t>
      </w:r>
      <w:r>
        <w:rPr>
          <w:b/>
          <w:bCs/>
        </w:rPr>
        <w:t xml:space="preserve">“¿qué rango de VANes es plausible y cuál es la probabilidad de que el AUDP sea rentable?”</w:t>
      </w:r>
      <w:r>
        <w:t xml:space="preserve">.</w:t>
      </w:r>
    </w:p>
    <w:p>
      <w:pPr>
        <w:pStyle w:val="BodyText"/>
      </w:pPr>
      <w:r>
        <w:t xml:space="preserve">El simulador determinista anterior respondía la primera pregunta: dada una trayectoria fija de tasas, precios, costos y velocidades, computa el VAN. Es útil,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número como si fuera la realidad, cuando en verdad es solo el resultado de una asunción.</w:t>
      </w:r>
    </w:p>
    <w:p>
      <w:pPr>
        <w:pStyle w:val="BodyText"/>
      </w:pPr>
      <w:r>
        <w:t xml:space="preserve">La realidad económica es</w:t>
      </w:r>
      <w:r>
        <w:t xml:space="preserve"> </w:t>
      </w:r>
      <w:r>
        <w:rPr>
          <w:b/>
          <w:bCs/>
        </w:rPr>
        <w:t xml:space="preserve">incierta</w:t>
      </w:r>
      <w:r>
        <w:t xml:space="preserve">. Las tasas suben y bajan, los precios fluctúan, las crisis ocurren. Un proyecto rentable bajo el escenario base puede ser desastroso bajo un escenario adverso plausible. Sin entender el rango y la distribución de posibles VANes, el Directorio toma decisiones con visibilidad parcial.</w:t>
      </w:r>
    </w:p>
    <w:bookmarkEnd w:id="12"/>
    <w:bookmarkStart w:id="13" w:name="qué-es-una-simulación-monte-carlo"/>
    <w:p>
      <w:pPr>
        <w:pStyle w:val="Heading2"/>
      </w:pPr>
      <w:r>
        <w:t xml:space="preserve">1.2 ¿Qué es una simulación Monte Carlo?</w:t>
      </w:r>
    </w:p>
    <w:p>
      <w:pPr>
        <w:pStyle w:val="FirstParagraph"/>
      </w:pPr>
      <w:r>
        <w:t xml:space="preserve">El método Monte Carlo es una técnica de simulación numérica que</w:t>
      </w:r>
      <w:r>
        <w:t xml:space="preserve"> </w:t>
      </w:r>
      <w:r>
        <w:rPr>
          <w:b/>
          <w:bCs/>
        </w:rPr>
        <w:t xml:space="preserve">estima distribuciones de outcomes</w:t>
      </w:r>
      <w:r>
        <w:t xml:space="preserve"> </w:t>
      </w:r>
      <w:r>
        <w:t xml:space="preserve">muestreando aleatoriamente las variables de entrada un gran número de veces.</w:t>
      </w:r>
    </w:p>
    <w:p>
      <w:pPr>
        <w:pStyle w:val="BodyText"/>
      </w:pPr>
      <w:r>
        <w:rPr>
          <w:b/>
          <w:bCs/>
        </w:rPr>
        <w:t xml:space="preserve">Procedimiento general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N = 3.000 a 10.000):</w:t>
      </w:r>
      <w:r>
        <w:br/>
      </w:r>
      <w:r>
        <w:rPr>
          <w:rStyle w:val="VerbatimChar"/>
        </w:rPr>
        <w:t xml:space="preserve">  1. Sortear un valor para cada variable de entrada según su distribución</w:t>
      </w:r>
      <w:r>
        <w:br/>
      </w:r>
      <w:r>
        <w:rPr>
          <w:rStyle w:val="VerbatimChar"/>
        </w:rPr>
        <w:t xml:space="preserve">     y respetando las correlaciones entre ellas</w:t>
      </w:r>
      <w:r>
        <w:br/>
      </w:r>
      <w:r>
        <w:rPr>
          <w:rStyle w:val="VerbatimChar"/>
        </w:rPr>
        <w:t xml:space="preserve">  2. Calcular el output (en nuestro caso: VAN del AUDP) bajo esos inputs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tienes N resultados → distribución empírica del output</w:t>
      </w:r>
      <w:r>
        <w:br/>
      </w:r>
      <w:r>
        <w:rPr>
          <w:rStyle w:val="VerbatimChar"/>
        </w:rPr>
        <w:t xml:space="preserve">Se calculan percentiles, promedios, probabilidades de eventos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proviene del casino del Principado de Mónaco — fue acuñado en la década de 1940 por Stanislaw Ulam y John von Neumann durante el desarrollo de la bomba atómica en Los Alamos, para referirse a una técnica donde se</w:t>
      </w:r>
      <w:r>
        <w:t xml:space="preserve"> </w:t>
      </w:r>
      <w:r>
        <w:t xml:space="preserve">“juega a los dados”</w:t>
      </w:r>
      <w:r>
        <w:t xml:space="preserve"> </w:t>
      </w:r>
      <w:r>
        <w:t xml:space="preserve">para estimar el comportamiento de neutrones que ningún cálculo cerrado podía resolver.</w:t>
      </w:r>
    </w:p>
    <w:bookmarkEnd w:id="13"/>
    <w:bookmarkStart w:id="14" w:name="cuándo-se-aplica-monte-carlo"/>
    <w:p>
      <w:pPr>
        <w:pStyle w:val="Heading2"/>
      </w:pPr>
      <w:r>
        <w:t xml:space="preserve">1.3 ¿Cuándo se aplica Monte Carlo?</w:t>
      </w:r>
    </w:p>
    <w:p>
      <w:pPr>
        <w:pStyle w:val="FirstParagraph"/>
      </w:pPr>
      <w:r>
        <w:t xml:space="preserve">El Monte Carlo es la herramienta apropiada cuando se cumplen</w:t>
      </w:r>
      <w:r>
        <w:t xml:space="preserve"> </w:t>
      </w:r>
      <w:r>
        <w:rPr>
          <w:b/>
          <w:bCs/>
        </w:rPr>
        <w:t xml:space="preserve">todas estas condiciones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modelo es complejo</w:t>
      </w:r>
      <w:r>
        <w:t xml:space="preserve">: el output depende de muchas variables de entrada con relaciones no triviales (lineales, no-lineales, condicionales, secuenciales).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hay solución analítica cerrada</w:t>
      </w:r>
      <w:r>
        <w:t xml:space="preserve">: no existe una fórmula que dé directamente la distribución del output.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Las variables de entrada son inciertas</w:t>
      </w:r>
      <w:r>
        <w:t xml:space="preserve">: tienen distribuciones de probabilidad razonablemente estimables.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Las correlaciones importan</w:t>
      </w:r>
      <w:r>
        <w:t xml:space="preserve">: las variables de entrada no son independientes.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Las decisiones se toman bajo incertidumbre</w:t>
      </w:r>
      <w:r>
        <w:t xml:space="preserve">: el decisor necesita entender el rango de outcomes, no solo el central.</w:t>
      </w:r>
    </w:p>
    <w:p>
      <w:pPr>
        <w:pStyle w:val="FirstParagraph"/>
      </w:pPr>
      <w:r>
        <w:t xml:space="preserve">El simulador AUDP cumple los cinco criterios:</w:t>
      </w:r>
    </w:p>
    <w:p>
      <w:pPr>
        <w:numPr>
          <w:ilvl w:val="0"/>
          <w:numId w:val="1003"/>
        </w:numPr>
      </w:pPr>
      <w:r>
        <w:t xml:space="preserve">✓ El flujo de caja AUDP depende de unidades vendidas por año, precios, plazos, costos urbanización, mitigaciones, sanitaria, factibilización, indicador de descuento, y la incidencia (que a su vez depende del residual de cada producto). Decenas de variables interactúan.</w:t>
      </w:r>
    </w:p>
    <w:p>
      <w:pPr>
        <w:numPr>
          <w:ilvl w:val="0"/>
          <w:numId w:val="1003"/>
        </w:numPr>
      </w:pPr>
      <w:r>
        <w:t xml:space="preserve">✓ No hay fórmula cerrada para</w:t>
      </w:r>
      <w:r>
        <w:t xml:space="preserve"> </w:t>
      </w:r>
      <w:r>
        <w:t xml:space="preserve">“VAN dado distribuciones de N inputs correlacionados”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✓ Las macros chilenas tienen distribuciones empíricas estimables desde 2002–2024 (BCCh, INE, CChC).</w:t>
      </w:r>
    </w:p>
    <w:p>
      <w:pPr>
        <w:numPr>
          <w:ilvl w:val="0"/>
          <w:numId w:val="1003"/>
        </w:numPr>
      </w:pPr>
      <w:r>
        <w:t xml:space="preserve">✓ Las correlaciones son críticas: PIB ↑ → desempleo ↓ → demanda ↑ → velocidad ↑. Sortear independientes generaría escenarios irreales.</w:t>
      </w:r>
    </w:p>
    <w:p>
      <w:pPr>
        <w:numPr>
          <w:ilvl w:val="0"/>
          <w:numId w:val="1003"/>
        </w:numPr>
      </w:pPr>
      <w:r>
        <w:t xml:space="preserve">✓ Cada AUDP compromete capital de magnitud relevante por décadas. El Directorio necesita el rango, no un punto.</w:t>
      </w:r>
    </w:p>
    <w:bookmarkEnd w:id="14"/>
    <w:bookmarkStart w:id="15" w:name="X037cd738ca4061455e04f81edcb34ee35379198"/>
    <w:p>
      <w:pPr>
        <w:pStyle w:val="Heading2"/>
      </w:pPr>
      <w:r>
        <w:t xml:space="preserve">1.4 Aplicaciones típicas del Monte Carlo en finanzas y real estate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Empresa/Institución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Goldman Sachs, JP Morgan</w:t>
            </w:r>
          </w:p>
        </w:tc>
        <w:tc>
          <w:tcPr/>
          <w:p>
            <w:pPr>
              <w:pStyle w:val="Compact"/>
            </w:pPr>
            <w:r>
              <w:t xml:space="preserve">Valorar opciones complejas sin solución analítica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operacional</w:t>
            </w:r>
          </w:p>
        </w:tc>
        <w:tc>
          <w:tcPr/>
          <w:p>
            <w:pPr>
              <w:pStyle w:val="Compact"/>
            </w:pPr>
            <w:r>
              <w:t xml:space="preserve">Basel III bancos</w:t>
            </w:r>
          </w:p>
        </w:tc>
        <w:tc>
          <w:tcPr/>
          <w:p>
            <w:pPr>
              <w:pStyle w:val="Compact"/>
            </w:pPr>
            <w:r>
              <w:t xml:space="preserve">Estimar VaR para 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Planeación de carteras de inversión</w:t>
            </w:r>
          </w:p>
        </w:tc>
        <w:tc>
          <w:tcPr/>
          <w:p>
            <w:pPr>
              <w:pStyle w:val="Compact"/>
            </w:pPr>
            <w:r>
              <w:t xml:space="preserve">Fondos pensiones</w:t>
            </w:r>
          </w:p>
        </w:tc>
        <w:tc>
          <w:tcPr/>
          <w:p>
            <w:pPr>
              <w:pStyle w:val="Compact"/>
            </w:pPr>
            <w:r>
              <w:t xml:space="preserve">Probabilidad de fondear obligaciones a 30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demanda/costo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Reserving de aseguradoras</w:t>
            </w:r>
          </w:p>
        </w:tc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liability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 Federal Reserve</w:t>
            </w:r>
          </w:p>
        </w:tc>
        <w:tc>
          <w:tcPr/>
          <w:p>
            <w:pPr>
              <w:pStyle w:val="Compact"/>
            </w:pPr>
            <w:r>
              <w:t xml:space="preserve">Bancos US</w:t>
            </w:r>
          </w:p>
        </w:tc>
        <w:tc>
          <w:tcPr/>
          <w:p>
            <w:pPr>
              <w:pStyle w:val="Compact"/>
            </w:pPr>
            <w:r>
              <w:t xml:space="preserve">Resistencia bajo escenarios macro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proyectos infraestructura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 concesiones</w:t>
            </w:r>
          </w:p>
        </w:tc>
      </w:tr>
    </w:tbl>
    <w:p>
      <w:pPr>
        <w:pStyle w:val="BodyText"/>
      </w:pPr>
      <w:r>
        <w:t xml:space="preserve">En real estate específicamente, el uso de Monte Carlo está documentado en literatura desde los años 90 y es estándar entre los principales developers internacionales. El Modelo Factorial Estocástico de Modela aplica esta técnica con calibración empírica chilena.</w:t>
      </w:r>
    </w:p>
    <w:bookmarkEnd w:id="15"/>
    <w:bookmarkStart w:id="16" w:name="qué-no-hace-monte-carlo"/>
    <w:p>
      <w:pPr>
        <w:pStyle w:val="Heading2"/>
      </w:pPr>
      <w:r>
        <w:t xml:space="preserve">1.5 ¿Qué NO hace Monte Carlo?</w:t>
      </w:r>
    </w:p>
    <w:p>
      <w:pPr>
        <w:pStyle w:val="FirstParagraph"/>
      </w:pPr>
      <w:r>
        <w:t xml:space="preserve">Es importante manejar expectativas: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Monte Carlo NO predice el futuro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 Dice</w:t>
      </w:r>
      <w:r>
        <w:t xml:space="preserve"> </w:t>
      </w:r>
      <w:r>
        <w:t xml:space="preserve">“dada nuestra creencia sobre la distribución de los inputs, el VAN tiene esta distribución probable”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 calidad del output depende de la calidad de las distribuciones de input</w:t>
      </w:r>
      <w:r>
        <w:t xml:space="preserve">. Garbage in, garbage out — por eso la calibración con datos reales es crítica.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 por construcción.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reemplaza el juicio cualitativo</w:t>
      </w:r>
      <w:r>
        <w:t xml:space="preserve">: complementa pero no sustituye el análisis del contexto regulatorio, comercial y geográfico específico.</w:t>
      </w:r>
    </w:p>
    <w:bookmarkEnd w:id="16"/>
    <w:bookmarkEnd w:id="17"/>
    <w:bookmarkStart w:id="20" w:name="X70942081d884e1db17e165bf20f7527534a8abc"/>
    <w:p>
      <w:pPr>
        <w:pStyle w:val="Heading1"/>
      </w:pPr>
      <w:r>
        <w:t xml:space="preserve">2. Contexto y motivación específica del modelo</w:t>
      </w:r>
    </w:p>
    <w:bookmarkStart w:id="18" w:name="Xeb55a9d45b899b799b4d7d016061a09d7498643"/>
    <w:p>
      <w:pPr>
        <w:pStyle w:val="Heading2"/>
      </w:pPr>
      <w:r>
        <w:t xml:space="preserve">2.1 Limitaciones del modelo determinista anterior</w:t>
      </w:r>
    </w:p>
    <w:p>
      <w:pPr>
        <w:pStyle w:val="FirstParagraph"/>
      </w:pPr>
      <w:r>
        <w:t xml:space="preserve">El simulador macro de Modela (</w:t>
      </w:r>
      <w:r>
        <w:rPr>
          <w:rStyle w:val="VerbatimChar"/>
        </w:rPr>
        <w:t xml:space="preserve">simulador-legacy.html</w:t>
      </w:r>
      <w:r>
        <w:t xml:space="preserve">) producía hasta hace pocos meses un</w:t>
      </w:r>
      <w:r>
        <w:t xml:space="preserve"> </w:t>
      </w:r>
      <w:r>
        <w:rPr>
          <w:b/>
          <w:bCs/>
        </w:rPr>
        <w:t xml:space="preserve">valor único</w:t>
      </w:r>
      <w:r>
        <w:t xml:space="preserve"> </w:t>
      </w:r>
      <w:r>
        <w:t xml:space="preserve">de VAN bajo asunciones fijas. Los inputs típicos eran:</w:t>
      </w:r>
    </w:p>
    <w:p>
      <w:pPr>
        <w:pStyle w:val="Compact"/>
        <w:numPr>
          <w:ilvl w:val="0"/>
          <w:numId w:val="1005"/>
        </w:numPr>
      </w:pPr>
      <w:r>
        <w:t xml:space="preserve">Velocidad de venta: valor central por tipología (e.g. 2.7 unidades/mes para Casas 1).</w:t>
      </w:r>
    </w:p>
    <w:p>
      <w:pPr>
        <w:pStyle w:val="Compact"/>
        <w:numPr>
          <w:ilvl w:val="0"/>
          <w:numId w:val="1005"/>
        </w:numPr>
      </w:pPr>
      <w:r>
        <w:t xml:space="preserve">Ticket promedio: valor central por tier de producto.</w:t>
      </w:r>
    </w:p>
    <w:p>
      <w:pPr>
        <w:pStyle w:val="Compact"/>
        <w:numPr>
          <w:ilvl w:val="0"/>
          <w:numId w:val="1005"/>
        </w:numPr>
      </w:pPr>
      <w:r>
        <w:t xml:space="preserve">Incidencia de terreno: valor central calculado por método residual.</w:t>
      </w:r>
    </w:p>
    <w:p>
      <w:pPr>
        <w:pStyle w:val="Compact"/>
        <w:numPr>
          <w:ilvl w:val="0"/>
          <w:numId w:val="1005"/>
        </w:numPr>
      </w:pPr>
      <w:r>
        <w:t xml:space="preserve">Tasa de descuento: 8% real anual.</w:t>
      </w:r>
    </w:p>
    <w:p>
      <w:pPr>
        <w:pStyle w:val="FirstParagraph"/>
      </w:pPr>
      <w:r>
        <w:t xml:space="preserve">Bajo estas asunciones, el modelo respondía a la pregunta:</w:t>
      </w:r>
      <w:r>
        <w:t xml:space="preserve"> </w:t>
      </w:r>
      <w:r>
        <w:rPr>
          <w:i/>
          <w:iCs/>
        </w:rPr>
        <w:t xml:space="preserve">“si todo evoluciona según el escenario base, ¿cuál es el VAN?”</w:t>
      </w:r>
      <w:r>
        <w:t xml:space="preserve"> </w:t>
      </w:r>
      <w:r>
        <w:t xml:space="preserve">— una pregunta válida pero insuficiente para decisiones que comprometen capital de magnitud relevante en horizontes multidécada.</w:t>
      </w:r>
    </w:p>
    <w:p>
      <w:pPr>
        <w:pStyle w:val="BodyText"/>
      </w:pPr>
      <w:r>
        <w:t xml:space="preserve">Las preguntas que el directorio usualmente formula y que el modelo determinista</w:t>
      </w:r>
      <w:r>
        <w:t xml:space="preserve"> </w:t>
      </w:r>
      <w:r>
        <w:rPr>
          <w:b/>
          <w:bCs/>
        </w:rPr>
        <w:t xml:space="preserve">no podía responder</w:t>
      </w:r>
      <w:r>
        <w:t xml:space="preserve"> </w:t>
      </w:r>
      <w:r>
        <w:t xml:space="preserve">incluyen:</w:t>
      </w:r>
    </w:p>
    <w:p>
      <w:pPr>
        <w:pStyle w:val="Compact"/>
        <w:numPr>
          <w:ilvl w:val="0"/>
          <w:numId w:val="1006"/>
        </w:numPr>
      </w:pPr>
      <w:r>
        <w:t xml:space="preserve">¿Cuál es la probabilidad de que el VAN sea negativo bajo escenarios plausibles?</w:t>
      </w:r>
    </w:p>
    <w:p>
      <w:pPr>
        <w:pStyle w:val="Compact"/>
        <w:numPr>
          <w:ilvl w:val="0"/>
          <w:numId w:val="1006"/>
        </w:numPr>
      </w:pPr>
      <w:r>
        <w:t xml:space="preserve">¿Qué tan malo puede ser el VAN si replicamos las condiciones macro de la pandemia 2020?</w:t>
      </w:r>
    </w:p>
    <w:p>
      <w:pPr>
        <w:pStyle w:val="Compact"/>
        <w:numPr>
          <w:ilvl w:val="0"/>
          <w:numId w:val="1006"/>
        </w:numPr>
      </w:pPr>
      <w:r>
        <w:t xml:space="preserve">¿Qué tan robusto es el VAN frente a una caída del 30% en velocidad de venta combinada con un alza del 10% en costos de construcción?</w:t>
      </w:r>
    </w:p>
    <w:p>
      <w:pPr>
        <w:pStyle w:val="Compact"/>
        <w:numPr>
          <w:ilvl w:val="0"/>
          <w:numId w:val="1006"/>
        </w:numPr>
      </w:pPr>
      <w:r>
        <w:t xml:space="preserve">¿Cuál de dos AUDPs candidatos es más resiliente al estrés macro?</w:t>
      </w:r>
    </w:p>
    <w:bookmarkEnd w:id="18"/>
    <w:bookmarkStart w:id="19" w:name="tres-modos-del-monte-carlo-actual"/>
    <w:p>
      <w:pPr>
        <w:pStyle w:val="Heading2"/>
      </w:pPr>
      <w:r>
        <w:t xml:space="preserve">2.2 Tres modos del Monte Carlo actual</w:t>
      </w:r>
    </w:p>
    <w:p>
      <w:pPr>
        <w:pStyle w:val="FirstParagraph"/>
      </w:pPr>
      <w:r>
        <w:t xml:space="preserve">El simulador hoy implementa tres modos de Monte Carlo, cada uno con propósito y nivel de sofisticación distintos: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Filosofía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Paramétrico</w:t>
            </w:r>
            <w:r>
              <w:t xml:space="preserve"> </w:t>
            </w:r>
            <w: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Distribuciones Normal/Triangular independientes</w:t>
            </w:r>
          </w:p>
        </w:tc>
        <w:tc>
          <w:tcPr/>
          <w:p>
            <w:pPr>
              <w:pStyle w:val="Compact"/>
            </w:pPr>
            <w:r>
              <w:t xml:space="preserve">Sanity check, reproducir análisis previos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Empírico CIDU</w:t>
            </w:r>
          </w:p>
        </w:tc>
        <w:tc>
          <w:tcPr/>
          <w:p>
            <w:pPr>
              <w:pStyle w:val="Compact"/>
            </w:pPr>
            <w:r>
              <w:t xml:space="preserve">Cópula t (ν=4) sobre marginales empíricas TINSA, sin macros</w:t>
            </w:r>
          </w:p>
        </w:tc>
        <w:tc>
          <w:tcPr/>
          <w:p>
            <w:pPr>
              <w:pStyle w:val="Compact"/>
            </w:pPr>
            <w:r>
              <w:t xml:space="preserve">Cuando se quiere fidelidad a la distribución observada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Factor Macro</w:t>
            </w:r>
            <w:r>
              <w:t xml:space="preserve"> </w:t>
            </w:r>
            <w:r>
              <w:t xml:space="preserve">✓ default</w:t>
            </w:r>
          </w:p>
        </w:tc>
        <w:tc>
          <w:tcPr/>
          <w:p>
            <w:pPr>
              <w:pStyle w:val="Compact"/>
            </w:pPr>
            <w:r>
              <w:t xml:space="preserve">Shocks directos desde IPV (BCCh) e ICOI (CChC) + regresión velocidad + cópula entre 5 macros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Decisiones económicas estratégicas, stress testing</w:t>
            </w:r>
          </w:p>
        </w:tc>
      </w:tr>
    </w:tbl>
    <w:bookmarkEnd w:id="19"/>
    <w:bookmarkEnd w:id="20"/>
    <w:bookmarkStart w:id="28" w:name="arquitectura-del-modelo-3-capas"/>
    <w:p>
      <w:pPr>
        <w:pStyle w:val="Heading1"/>
      </w:pPr>
      <w:r>
        <w:t xml:space="preserve">3. Arquitectura del modelo: 3 capas</w:t>
      </w:r>
    </w:p>
    <w:bookmarkStart w:id="27" w:name="diagrama-conceptual"/>
    <w:p>
      <w:pPr>
        <w:pStyle w:val="Heading2"/>
      </w:pPr>
      <w:r>
        <w:t xml:space="preserve">3.1 Diagrama conceptual</w:t>
      </w:r>
    </w:p>
    <w:p>
      <w:pPr>
        <w:pStyle w:val="CaptionedFigure"/>
      </w:pPr>
      <w:r>
        <w:drawing>
          <wp:inline>
            <wp:extent cx="5334000" cy="4352387"/>
            <wp:effectExtent b="0" l="0" r="0" t="0"/>
            <wp:docPr descr="Arquitectura de 3 capas del modelo" title="" id="22" name="Picture"/>
            <a:graphic>
              <a:graphicData uri="http://schemas.openxmlformats.org/drawingml/2006/picture">
                <pic:pic>
                  <pic:nvPicPr>
                    <pic:cNvPr descr="figures/09_arquitectura_3_cap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3 capas del modelo</w:t>
      </w:r>
    </w:p>
    <w:p>
      <w:pPr>
        <w:pStyle w:val="BodyText"/>
      </w:pPr>
      <w:r>
        <w:t xml:space="preserve">El modelo conceptualiza el sistema económico-inmobiliario en</w:t>
      </w:r>
      <w:r>
        <w:t xml:space="preserve"> </w:t>
      </w:r>
      <w:r>
        <w:rPr>
          <w:b/>
          <w:bCs/>
        </w:rPr>
        <w:t xml:space="preserve">tres capas jerárquicas</w:t>
      </w:r>
      <w:r>
        <w:t xml:space="preserve"> </w:t>
      </w:r>
      <w:r>
        <w:t xml:space="preserve">según la</w:t>
      </w:r>
      <w:r>
        <w:t xml:space="preserve"> </w:t>
      </w:r>
      <w:r>
        <w:rPr>
          <w:b/>
          <w:bCs/>
        </w:rPr>
        <w:t xml:space="preserve">velocidad de cambio</w:t>
      </w:r>
      <w:r>
        <w:t xml:space="preserve"> </w:t>
      </w:r>
      <w:r>
        <w:t xml:space="preserve">de las variables:</w:t>
      </w:r>
    </w:p>
    <w:bookmarkStart w:id="24" w:name="capa-3-estructural-decadal-no-se-sortea"/>
    <w:p>
      <w:pPr>
        <w:pStyle w:val="Heading3"/>
      </w:pPr>
      <w:r>
        <w:t xml:space="preserve">Capa 3 — Estructural decadal (NO se sortea)</w:t>
      </w:r>
    </w:p>
    <w:p>
      <w:pPr>
        <w:pStyle w:val="FirstParagraph"/>
      </w:pPr>
      <w:r>
        <w:t xml:space="preserve">Variables que cambian en escalas de</w:t>
      </w:r>
      <w:r>
        <w:t xml:space="preserve"> </w:t>
      </w:r>
      <w:r>
        <w:rPr>
          <w:b/>
          <w:bCs/>
        </w:rPr>
        <w:t xml:space="preserve">décadas, no de trimestres</w:t>
      </w:r>
      <w:r>
        <w:t xml:space="preserve">: demografía, fertilidad, educación. En la versión actual estas variables</w:t>
      </w:r>
      <w:r>
        <w:t xml:space="preserve"> </w:t>
      </w:r>
      <w:r>
        <w:rPr>
          <w:b/>
          <w:bCs/>
        </w:rPr>
        <w:t xml:space="preserve">no se sortean estocásticamente</w:t>
      </w:r>
      <w:r>
        <w:t xml:space="preserve"> </w:t>
      </w:r>
      <w:r>
        <w:t xml:space="preserve">— se utilizan como anclaje del escenario base (qué demanda cabe esperar a 20+ años). Su variabilidad anual es tan baja que sortarlas con noise produciría escenarios irreales (e.g.,</w:t>
      </w:r>
      <w:r>
        <w:t xml:space="preserve"> </w:t>
      </w:r>
      <w:r>
        <w:t xml:space="preserve">“fertilidad sube 30% en un trimestre”</w:t>
      </w:r>
      <w:r>
        <w:t xml:space="preserve">).</w:t>
      </w:r>
    </w:p>
    <w:bookmarkEnd w:id="24"/>
    <w:bookmarkStart w:id="25" w:name="X9fa8879402490c0da34d4f730aebefce8f75ed8"/>
    <w:p>
      <w:pPr>
        <w:pStyle w:val="Heading3"/>
      </w:pPr>
      <w:r>
        <w:t xml:space="preserve">Capa 2 — Cíclica estocástica (AQUÍ ocurre el Monte Carlo)</w:t>
      </w:r>
    </w:p>
    <w:p>
      <w:pPr>
        <w:pStyle w:val="FirstParagraph"/>
      </w:pPr>
      <w:r>
        <w:t xml:space="preserve">Variables macro que</w:t>
      </w:r>
      <w:r>
        <w:t xml:space="preserve"> </w:t>
      </w:r>
      <w:r>
        <w:rPr>
          <w:b/>
          <w:bCs/>
        </w:rPr>
        <w:t xml:space="preserve">fluctúan trimestralmente</w:t>
      </w:r>
      <w:r>
        <w:t xml:space="preserve"> </w:t>
      </w:r>
      <w:r>
        <w:t xml:space="preserve">y son las que mueven el ciclo económico-inmobiliario: IMACEC, tasas, IPV, ICOI. Esta es la capa donde</w:t>
      </w:r>
      <w:r>
        <w:t xml:space="preserve"> </w:t>
      </w:r>
      <w:r>
        <w:rPr>
          <w:b/>
          <w:bCs/>
        </w:rPr>
        <w:t xml:space="preserve">opera el Monte Carlo del Factor Macro</w:t>
      </w:r>
      <w:r>
        <w:t xml:space="preserve">: se samplean las 5 macros conjuntamente con t-cópula y luego se propagan a la Capa 1.</w:t>
      </w:r>
    </w:p>
    <w:bookmarkEnd w:id="25"/>
    <w:bookmarkStart w:id="26" w:name="X2b8a98c5c04e275634f5aee9b4066dfbfab8b8f"/>
    <w:p>
      <w:pPr>
        <w:pStyle w:val="Heading3"/>
      </w:pPr>
      <w:r>
        <w:t xml:space="preserve">Capa 1 — Producto/Proyecto (variables derivadas)</w:t>
      </w:r>
    </w:p>
    <w:p>
      <w:pPr>
        <w:pStyle w:val="FirstParagraph"/>
      </w:pPr>
      <w:r>
        <w:t xml:space="preserve">Las 4 variables del proyecto (precio, costo, velocidad, plazo)</w:t>
      </w:r>
      <w:r>
        <w:t xml:space="preserve"> </w:t>
      </w:r>
      <w:r>
        <w:rPr>
          <w:b/>
          <w:bCs/>
        </w:rPr>
        <w:t xml:space="preserve">no se sortean directamente</w:t>
      </w:r>
      <w:r>
        <w:t xml:space="preserve"> </w:t>
      </w:r>
      <w:r>
        <w:t xml:space="preserve">desde sus distribuciones marginales TINSA. En su lugar, se</w:t>
      </w:r>
      <w:r>
        <w:t xml:space="preserve"> </w:t>
      </w:r>
      <w:r>
        <w:rPr>
          <w:b/>
          <w:bCs/>
        </w:rPr>
        <w:t xml:space="preserve">derivan de las macros sampleadas</w:t>
      </w:r>
      <w:r>
        <w:t xml:space="preserve"> </w:t>
      </w:r>
      <w:r>
        <w:t xml:space="preserve">mediante: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Shocks directos</w:t>
      </w:r>
      <w:r>
        <w:t xml:space="preserve"> </w:t>
      </w:r>
      <w:r>
        <w:t xml:space="preserve">para precio (proxy IPV) y costo (proxy ICOI) — ambas variables tienen índices oficiales.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Regresión OLS</w:t>
      </w:r>
      <w:r>
        <w:t xml:space="preserve"> </w:t>
      </w:r>
      <w:r>
        <w:t xml:space="preserve">para velocidad — no existe índice oficial, así que la macro aporta predicción.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Shock idiosincrático</w:t>
      </w:r>
      <w:r>
        <w:t xml:space="preserve"> </w:t>
      </w:r>
      <w:r>
        <w:t xml:space="preserve">para plazo — la macro no determina el plazo de obra.</w:t>
      </w:r>
    </w:p>
    <w:bookmarkEnd w:id="26"/>
    <w:bookmarkEnd w:id="27"/>
    <w:bookmarkEnd w:id="28"/>
    <w:bookmarkStart w:id="41" w:name="variables-del-modelo-catálogo-detallado"/>
    <w:p>
      <w:pPr>
        <w:pStyle w:val="Heading1"/>
      </w:pPr>
      <w:r>
        <w:t xml:space="preserve">4. Variables del modelo: catálogo detallado</w:t>
      </w:r>
    </w:p>
    <w:bookmarkStart w:id="35" w:name="variables-macro-sampleadas-capa-2"/>
    <w:p>
      <w:pPr>
        <w:pStyle w:val="Heading2"/>
      </w:pPr>
      <w:r>
        <w:t xml:space="preserve">4.1 Variables macro sampleadas (Capa 2)</w:t>
      </w:r>
    </w:p>
    <w:p>
      <w:pPr>
        <w:pStyle w:val="FirstParagraph"/>
      </w:pPr>
      <w:r>
        <w:t xml:space="preserve">Las siguientes variables se samplean</w:t>
      </w:r>
      <w:r>
        <w:t xml:space="preserve"> </w:t>
      </w:r>
      <w:r>
        <w:rPr>
          <w:b/>
          <w:bCs/>
        </w:rPr>
        <w:t xml:space="preserve">conjuntamente</w:t>
      </w:r>
      <w:r>
        <w:t xml:space="preserve"> </w:t>
      </w:r>
      <w:r>
        <w:t xml:space="preserve">en cada iteración del Monte Carlo, respetando sus correlaciones empíricas mediante t-cópula.</w:t>
      </w:r>
    </w:p>
    <w:bookmarkStart w:id="30" w:name="imacec-variación-interanual"/>
    <w:p>
      <w:pPr>
        <w:pStyle w:val="Heading3"/>
      </w:pPr>
      <w:r>
        <w:t xml:space="preserve">4.1.1 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Símbolo en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imacec_var_pct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medida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Variación interanual del Indicador Mensual de Actividad Económica desestacionalizado. Mide el crecimiento del PIB chileno mes a mes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 natural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mean)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si3.bcentral.cl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 usada</w:t>
            </w:r>
          </w:p>
        </w:tc>
        <w:tc>
          <w:tcPr/>
          <w:p>
            <w:pPr>
              <w:pStyle w:val="Compact"/>
            </w:pPr>
            <w:r>
              <w:t xml:space="preserve">1997-Q1 a 2026-Q1 (117 trimestres)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 valores típicos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 chileno; +5% = boom; 0% a +1% = lento; negativo = recesión técnica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empírica</w:t>
            </w:r>
          </w:p>
        </w:tc>
        <w:tc>
          <w:tcPr/>
          <w:p>
            <w:pPr>
              <w:pStyle w:val="Compact"/>
            </w:pPr>
            <w:r>
              <w:t xml:space="preserve">Mean +2.89%, σ 4.48%, p10 −2.77%, p50 +2.51%, p90 +8.77%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inclusión</w:t>
            </w:r>
          </w:p>
        </w:tc>
        <w:tc>
          <w:tcPr/>
          <w:p>
            <w:pPr>
              <w:pStyle w:val="Compact"/>
            </w:pPr>
            <w:r>
              <w:t xml:space="preserve">Es el indicador macro de referencia en Chile. Captura el ciclo PIB en alta frecuencia. Correlaciona con demanda de vivienda con lag de 6-12 meses.</w:t>
            </w:r>
          </w:p>
        </w:tc>
      </w:tr>
    </w:tbl>
    <w:bookmarkEnd w:id="30"/>
    <w:bookmarkStart w:id="31" w:name="X7ebb95d49e227c10b12b3a63e9e941052c4c97f"/>
    <w:p>
      <w:pPr>
        <w:pStyle w:val="Heading3"/>
      </w:pPr>
      <w:r>
        <w:t xml:space="preserve">4.1.2 Δ Tasa hipotecaria (cambio interanual en puntos porcentuales)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Símbolo en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d_tasa_hipo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medida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Cambio del nivel promedio de la tasa de crédito hipotecario UF (a 20 años)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No es el nivel de tasa, sino su variación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 natural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 usada</w:t>
            </w:r>
          </w:p>
        </w:tc>
        <w:tc>
          <w:tcPr/>
          <w:p>
            <w:pPr>
              <w:pStyle w:val="Compact"/>
            </w:pPr>
            <w:r>
              <w:t xml:space="preserve">2002 a presente (97 trimestres)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+1pp = la tasa subió 100 bps en el año (e.g., de 4% a 5%); −0.5pp = la tasa cayó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empírica</w:t>
            </w:r>
          </w:p>
        </w:tc>
        <w:tc>
          <w:tcPr/>
          <w:p>
            <w:pPr>
              <w:pStyle w:val="Compact"/>
            </w:pPr>
            <w:r>
              <w:t xml:space="preserve">Mean −0.05pp, σ 0.48pp, p10 −0.85pp, p50 −0.06pp, p90 +0.77pp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inclusión</w:t>
            </w:r>
          </w:p>
        </w:tc>
        <w:tc>
          <w:tcPr/>
          <w:p>
            <w:pPr>
              <w:pStyle w:val="Compact"/>
            </w:pPr>
            <w:r>
              <w:t xml:space="preserve">La tasa hipotecaria determina la cuota mensual de los compradores → afecta directamente la demanda. Usar el</w:t>
            </w:r>
            <w:r>
              <w:t xml:space="preserve"> </w:t>
            </w:r>
            <w:r>
              <w:rPr>
                <w:b/>
                <w:bCs/>
              </w:rPr>
              <w:t xml:space="preserve">cambio</w:t>
            </w:r>
            <w:r>
              <w:t xml:space="preserve"> </w:t>
            </w:r>
            <w:r>
              <w:t xml:space="preserve">en lugar del nivel evita confundir tendencia secular con shock cíclico.</w:t>
            </w:r>
          </w:p>
        </w:tc>
      </w:tr>
    </w:tbl>
    <w:bookmarkEnd w:id="31"/>
    <w:bookmarkStart w:id="32" w:name="Xb1d09a9aaded6633af46d61bf2bdfd6751983e9"/>
    <w:p>
      <w:pPr>
        <w:pStyle w:val="Heading3"/>
      </w:pPr>
      <w:r>
        <w:t xml:space="preserve">4.1.3 Δ Tasa de desempleo (cambio interanual en pp)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Símbolo en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d_desempleo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medida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Cambio interanual de la tasa de desempleo nacional (NESI).</w:t>
            </w:r>
            <w:r>
              <w:t xml:space="preserve"> </w:t>
            </w:r>
            <w:r>
              <w:rPr>
                <w:b/>
                <w:bCs/>
              </w:rPr>
              <w:t xml:space="preserve">No es el nivel sino el cambio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 natural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INE, 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 usada</w:t>
            </w:r>
          </w:p>
        </w:tc>
        <w:tc>
          <w:tcPr/>
          <w:p>
            <w:pPr>
              <w:pStyle w:val="Compact"/>
            </w:pPr>
            <w:r>
              <w:t xml:space="preserve">2010 a presente (65 trimestres)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+1pp = el desempleo subió desde p.ej. 7% al 8% en el año; −0.5pp = se redujo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empírica</w:t>
            </w:r>
          </w:p>
        </w:tc>
        <w:tc>
          <w:tcPr/>
          <w:p>
            <w:pPr>
              <w:pStyle w:val="Compact"/>
            </w:pPr>
            <w:r>
              <w:t xml:space="preserve">Mean −0.01pp, σ 0.83pp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inclusión</w:t>
            </w:r>
          </w:p>
        </w:tc>
        <w:tc>
          <w:tcPr/>
          <w:p>
            <w:pPr>
              <w:pStyle w:val="Compact"/>
            </w:pPr>
            <w:r>
              <w:t xml:space="preserve">Variable contracíclica con IMACEC. Afecta la capacidad de pago de compradores y la confianza para tomar deuda hipotecaria de largo plazo.</w:t>
            </w:r>
          </w:p>
        </w:tc>
      </w:tr>
    </w:tbl>
    <w:bookmarkEnd w:id="32"/>
    <w:bookmarkStart w:id="33" w:name="ipv-yoy-por-familia"/>
    <w:p>
      <w:pPr>
        <w:pStyle w:val="Heading3"/>
      </w:pPr>
      <w:r>
        <w:t xml:space="preserve">4.1.4 IPV YoY % por familia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Símbolo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ipv_deptos_nuevos_yoy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ipv_casas_nuevas_yoy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Variación interanual del Índice de Precios de Vivienda específico por tipología (deptos nuevos o casas nuevas). El IPV es construido por BCCh con metodología tipo Laspeyres controlando por composición.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 natural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serie IPV desglosada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2002 a presente (24 años)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p10 −0.14%,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 usada</w:t>
            </w:r>
          </w:p>
        </w:tc>
        <w:tc>
          <w:tcPr/>
          <w:p>
            <w:pPr>
              <w:pStyle w:val="Compact"/>
            </w:pPr>
            <w:r>
              <w:t xml:space="preserve">Edif 4-6p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inclusión</w:t>
            </w:r>
          </w:p>
        </w:tc>
        <w:tc>
          <w:tcPr/>
          <w:p>
            <w:pPr>
              <w:pStyle w:val="Compact"/>
            </w:pPr>
            <w:r>
              <w:t xml:space="preserve">Es el</w:t>
            </w:r>
            <w:r>
              <w:t xml:space="preserve"> </w:t>
            </w:r>
            <w:r>
              <w:rPr>
                <w:b/>
                <w:bCs/>
              </w:rPr>
              <w:t xml:space="preserve">shock directo de precio</w:t>
            </w:r>
            <w:r>
              <w:t xml:space="preserve"> </w:t>
            </w:r>
            <w:r>
              <w:t xml:space="preserve">del modelo. En lugar de regresar el precio TINSA contra IPV (que sería tautológico), usamos IPV directamente como driver del shock.</w:t>
            </w:r>
          </w:p>
        </w:tc>
      </w:tr>
    </w:tbl>
    <w:bookmarkEnd w:id="33"/>
    <w:bookmarkStart w:id="34" w:name="icoi-yoy"/>
    <w:p>
      <w:pPr>
        <w:pStyle w:val="Heading3"/>
      </w:pPr>
      <w:r>
        <w:t xml:space="preserve">4.1.5 ICOI YoY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Símbolo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icoi_yoy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Variación interanual del Índice de Costos de Construcción de Edificación. Mide la inflación de insumos clave: cemento, fierro, mano de obra, transporte.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 natural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 a presente (10 puntos anuales)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empírica</w:t>
            </w:r>
          </w:p>
        </w:tc>
        <w:tc>
          <w:tcPr/>
          <w:p>
            <w:pPr>
              <w:pStyle w:val="Compact"/>
            </w:pPr>
            <w:r>
              <w:t xml:space="preserve">Mean +2.47%, σ 11.53%, p10 −13.23%, p50 +0.80%, p90 +25.24%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El ICOI es muy volátil (σ 11.5%). Refleja shocks de commodities (acero, cobre) y dólar. En 2023 cayó 16% (recesión global de costos), en 2021-2022 subió &gt;20% (post-COVID supply chain)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inclusión</w:t>
            </w:r>
          </w:p>
        </w:tc>
        <w:tc>
          <w:tcPr/>
          <w:p>
            <w:pPr>
              <w:pStyle w:val="Compact"/>
            </w:pPr>
            <w:r>
              <w:t xml:space="preserve">Es el</w:t>
            </w:r>
            <w:r>
              <w:t xml:space="preserve"> </w:t>
            </w:r>
            <w:r>
              <w:rPr>
                <w:b/>
                <w:bCs/>
              </w:rPr>
              <w:t xml:space="preserve">shock directo de costo construcción</w:t>
            </w:r>
            <w:r>
              <w:t xml:space="preserve"> </w:t>
            </w:r>
            <w:r>
              <w:t xml:space="preserve">del modelo. Al igual que IPV para precio, ICOI es el índice oficial específicamente diseñado para esta variable.</w:t>
            </w:r>
          </w:p>
        </w:tc>
      </w:tr>
    </w:tbl>
    <w:bookmarkEnd w:id="34"/>
    <w:bookmarkEnd w:id="35"/>
    <w:bookmarkStart w:id="40" w:name="variables-del-proyecto-derivadas-capa-1"/>
    <w:p>
      <w:pPr>
        <w:pStyle w:val="Heading2"/>
      </w:pPr>
      <w:r>
        <w:t xml:space="preserve">4.2 Variables del proyecto derivadas (Capa 1)</w:t>
      </w:r>
    </w:p>
    <w:p>
      <w:pPr>
        <w:pStyle w:val="FirstParagraph"/>
      </w:pPr>
      <w:r>
        <w:t xml:space="preserve">Estas variables</w:t>
      </w:r>
      <w:r>
        <w:t xml:space="preserve"> </w:t>
      </w:r>
      <w:r>
        <w:rPr>
          <w:b/>
          <w:bCs/>
        </w:rPr>
        <w:t xml:space="preserve">no se sortean directamente</w:t>
      </w:r>
      <w:r>
        <w:t xml:space="preserve">. Se derivan de los shocks macro mediante propagación.</w:t>
      </w:r>
    </w:p>
    <w:bookmarkStart w:id="36" w:name="precio-de-venta-precio_yoy"/>
    <w:p>
      <w:pPr>
        <w:pStyle w:val="Heading3"/>
      </w:pPr>
      <w:r>
        <w:t xml:space="preserve">4.2.1 Precio de venta (precio_yoy %)</w:t>
      </w:r>
    </w:p>
    <w:p>
      <w:pPr>
        <w:pStyle w:val="FirstParagraph"/>
      </w:pPr>
      <w:r>
        <w:rPr>
          <w:b/>
          <w:bCs/>
        </w:rPr>
        <w:t xml:space="preserve">Fórmula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precio_yoy</m:t>
              </m:r>
            </m:e>
            <m:sub>
              <m:r>
                <m:rPr>
                  <m:nor/>
                  <m:sty m:val="p"/>
                </m:rPr>
                <m:t>familia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IPV_familiar_sampleado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precio</m:t>
              </m:r>
            </m:sub>
          </m:sSub>
        </m:oMath>
      </m:oMathPara>
    </w:p>
    <w:p>
      <w:pPr>
        <w:pStyle w:val="FirstParagraph"/>
      </w:pPr>
      <w:r>
        <w:t xml:space="preserve">donde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precio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idio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Variación interanual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 en cuestión, respecto al mismo trimestre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p>
      <w:pPr>
        <w:pStyle w:val="BodyText"/>
      </w:pPr>
      <w:r>
        <w:rPr>
          <w:b/>
          <w:bCs/>
        </w:rPr>
        <w:t xml:space="preserve">Justificación de σ por familia</w:t>
      </w:r>
      <w:r>
        <w:t xml:space="preserve">: calculado como</w:t>
      </w:r>
      <w:r>
        <w:t xml:space="preserve"> </w:t>
      </w:r>
      <w:r>
        <w:rPr>
          <w:rStyle w:val="VerbatimChar"/>
        </w:rPr>
        <w:t xml:space="preserve">std(precio_yoy_TINSA_familia − IPV_familiar_yoy)</w:t>
      </w:r>
      <w:r>
        <w:t xml:space="preserve"> </w:t>
      </w:r>
      <w:r>
        <w:t xml:space="preserve">sobre 80–141 trimestres por familia. Captura la variabilidad real entre el precio agregado de TINSA y el índice oficial. La σ alta de townhouses (17pp) refleja que la categoría tiene pocas observaciones y mayor heterogeneidad por proyecto.</w:t>
      </w:r>
    </w:p>
    <w:bookmarkEnd w:id="36"/>
    <w:bookmarkStart w:id="37" w:name="costo-de-construcción-costo_yoy"/>
    <w:p>
      <w:pPr>
        <w:pStyle w:val="Heading3"/>
      </w:pPr>
      <w:r>
        <w:t xml:space="preserve">4.2.2 Costo de construcción (costo_yoy %)</w:t>
      </w:r>
    </w:p>
    <w:p>
      <w:pPr>
        <w:pStyle w:val="FirstParagraph"/>
      </w:pPr>
      <w:r>
        <w:rPr>
          <w:b/>
          <w:bCs/>
        </w:rPr>
        <w:t xml:space="preserve">Fórmula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costo_yoy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ICOI_sampleado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costo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costo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3.0</m:t>
          </m:r>
          <m:r>
            <m:t> </m:t>
          </m:r>
          <m:r>
            <m:rPr>
              <m:nor/>
              <m:sty m:val="p"/>
            </m:rPr>
            <m:t>pp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Variación interanual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económico, no calibrado de TINSA)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σ = 3.0 pp</w:t>
      </w:r>
      <w:r>
        <w:t xml:space="preserve"> </w:t>
      </w:r>
      <w:r>
        <w:t xml:space="preserve">es un parámetro económico fijo (no calibrado de TINSA porque TINSA no contiene costos del developer). Representa la dispersión típica del costo de un proyecto específico vs. el índice ICOI nacional — esencialmente el margen del contrato de construcción y diferencias regionales/escalares.</w:t>
      </w:r>
    </w:p>
    <w:bookmarkEnd w:id="37"/>
    <w:bookmarkStart w:id="38" w:name="X5d6515a1b335e4fca12b4a81c638786059daad2"/>
    <w:p>
      <w:pPr>
        <w:pStyle w:val="Heading3"/>
      </w:pPr>
      <w:r>
        <w:t xml:space="preserve">4.2.3 Velocidad de venta (velocidad_yoy %) — variable acoplada</w:t>
      </w:r>
    </w:p>
    <w:p>
      <w:pPr>
        <w:pStyle w:val="FirstParagraph"/>
      </w:pPr>
      <w:r>
        <w:rPr>
          <w:b/>
          <w:bCs/>
        </w:rPr>
        <w:t xml:space="preserve">Fórmula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velocidad_yoy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5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macro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vel</m:t>
              </m:r>
            </m:sub>
          </m:sSub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vel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res,OLS</m:t>
            </m:r>
          </m:sub>
        </m:sSub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Variación interanual %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  <w:r>
              <w:t xml:space="preserve">. Por ejemplo, si la velocidad de Casas 1 baseline es 2.7 uds/mes y velocidad_yoy = +20%, la velocidad sampleada en esa iteración es 2.7 × 1.20 = 3.24 uds/mes.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Importante: la velocidad ES UNA SOLA VARIABLE con DOS efectos económicos acoplados</w:t>
      </w:r>
      <w:r>
        <w:t xml:space="preserve"> </w:t>
      </w:r>
      <w:r>
        <w:t xml:space="preserve">(ver Sección 5).</w:t>
      </w:r>
    </w:p>
    <w:bookmarkEnd w:id="38"/>
    <w:bookmarkStart w:id="39" w:name="plazo-de-obra-plazo_yoy"/>
    <w:p>
      <w:pPr>
        <w:pStyle w:val="Heading3"/>
      </w:pPr>
      <w:r>
        <w:t xml:space="preserve">4.2.4 Plazo de obra (plazo_yoy %)</w:t>
      </w:r>
    </w:p>
    <w:p>
      <w:pPr>
        <w:pStyle w:val="FirstParagraph"/>
      </w:pPr>
      <w:r>
        <w:rPr>
          <w:b/>
          <w:bCs/>
        </w:rPr>
        <w:t xml:space="preserve">Fórmula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plazo_yoy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plazo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hist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con clamping a ±25 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Variación interanual %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producto. Si el plazo baseline es 18 meses y plazo_yoy = +10%, el plazo sampleado es 19.8 meses.</w:t>
            </w:r>
          </w:p>
        </w:tc>
      </w:tr>
    </w:tbl>
    <w:p>
      <w:pPr>
        <w:pStyle w:val="BodyText"/>
      </w:pPr>
      <w:r>
        <w:t xml:space="preserve">No se regresa contra macros porque el plazo lo decide el developer en función de su pipeline interno, no de la macro nacional. Solo aplica shock idiosincrático.</w:t>
      </w:r>
    </w:p>
    <w:bookmarkEnd w:id="39"/>
    <w:bookmarkEnd w:id="40"/>
    <w:bookmarkEnd w:id="41"/>
    <w:bookmarkStart w:id="50" w:name="X4a4f82fca61c68c7d051a664895cc1522fd0043"/>
    <w:p>
      <w:pPr>
        <w:pStyle w:val="Heading1"/>
      </w:pPr>
      <w:r>
        <w:t xml:space="preserve">5. La velocidad de venta: UNA variable, DOS efectos económicos acoplados</w:t>
      </w:r>
    </w:p>
    <w:bookmarkStart w:id="45" w:name="la-pregunta-que-motiva-esta-sección"/>
    <w:p>
      <w:pPr>
        <w:pStyle w:val="Heading2"/>
      </w:pPr>
      <w:r>
        <w:t xml:space="preserve">5.1 La pregunta que motiva esta sección</w:t>
      </w:r>
    </w:p>
    <w:p>
      <w:pPr>
        <w:pStyle w:val="FirstParagraph"/>
      </w:pPr>
      <w:r>
        <w:t xml:space="preserve">Una pregunta razonable y crítica es:</w:t>
      </w:r>
      <w:r>
        <w:t xml:space="preserve"> </w:t>
      </w:r>
      <w:r>
        <w:rPr>
          <w:i/>
          <w:iCs/>
        </w:rPr>
        <w:t xml:space="preserve">“si la velocidad de venta es una sola variable, ¿por qué aparece afectando dos cosas distintas (incidencia y plazo macro del proyecto)?”</w:t>
      </w:r>
      <w:r>
        <w:t xml:space="preserve">. La respuesta requiere entender los dos canales económicos por los que opera la misma variable.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acoplados" title="" id="43" name="Picture"/>
            <a:graphic>
              <a:graphicData uri="http://schemas.openxmlformats.org/drawingml/2006/picture">
                <pic:pic>
                  <pic:nvPicPr>
                    <pic:cNvPr descr="figures/07_velocidad_acoplamient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acoplados</w:t>
      </w:r>
    </w:p>
    <w:bookmarkEnd w:id="45"/>
    <w:bookmarkStart w:id="46" w:name="X64c22a41a93685ff07b1a1e294dcc569f180779"/>
    <w:p>
      <w:pPr>
        <w:pStyle w:val="Heading2"/>
      </w:pPr>
      <w:r>
        <w:t xml:space="preserve">5.2 Efecto 1 — Sobre la incidencia del terreno (vía residual)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modelo residual</w:t>
      </w:r>
      <w:r>
        <w:t xml:space="preserve"> </w:t>
      </w:r>
      <w:r>
        <w:t xml:space="preserve">computa la incidencia del terreno como el % de la venta total que el desarrollador puede pagar por el terreno</w:t>
      </w:r>
      <w:r>
        <w:t xml:space="preserve"> </w:t>
      </w:r>
      <w:r>
        <w:rPr>
          <w:b/>
          <w:bCs/>
        </w:rPr>
        <w:t xml:space="preserve">manteniendo su TIR objetivo</w:t>
      </w:r>
      <w:r>
        <w:t xml:space="preserve">. La velocidad de venta entra al residual de la siguiente forma:</w:t>
      </w:r>
    </w:p>
    <w:p>
      <w:pPr>
        <w:pStyle w:val="SourceCode"/>
      </w:pPr>
      <w:r>
        <w:rPr>
          <w:rStyle w:val="VerbatimChar"/>
        </w:rPr>
        <w:t xml:space="preserve">Velocidad ↑ → unidades se venden más rápido → flujo de caja del PIE</w:t>
      </w:r>
      <w:r>
        <w:br/>
      </w:r>
      <w:r>
        <w:rPr>
          <w:rStyle w:val="VerbatimChar"/>
        </w:rPr>
        <w:t xml:space="preserve">              llega antes → menor capital circulante necesario →</w:t>
      </w:r>
      <w:r>
        <w:br/>
      </w:r>
      <w:r>
        <w:rPr>
          <w:rStyle w:val="VerbatimChar"/>
        </w:rPr>
        <w:t xml:space="preserve">              menor costo financiero → mayor margen disponible →</w:t>
      </w:r>
      <w:r>
        <w:br/>
      </w:r>
      <w:r>
        <w:rPr>
          <w:rStyle w:val="VerbatimChar"/>
        </w:rPr>
        <w:t xml:space="preserve">              MÁS UF que el desarrollador puede pagar por el terreno →</w:t>
      </w:r>
      <w:r>
        <w:br/>
      </w:r>
      <w:r>
        <w:rPr>
          <w:rStyle w:val="VerbatimChar"/>
        </w:rPr>
        <w:t xml:space="preserve">              INCIDENCIA SUBE</w:t>
      </w:r>
    </w:p>
    <w:p>
      <w:pPr>
        <w:pStyle w:val="FirstParagraph"/>
      </w:pPr>
      <w:r>
        <w:t xml:space="preserve">Cuantitativamente: la sensibilidad ∂incidencia/∂velocidad calibrada en el residual chileno es</w:t>
      </w:r>
      <w:r>
        <w:t xml:space="preserve"> </w:t>
      </w:r>
      <w:r>
        <w:rPr>
          <w:b/>
          <w:bCs/>
        </w:rPr>
        <w:t xml:space="preserve">+0.05 a +0.15</w:t>
      </w:r>
      <w:r>
        <w:t xml:space="preserve"> </w:t>
      </w:r>
      <w:r>
        <w:t xml:space="preserve">(depende de la familia). Es decir, si la velocidad sube 10%, la incidencia sube 0.5pp a 1.5pp.</w:t>
      </w:r>
    </w:p>
    <w:bookmarkEnd w:id="46"/>
    <w:bookmarkStart w:id="47" w:name="Xc6ae297e8c764bd4b962f479da753263f8009f3"/>
    <w:p>
      <w:pPr>
        <w:pStyle w:val="Heading2"/>
      </w:pPr>
      <w:r>
        <w:t xml:space="preserve">5.3 Efecto 2 — Sobre el flujo de caja AUDP (vía timing)</w:t>
      </w:r>
    </w:p>
    <w:p>
      <w:pPr>
        <w:pStyle w:val="FirstParagraph"/>
      </w:pPr>
      <w:r>
        <w:t xml:space="preserve">Independientemente de la incidencia, una velocidad mayor implica que el AUDP</w:t>
      </w:r>
      <w:r>
        <w:t xml:space="preserve"> </w:t>
      </w:r>
      <w:r>
        <w:rPr>
          <w:b/>
          <w:bCs/>
        </w:rPr>
        <w:t xml:space="preserve">vende su tierra más rápido</w:t>
      </w:r>
      <w:r>
        <w:t xml:space="preserve">. Si el AUDP tenía proyectado vender 100 ha en 20 años a velocidad baseline, una velocidad +20% implica vender las mismas 100 ha en 16-17 años.</w:t>
      </w:r>
    </w:p>
    <w:p>
      <w:pPr>
        <w:pStyle w:val="SourceCode"/>
      </w:pPr>
      <w:r>
        <w:rPr>
          <w:rStyle w:val="VerbatimChar"/>
        </w:rPr>
        <w:t xml:space="preserve">Velocidad ↑ → ingresos de tierra del AUDP llegan ANTES en el tiempo →</w:t>
      </w:r>
      <w:r>
        <w:br/>
      </w:r>
      <w:r>
        <w:rPr>
          <w:rStyle w:val="VerbatimChar"/>
        </w:rPr>
        <w:t xml:space="preserve">              al descontar al 8% real anual, los ingresos cercanos</w:t>
      </w:r>
      <w:r>
        <w:br/>
      </w:r>
      <w:r>
        <w:rPr>
          <w:rStyle w:val="VerbatimChar"/>
        </w:rPr>
        <w:t xml:space="preserve">              valen más que los lejanos → VAN AUDP SUBE</w:t>
      </w:r>
    </w:p>
    <w:bookmarkEnd w:id="47"/>
    <w:bookmarkStart w:id="48" w:name="Xac050c1129f7cc6e07bb0029dcfaf7e9d15a4a7"/>
    <w:p>
      <w:pPr>
        <w:pStyle w:val="Heading2"/>
      </w:pPr>
      <w:r>
        <w:t xml:space="preserve">5.4 Cómo el modelo propaga la velocidad de manera acoplada</w:t>
      </w:r>
    </w:p>
    <w:p>
      <w:pPr>
        <w:pStyle w:val="FirstParagraph"/>
      </w:pPr>
      <w:r>
        <w:t xml:space="preserve">En el código de la simulación, la</w:t>
      </w:r>
      <w:r>
        <w:t xml:space="preserve"> </w:t>
      </w:r>
      <w:r>
        <w:rPr>
          <w:b/>
          <w:bCs/>
        </w:rPr>
        <w:t xml:space="preserve">misma variable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</w:t>
      </w:r>
      <w:r>
        <w:t xml:space="preserve"> </w:t>
      </w:r>
      <w:r>
        <w:t xml:space="preserve">sampleada en cada iteración se aplica a ambos efectos consistentemente:</w:t>
      </w:r>
    </w:p>
    <w:p>
      <w:pPr>
        <w:pStyle w:val="SourceCode"/>
      </w:pPr>
      <w:r>
        <w:rPr>
          <w:rStyle w:val="CommentTok"/>
        </w:rPr>
        <w:t xml:space="preserve">// En sampleOne (modo Factor Macro)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sampleOne</w:t>
      </w:r>
      <w:r>
        <w:rPr>
          <w:rStyle w:val="NormalTok"/>
        </w:rPr>
        <w:t xml:space="preserve">(rng)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velocidad_yoy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UNA muestra de velocidad</w:t>
      </w:r>
      <w:r>
        <w:br/>
      </w:r>
      <w:r>
        <w:br/>
      </w:r>
      <w:r>
        <w:rPr>
          <w:rStyle w:val="CommentTok"/>
        </w:rPr>
        <w:t xml:space="preserve">// EFECTO 1: aplicar a la incidencia vía sensibilidades del residual</w:t>
      </w:r>
      <w:r>
        <w:br/>
      </w:r>
      <w:r>
        <w:rPr>
          <w:rStyle w:val="FunctionTok"/>
        </w:rPr>
        <w:t xml:space="preserve">_applyResidualShocks</w:t>
      </w:r>
      <w:r>
        <w:rPr>
          <w:rStyle w:val="NormalTok"/>
        </w:rPr>
        <w:t xml:space="preserve">({ 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costoMult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plazoMult })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→ modifica PRODUCTS[fam].incidencia según ∂i/∂vel * (vel/100)</w:t>
      </w:r>
      <w:r>
        <w:br/>
      </w:r>
      <w:r>
        <w:br/>
      </w:r>
      <w:r>
        <w:rPr>
          <w:rStyle w:val="CommentTok"/>
        </w:rPr>
        <w:t xml:space="preserve">// EFECTO 2: aplicar al flujo AUDP via peVelocidadPct</w:t>
      </w:r>
      <w:r>
        <w:br/>
      </w:r>
      <w:r>
        <w:rPr>
          <w:rStyle w:val="NormalTok"/>
        </w:rPr>
        <w:t xml:space="preserve">peVelocidadPct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peResimulate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→ cambia el timing de ventas en el AUDP</w:t>
      </w:r>
    </w:p>
    <w:p>
      <w:pPr>
        <w:pStyle w:val="FirstParagraph"/>
      </w:pPr>
      <w:r>
        <w:t xml:space="preserve">El usuario del modelo no ve la separación: para él/ella,</w:t>
      </w:r>
      <w:r>
        <w:t xml:space="preserve"> </w:t>
      </w:r>
      <w:r>
        <w:t xml:space="preserve">“velocidad +20%”</w:t>
      </w:r>
      <w:r>
        <w:t xml:space="preserve"> </w:t>
      </w:r>
      <w:r>
        <w:t xml:space="preserve">es un único shock que se propaga consistentemente a ambos canales.</w:t>
      </w:r>
    </w:p>
    <w:bookmarkEnd w:id="48"/>
    <w:bookmarkStart w:id="49" w:name="Xc63b3e76ee4a554ea8d9c28a8563b887ab0943a"/>
    <w:p>
      <w:pPr>
        <w:pStyle w:val="Heading2"/>
      </w:pPr>
      <w:r>
        <w:t xml:space="preserve">5.5 Validación: ¿por qué esto es correcto y no doble conteo?</w:t>
      </w:r>
    </w:p>
    <w:p>
      <w:pPr>
        <w:pStyle w:val="FirstParagraph"/>
      </w:pPr>
      <w:r>
        <w:t xml:space="preserve">Una preocupación legítima: ¿no estamos contabilizando el efecto de velocidad dos veces?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, porque los dos efectos operan sobre</w:t>
      </w:r>
      <w:r>
        <w:t xml:space="preserve"> </w:t>
      </w:r>
      <w:r>
        <w:rPr>
          <w:b/>
          <w:bCs/>
        </w:rPr>
        <w:t xml:space="preserve">dos flujos de caja distintos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Flujo del proyecto</w:t>
      </w:r>
      <w:r>
        <w:t xml:space="preserve"> </w:t>
      </w:r>
      <w:r>
        <w:t xml:space="preserve">(vivienda terminada al comprador): la velocidad ↑ baja el costo financiero del PIE → mejora la incidencia → el desarrollador puede pagar más por el terreno.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Flujo del AUDP</w:t>
      </w:r>
      <w:r>
        <w:t xml:space="preserve"> </w:t>
      </w:r>
      <w:r>
        <w:t xml:space="preserve">(Modela vende tierra al desarrollador): la velocidad ↑ implica que los desarrolladores compran tierra más rápido → AUDP recibe pagos antes → mejora NPV.</w:t>
      </w:r>
    </w:p>
    <w:p>
      <w:pPr>
        <w:pStyle w:val="FirstParagraph"/>
      </w:pPr>
      <w:r>
        <w:t xml:space="preserve">Ambos efectos son reales y operan sobre</w:t>
      </w:r>
      <w:r>
        <w:t xml:space="preserve"> </w:t>
      </w:r>
      <w:r>
        <w:rPr>
          <w:b/>
          <w:bCs/>
        </w:rPr>
        <w:t xml:space="preserve">caja distinta</w:t>
      </w:r>
      <w:r>
        <w:t xml:space="preserve">. La suma es la respuesta correcta del VAN AUDP.</w:t>
      </w:r>
    </w:p>
    <w:bookmarkEnd w:id="49"/>
    <w:bookmarkEnd w:id="50"/>
    <w:bookmarkStart w:id="75" w:name="Xdb8c104da0f587ab17d018f76304db71adcae1e"/>
    <w:p>
      <w:pPr>
        <w:pStyle w:val="Heading1"/>
      </w:pPr>
      <w:r>
        <w:t xml:space="preserve">6. Análisis visual: validación de las relaciones empíricas</w:t>
      </w:r>
    </w:p>
    <w:p>
      <w:pPr>
        <w:pStyle w:val="FirstParagraph"/>
      </w:pPr>
      <w:r>
        <w:t xml:space="preserve">Esta sección presenta las correlaciones del modelo en formato visual, permitiendo validar que las relaciones identificadas son económicamente coherentes.</w:t>
      </w:r>
    </w:p>
    <w:bookmarkStart w:id="54" w:name="matriz-de-correlación-entre-macros"/>
    <w:p>
      <w:pPr>
        <w:pStyle w:val="Heading2"/>
      </w:pPr>
      <w:r>
        <w:t xml:space="preserve">6.1 Matriz de correlación entre macros</w:t>
      </w:r>
    </w:p>
    <w:p>
      <w:pPr>
        <w:pStyle w:val="CaptionedFigure"/>
      </w:pPr>
      <w:r>
        <w:drawing>
          <wp:inline>
            <wp:extent cx="5067300" cy="4497025"/>
            <wp:effectExtent b="0" l="0" r="0" t="0"/>
            <wp:docPr descr="Correlación Spearman entre variables macro" title="" id="52" name="Picture"/>
            <a:graphic>
              <a:graphicData uri="http://schemas.openxmlformats.org/drawingml/2006/picture">
                <pic:pic>
                  <pic:nvPicPr>
                    <pic:cNvPr descr="figures/01_corr_macro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9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Spearman entre variables macro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</w:t>
      </w:r>
      <w:r>
        <w:t xml:space="preserve"> </w:t>
      </w:r>
      <w:r>
        <w:t xml:space="preserve">- Rojo intenso = correlación negativa fuerte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Validación de signos económicos</w:t>
      </w:r>
      <w:r>
        <w:t xml:space="preserve"> </w:t>
      </w:r>
      <w:r>
        <w:t xml:space="preserve">(todos correctos):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Esperado teóricamente</w:t>
            </w:r>
          </w:p>
        </w:tc>
        <w:tc>
          <w:tcPr/>
          <w:p>
            <w:pPr>
              <w:pStyle w:val="Compact"/>
            </w:pPr>
            <w:r>
              <w:t xml:space="preserve">¿Concuerda?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↔ Δ desempleo</w:t>
            </w:r>
          </w:p>
        </w:tc>
        <w:tc>
          <w:tcPr/>
          <w:p>
            <w:pPr>
              <w:pStyle w:val="Compact"/>
            </w:pPr>
            <w:r>
              <w:t xml:space="preserve">−0.26</w:t>
            </w:r>
          </w:p>
        </w:tc>
        <w:tc>
          <w:tcPr/>
          <w:p>
            <w:pPr>
              <w:pStyle w:val="Compact"/>
            </w:pPr>
            <w:r>
              <w:t xml:space="preserve">Negativa (boom = menos desempleo)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↔ Δ tasa hipo</w:t>
            </w:r>
          </w:p>
        </w:tc>
        <w:tc>
          <w:tcPr/>
          <w:p>
            <w:pPr>
              <w:pStyle w:val="Compact"/>
            </w:pPr>
            <w:r>
              <w:t xml:space="preserve">+0.20</w:t>
            </w:r>
          </w:p>
        </w:tc>
        <w:tc>
          <w:tcPr/>
          <w:p>
            <w:pPr>
              <w:pStyle w:val="Compact"/>
            </w:pPr>
            <w:r>
              <w:t xml:space="preserve">Positiva (BCCh sube tasa en boom)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 ↔ Δ tasa hipo</w:t>
            </w:r>
          </w:p>
        </w:tc>
        <w:tc>
          <w:tcPr/>
          <w:p>
            <w:pPr>
              <w:pStyle w:val="Compact"/>
            </w:pPr>
            <w:r>
              <w:t xml:space="preserve">−0.29</w:t>
            </w:r>
          </w:p>
        </w:tc>
        <w:tc>
          <w:tcPr/>
          <w:p>
            <w:pPr>
              <w:pStyle w:val="Compact"/>
            </w:pPr>
            <w:r>
              <w:t xml:space="preserve">Negativa (recesión = tasas bajan)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deptos ↔ IPV casas</w:t>
            </w:r>
          </w:p>
        </w:tc>
        <w:tc>
          <w:tcPr/>
          <w:p>
            <w:pPr>
              <w:pStyle w:val="Compact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Positiva fuerte (mismo mercado)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↔ otras macros</w:t>
            </w:r>
          </w:p>
        </w:tc>
        <w:tc>
          <w:tcPr/>
          <w:p>
            <w:pPr>
              <w:pStyle w:val="Compact"/>
            </w:pPr>
            <w:r>
              <w:t xml:space="preserve">~0.05-0.10</w:t>
            </w:r>
          </w:p>
        </w:tc>
        <w:tc>
          <w:tcPr/>
          <w:p>
            <w:pPr>
              <w:pStyle w:val="Compact"/>
            </w:pPr>
            <w:r>
              <w:t xml:space="preserve">Débil (ICOI depende de commodities globales)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La matriz es</w:t>
      </w:r>
      <w:r>
        <w:t xml:space="preserve"> </w:t>
      </w:r>
      <w:r>
        <w:rPr>
          <w:b/>
          <w:bCs/>
        </w:rPr>
        <w:t xml:space="preserve">internamente consistente</w:t>
      </w:r>
      <w:r>
        <w:t xml:space="preserve"> </w:t>
      </w:r>
      <w:r>
        <w:t xml:space="preserve">con la teoría macroeconómica. Esto valida la calibración del modelo: si los signos hubieran salido invertidos, sería una alerta de error en el pipeline.</w:t>
      </w:r>
    </w:p>
    <w:bookmarkEnd w:id="54"/>
    <w:bookmarkStart w:id="58" w:name="Xabc277ecc43f307b9619a05f6e808cee69879bf"/>
    <w:p>
      <w:pPr>
        <w:pStyle w:val="Heading2"/>
      </w:pPr>
      <w:r>
        <w:t xml:space="preserve">6.2 Validación visual de pares clave (scatter plots)</w:t>
      </w:r>
    </w:p>
    <w:p>
      <w:pPr>
        <w:pStyle w:val="CaptionedFigure"/>
      </w:pPr>
      <w:r>
        <w:drawing>
          <wp:inline>
            <wp:extent cx="5334000" cy="3239075"/>
            <wp:effectExtent b="0" l="0" r="0" t="0"/>
            <wp:docPr descr="Validación visual: scatter plots de pares clave" title="" id="56" name="Picture"/>
            <a:graphic>
              <a:graphicData uri="http://schemas.openxmlformats.org/drawingml/2006/picture">
                <pic:pic>
                  <pic:nvPicPr>
                    <pic:cNvPr descr="figures/04_scatter_macro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9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Validación visual: scatter plots de pares clave</w:t>
      </w:r>
    </w:p>
    <w:p>
      <w:pPr>
        <w:pStyle w:val="BodyText"/>
      </w:pPr>
      <w:r>
        <w:t xml:space="preserve">Cada panel muestra la nube de puntos de un par de variables macro junto con su correlación Spearman ρ y la regresión lineal en línea roja punteada. Los signos coinciden con la expectativa económica anotada en el subtítulo de cada panel.</w:t>
      </w:r>
    </w:p>
    <w:bookmarkEnd w:id="58"/>
    <w:bookmarkStart w:id="62" w:name="trayectoria-histórica-de-las-macros"/>
    <w:p>
      <w:pPr>
        <w:pStyle w:val="Heading2"/>
      </w:pPr>
      <w:r>
        <w:t xml:space="preserve">6.3 Trayectoria histórica de las macros</w:t>
      </w:r>
    </w:p>
    <w:p>
      <w:pPr>
        <w:pStyle w:val="CaptionedFigure"/>
      </w:pPr>
      <w:r>
        <w:drawing>
          <wp:inline>
            <wp:extent cx="5334000" cy="3798483"/>
            <wp:effectExtent b="0" l="0" r="0" t="0"/>
            <wp:docPr descr="Series temporales de macros con períodos clave marcados" title="" id="60" name="Picture"/>
            <a:graphic>
              <a:graphicData uri="http://schemas.openxmlformats.org/drawingml/2006/picture">
                <pic:pic>
                  <pic:nvPicPr>
                    <pic:cNvPr descr="figures/05_timeseries_macro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8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Series temporales de macros con períodos clave marcados</w:t>
      </w:r>
    </w:p>
    <w:p>
      <w:pPr>
        <w:pStyle w:val="BodyText"/>
      </w:pPr>
      <w:r>
        <w:t xml:space="preserve">Los rectángulos coloreados marcan los períodos correspondientes a los presets históricos: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Naranja</w:t>
      </w:r>
      <w:r>
        <w:t xml:space="preserve">: Subprime 2008-2010 (impacto leve en Chile)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Rojo</w:t>
      </w:r>
      <w:r>
        <w:t xml:space="preserve">: Estallido + COVID 2019Q4-2020 (caída IMACEC −10%, alza desempleo +3pp)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Verde</w:t>
      </w:r>
      <w:r>
        <w:t xml:space="preserve">: Boom post-COVID 2021 (rebote IMACEC +12%, desempleo −2pp)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Morado</w:t>
      </w:r>
      <w:r>
        <w:t xml:space="preserve">: Slowdown 2023 (ICOI cayó −16%, IMACEC +0.7%)</w:t>
      </w:r>
    </w:p>
    <w:p>
      <w:pPr>
        <w:pStyle w:val="FirstParagraph"/>
      </w:pPr>
      <w:r>
        <w:t xml:space="preserve">Esta visualización permite ver que</w:t>
      </w:r>
      <w:r>
        <w:t xml:space="preserve"> </w:t>
      </w:r>
      <w:r>
        <w:rPr>
          <w:b/>
          <w:bCs/>
        </w:rPr>
        <w:t xml:space="preserve">los presets cargados al modelo replican condiciones reales</w:t>
      </w:r>
      <w:r>
        <w:t xml:space="preserve">, no escenarios sintéticos.</w:t>
      </w:r>
    </w:p>
    <w:bookmarkEnd w:id="62"/>
    <w:bookmarkStart w:id="66" w:name="X4e35076c34b4e3c5c31be95f357c7d2a0038956"/>
    <w:p>
      <w:pPr>
        <w:pStyle w:val="Heading2"/>
      </w:pPr>
      <w:r>
        <w:t xml:space="preserve">6.4 Distribuciones marginales con presets marcados</w:t>
      </w:r>
    </w:p>
    <w:p>
      <w:pPr>
        <w:pStyle w:val="CaptionedFigure"/>
      </w:pPr>
      <w:r>
        <w:drawing>
          <wp:inline>
            <wp:extent cx="5334000" cy="3027792"/>
            <wp:effectExtent b="0" l="0" r="0" t="0"/>
            <wp:docPr descr="Histogramas de macros con presets históricos marcados" title="" id="64" name="Picture"/>
            <a:graphic>
              <a:graphicData uri="http://schemas.openxmlformats.org/drawingml/2006/picture">
                <pic:pic>
                  <pic:nvPicPr>
                    <pic:cNvPr descr="figures/03_hist_macros_preset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Histogramas de macros con presets históricos marcados</w:t>
      </w:r>
    </w:p>
    <w:p>
      <w:pPr>
        <w:pStyle w:val="BodyText"/>
      </w:pPr>
      <w:r>
        <w:t xml:space="preserve">Cada panel muestra el histograma de la distribución empírica de una macro. Las</w:t>
      </w:r>
      <w:r>
        <w:t xml:space="preserve"> </w:t>
      </w:r>
      <w:r>
        <w:rPr>
          <w:b/>
          <w:bCs/>
        </w:rPr>
        <w:t xml:space="preserve">líneas verticales coloreadas</w:t>
      </w:r>
      <w:r>
        <w:t xml:space="preserve"> </w:t>
      </w:r>
      <w:r>
        <w:t xml:space="preserve">marcan los valores de cada preset histórico.</w:t>
      </w:r>
    </w:p>
    <w:p>
      <w:pPr>
        <w:pStyle w:val="BodyText"/>
      </w:pPr>
      <w:r>
        <w:rPr>
          <w:b/>
          <w:bCs/>
        </w:rPr>
        <w:t xml:space="preserve">Lectura</w:t>
      </w:r>
      <w:r>
        <w:t xml:space="preserve">: en el panel de IMACEC, la línea roja (Estallido + COVID) está claramente en la cola inferior izquierda, mientras la línea verde (Boom 2021) está en la cola derecha. Esto valida visualmente que los presets capturan</w:t>
      </w:r>
      <w:r>
        <w:t xml:space="preserve"> </w:t>
      </w:r>
      <w:r>
        <w:rPr>
          <w:b/>
          <w:bCs/>
        </w:rPr>
        <w:t xml:space="preserve">régimes distintos</w:t>
      </w:r>
      <w:r>
        <w:t xml:space="preserve"> </w:t>
      </w:r>
      <w:r>
        <w:t xml:space="preserve">de la distribución, no son perturbaciones cosméticas.</w:t>
      </w:r>
    </w:p>
    <w:bookmarkEnd w:id="66"/>
    <w:bookmarkStart w:id="70" w:name="X1289bb386356b0d60ed4f27f9a6e77495c3bd8c"/>
    <w:p>
      <w:pPr>
        <w:pStyle w:val="Heading2"/>
      </w:pPr>
      <w:r>
        <w:t xml:space="preserve">6.5 Correlación entre variables del producto (TINSA)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ón Spearman entre variables del producto por familia" title="" id="68" name="Picture"/>
            <a:graphic>
              <a:graphicData uri="http://schemas.openxmlformats.org/drawingml/2006/picture">
                <pic:pic>
                  <pic:nvPicPr>
                    <pic:cNvPr descr="figures/02_corr_producto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Spearman entre variables del producto por familia</w:t>
      </w:r>
    </w:p>
    <w:p>
      <w:pPr>
        <w:pStyle w:val="BodyText"/>
      </w:pPr>
      <w:r>
        <w:t xml:space="preserve">Estos cuatro heatmaps muestran las correlaciones empíricas entre las 5 variables del producto</w:t>
      </w:r>
      <w:r>
        <w:t xml:space="preserve"> </w:t>
      </w:r>
      <w:r>
        <w:rPr>
          <w:b/>
          <w:bCs/>
        </w:rPr>
        <w:t xml:space="preserve">dentro de cada familia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Hallazgos económicamente interpretables</w:t>
      </w:r>
      <w:r>
        <w:t xml:space="preserve">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Precio ↔ Velocidad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negativa</w:t>
      </w:r>
      <w:r>
        <w:t xml:space="preserve"> </w:t>
      </w:r>
      <w:r>
        <w:t xml:space="preserve">en todas las familias residenciales (−0.33 a −0.39): productos más caros venden más lento. El DS19 es la excepción (−0.16) por su precio acotado por subsidio.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Precio ↔ Tamaño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positiva</w:t>
      </w:r>
      <w:r>
        <w:t xml:space="preserve"> </w:t>
      </w:r>
      <w:r>
        <w:t xml:space="preserve">en Edif/Casa/TH (+0.34 a +0.55): productos más grandes son más caros, lo esperado.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DS19 invierte la relación Precio ↔ Tamaño</w:t>
      </w:r>
      <w:r>
        <w:t xml:space="preserve"> </w:t>
      </w:r>
      <w:r>
        <w:t xml:space="preserve">(−0.39): porque al subsidio se reparte sobre más m², cada m² adicional reduce el UF/m² promedio del proyecto. Es un efecto regulatorio único del DS19.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Precio ↔ Plazo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positiva</w:t>
      </w:r>
      <w:r>
        <w:t xml:space="preserve"> </w:t>
      </w:r>
      <w:r>
        <w:t xml:space="preserve">en Edif y Casa (+0.28 a +0.40): productos premium tardan más en construirse. Townhouse no muestra esta relación (+0.03) porque la categoría es heterogénea.</w:t>
      </w:r>
    </w:p>
    <w:bookmarkEnd w:id="70"/>
    <w:bookmarkStart w:id="74" w:name="distribuciones-marginales-del-producto"/>
    <w:p>
      <w:pPr>
        <w:pStyle w:val="Heading2"/>
      </w:pPr>
      <w:r>
        <w:t xml:space="preserve">6.6 Distribuciones marginales del producto</w:t>
      </w:r>
    </w:p>
    <w:p>
      <w:pPr>
        <w:pStyle w:val="CaptionedFigure"/>
      </w:pPr>
      <w:r>
        <w:drawing>
          <wp:inline>
            <wp:extent cx="5334000" cy="4621904"/>
            <wp:effectExtent b="0" l="0" r="0" t="0"/>
            <wp:docPr descr="Distribuciones empíricas de variables del producto por familia" title="" id="72" name="Picture"/>
            <a:graphic>
              <a:graphicData uri="http://schemas.openxmlformats.org/drawingml/2006/picture">
                <pic:pic>
                  <pic:nvPicPr>
                    <pic:cNvPr descr="figures/06_marginales_producto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Distribuciones empíricas de variables del producto por familia</w:t>
      </w:r>
    </w:p>
    <w:p>
      <w:pPr>
        <w:pStyle w:val="BodyText"/>
      </w:pPr>
      <w:r>
        <w:t xml:space="preserve">La grilla muestra cómo se distribuyen las 4 variables clave del producto en cada una de las 4 familias. Observaciones: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Precio (UF/m²)</w:t>
      </w:r>
      <w:r>
        <w:t xml:space="preserve">: TH tiene la cola derecha más amplia (precios premium); DS19 tiene la distribución más concentrada (precio acotado por subsidio).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Velocidad (uds/mes)</w:t>
      </w:r>
      <w:r>
        <w:t xml:space="preserve">: distribuciones fuertemente sesgadas a la derecha en todas las familias (la mayoría de proyectos vende lento, pocos venden muy rápido). DS19 tiene la cola más amplia hacia velocidades altas (proyectos masivos pueden vender 10+ uds/mes en su mejor mes).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Plazo</w:t>
      </w:r>
      <w:r>
        <w:t xml:space="preserve">: distribuciones aproximadamente unimodales centradas en 18-25 meses según familia. DS19 tiende a plazos más largos (27 meses mediana).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Tamaño</w:t>
      </w:r>
      <w:r>
        <w:t xml:space="preserve">: DS19 muy concentrado (43-62 m² por subsidio); TH y Casa muestran amplias colas hacia productos grandes (&gt;180 m²).</w:t>
      </w:r>
    </w:p>
    <w:bookmarkEnd w:id="74"/>
    <w:bookmarkEnd w:id="75"/>
    <w:bookmarkStart w:id="82" w:name="cópulas-teoría-y-aplicación"/>
    <w:p>
      <w:pPr>
        <w:pStyle w:val="Heading1"/>
      </w:pPr>
      <w:r>
        <w:t xml:space="preserve">7. Cópulas: teoría y aplicación</w:t>
      </w:r>
    </w:p>
    <w:bookmarkStart w:id="76" w:name="qué-es-una-cópula-y-por-qué-importa"/>
    <w:p>
      <w:pPr>
        <w:pStyle w:val="Heading2"/>
      </w:pPr>
      <w:r>
        <w:t xml:space="preserve">7.1 ¿Qué es una cópula y por qué importa?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cópula</w:t>
      </w:r>
      <w:r>
        <w:t xml:space="preserve"> </w:t>
      </w:r>
      <w:r>
        <w:t xml:space="preserve">es una función matemática que describe la</w:t>
      </w:r>
      <w:r>
        <w:t xml:space="preserve"> </w:t>
      </w:r>
      <w:r>
        <w:rPr>
          <w:b/>
          <w:bCs/>
        </w:rPr>
        <w:t xml:space="preserve">estructura de dependencia</w:t>
      </w:r>
      <w:r>
        <w:t xml:space="preserve"> </w:t>
      </w:r>
      <w:r>
        <w:t xml:space="preserve">entre variables aleatorias, separadamente de sus distribuciones marginales individuales.</w:t>
      </w:r>
    </w:p>
    <w:p>
      <w:pPr>
        <w:pStyle w:val="BodyText"/>
      </w:pPr>
      <w:r>
        <w:t xml:space="preserve">Formalmente (teorema de Sklar, 1959): para cualquier distribución conjunta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 marginales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existe una cópula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La cópula</w:t>
      </w:r>
      <w:r>
        <w:t xml:space="preserve"> </w:t>
      </w:r>
      <w:r>
        <w:rPr>
          <w:b/>
          <w:bCs/>
        </w:rPr>
        <w:t xml:space="preserve">toma valores en [0,1]^n</w:t>
      </w:r>
      <w:r>
        <w:t xml:space="preserve"> </w:t>
      </w:r>
      <w:r>
        <w:t xml:space="preserve">y describe únicamente cómo las variables se relacionan, no cómo se distribuyen individualmente. Esto permite:</w:t>
      </w:r>
    </w:p>
    <w:p>
      <w:pPr>
        <w:pStyle w:val="Compact"/>
        <w:numPr>
          <w:ilvl w:val="0"/>
          <w:numId w:val="1012"/>
        </w:numPr>
      </w:pPr>
      <w:r>
        <w:t xml:space="preserve">Modelar marginales empíricas (sin asumir Normal/Triangular)</w:t>
      </w:r>
      <w:r>
        <w:t xml:space="preserve"> </w:t>
      </w:r>
      <w:r>
        <w:rPr>
          <w:b/>
          <w:bCs/>
        </w:rPr>
        <w:t xml:space="preserve">separadamente</w:t>
      </w:r>
      <w:r>
        <w:t xml:space="preserve"> </w:t>
      </w:r>
      <w:r>
        <w:t xml:space="preserve">de las correlaciones.</w:t>
      </w:r>
    </w:p>
    <w:p>
      <w:pPr>
        <w:pStyle w:val="Compact"/>
        <w:numPr>
          <w:ilvl w:val="0"/>
          <w:numId w:val="1012"/>
        </w:numPr>
      </w:pPr>
      <w:r>
        <w:t xml:space="preserve">Especificar correlaciones distintas para distintas regiones de las distribuciones (e.g., correlación más fuerte en colas que en el centro).</w:t>
      </w:r>
    </w:p>
    <w:p>
      <w:pPr>
        <w:pStyle w:val="Compact"/>
        <w:numPr>
          <w:ilvl w:val="0"/>
          <w:numId w:val="1012"/>
        </w:numPr>
      </w:pPr>
      <w:r>
        <w:t xml:space="preserve">Construir distribuciones conjuntas multivariadas con cualquier mezcla de tipos marginales.</w:t>
      </w:r>
    </w:p>
    <w:bookmarkEnd w:id="76"/>
    <w:bookmarkStart w:id="79" w:name="cópula-gaussiana-vs.-cópula-t"/>
    <w:p>
      <w:pPr>
        <w:pStyle w:val="Heading2"/>
      </w:pPr>
      <w:r>
        <w:t xml:space="preserve">7.2 Cópula Gaussiana vs. cópula t</w:t>
      </w:r>
    </w:p>
    <w:bookmarkStart w:id="77" w:name="cópula-gaussiana"/>
    <w:p>
      <w:pPr>
        <w:pStyle w:val="Heading3"/>
      </w:pPr>
      <w:r>
        <w:t xml:space="preserve">Cópula Gaussiana</w:t>
      </w:r>
    </w:p>
    <w:p>
      <w:pPr>
        <w:pStyle w:val="FirstParagraph"/>
      </w:pPr>
      <w:r>
        <w:t xml:space="preserve">La cópula Gaussiana es la más simple. Asume que la dependencia se puede modelar como si las variables fueran multivariadas normales (después de transformar las marginales mediante CDF inversa Normal).</w:t>
      </w:r>
    </w:p>
    <w:p>
      <w:pPr>
        <w:pStyle w:val="BodyText"/>
      </w:pPr>
      <w:r>
        <w:rPr>
          <w:b/>
          <w:bCs/>
        </w:rPr>
        <w:t xml:space="preserve">Propiedad clave</w:t>
      </w:r>
      <w:r>
        <w:t xml:space="preserve">: bajo cópula Gaussiana, eventos extremos en distintas variables son</w:t>
      </w:r>
      <w:r>
        <w:t xml:space="preserve"> </w:t>
      </w:r>
      <w:r>
        <w:rPr>
          <w:b/>
          <w:bCs/>
        </w:rPr>
        <w:t xml:space="preserve">asintóticamente independientes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q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r>
            <m:t>q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para cualquier correlación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Implicancia económica</w:t>
      </w:r>
      <w:r>
        <w:t xml:space="preserve">: bajo Gaussiana, la probabilidad de</w:t>
      </w:r>
      <w:r>
        <w:t xml:space="preserve"> </w:t>
      </w:r>
      <w:r>
        <w:t xml:space="preserve">“todas las macros caen al P5 simultáneamente”</w:t>
      </w:r>
      <w:r>
        <w:t xml:space="preserve"> </w:t>
      </w:r>
      <w:r>
        <w:t xml:space="preserve">tiende a cero asintóticamente,</w:t>
      </w:r>
      <w:r>
        <w:t xml:space="preserve"> </w:t>
      </w:r>
      <w:r>
        <w:rPr>
          <w:b/>
          <w:bCs/>
        </w:rPr>
        <w:t xml:space="preserve">incluso si las correlaciones son −0.5</w:t>
      </w:r>
      <w:r>
        <w:t xml:space="preserve">. Esto</w:t>
      </w:r>
      <w:r>
        <w:t xml:space="preserve"> </w:t>
      </w:r>
      <w:r>
        <w:rPr>
          <w:b/>
          <w:bCs/>
        </w:rPr>
        <w:t xml:space="preserve">subestima dramáticamente el riesgo de crisis</w:t>
      </w:r>
      <w:r>
        <w:t xml:space="preserve"> </w:t>
      </w:r>
      <w:r>
        <w:t xml:space="preserve">sistémicas.</w:t>
      </w:r>
    </w:p>
    <w:p>
      <w:pPr>
        <w:pStyle w:val="BodyText"/>
      </w:pPr>
      <w:r>
        <w:t xml:space="preserve">Esto fue uno de los factores que contribuyó a la subestimación del riesgo en CDOs hipotecarios pre-2008 (David Li,</w:t>
      </w:r>
      <w:r>
        <w:t xml:space="preserve"> </w:t>
      </w:r>
      <w:r>
        <w:rPr>
          <w:i/>
          <w:iCs/>
        </w:rPr>
        <w:t xml:space="preserve">On Default Correlation: A Copula Function Approach</w:t>
      </w:r>
      <w:r>
        <w:t xml:space="preserve">, 2000) y motivó la migración de la industria financiera hacia cópulas con tail dependence.</w:t>
      </w:r>
    </w:p>
    <w:bookmarkEnd w:id="77"/>
    <w:bookmarkStart w:id="78" w:name="cópula-t-student"/>
    <w:p>
      <w:pPr>
        <w:pStyle w:val="Heading3"/>
      </w:pPr>
      <w:r>
        <w:t xml:space="preserve">Cópula t (Student)</w:t>
      </w:r>
    </w:p>
    <w:p>
      <w:pPr>
        <w:pStyle w:val="FirstParagraph"/>
      </w:pPr>
      <w:r>
        <w:t xml:space="preserve">La cópula t deriva de la distribución t multivariada. Tiene un parámetro extra ν (grados de libertad) y captura</w:t>
      </w:r>
      <w:r>
        <w:t xml:space="preserve"> </w:t>
      </w:r>
      <w:r>
        <w:rPr>
          <w:b/>
          <w:bCs/>
        </w:rPr>
        <w:t xml:space="preserve">tail dependence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q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r>
            <m:t>q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ν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rad>
            </m:e>
          </m:d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ν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 ν=4 y ρ=0.5</w:t>
      </w:r>
      <w:r>
        <w:t xml:space="preserve">, esta probabilidad es ≈ 0.18 — es decir, dado que una variable cae al P5, la otra tiene 18% de probabilidad de caer al P5 también. Bajo Gaussiana sería 0.</w:t>
      </w:r>
    </w:p>
    <w:p>
      <w:pPr>
        <w:pStyle w:val="BodyText"/>
      </w:pPr>
      <w:r>
        <w:rPr>
          <w:b/>
          <w:bCs/>
        </w:rPr>
        <w:t xml:space="preserve">Convergencia</w:t>
      </w:r>
      <w:r>
        <w:t xml:space="preserve">: cuando ν → ∞, la cópula t converge a la Gaussiana. Para ν pequeño, las colas son más pesadas y más dependientes.</w:t>
      </w:r>
    </w:p>
    <w:p>
      <w:pPr>
        <w:pStyle w:val="BodyText"/>
      </w:pPr>
      <w:r>
        <w:rPr>
          <w:b/>
          <w:bCs/>
        </w:rPr>
        <w:t xml:space="preserve">Elección de ν=4 en este modelo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Estándar industria para riesgo de crédito y operacional (S&amp;P, Moody’s, modelos Basel III).</w:t>
      </w:r>
    </w:p>
    <w:p>
      <w:pPr>
        <w:pStyle w:val="Compact"/>
        <w:numPr>
          <w:ilvl w:val="0"/>
          <w:numId w:val="1013"/>
        </w:numPr>
      </w:pPr>
      <w:r>
        <w:t xml:space="preserve">Aplicable a real estate por similar comportamiento de tail (eventos extremos correlacionados).</w:t>
      </w:r>
    </w:p>
    <w:p>
      <w:pPr>
        <w:pStyle w:val="Compact"/>
        <w:numPr>
          <w:ilvl w:val="0"/>
          <w:numId w:val="1013"/>
        </w:numPr>
      </w:pPr>
      <w:r>
        <w:t xml:space="preserve">ν &lt; 4 produce demasiada masa en colas; ν &gt; 8 colapsa hacia Gaussiana.</w:t>
      </w:r>
    </w:p>
    <w:bookmarkEnd w:id="78"/>
    <w:bookmarkEnd w:id="79"/>
    <w:bookmarkStart w:id="80" w:name="conversión-spearman-pearson"/>
    <w:p>
      <w:pPr>
        <w:pStyle w:val="Heading2"/>
      </w:pPr>
      <w:r>
        <w:t xml:space="preserve">7.3 Conversión Spearman → Pearson</w:t>
      </w:r>
    </w:p>
    <w:p>
      <w:pPr>
        <w:pStyle w:val="FirstParagraph"/>
      </w:pPr>
      <w:r>
        <w:t xml:space="preserve">La cópula se calibra con la matriz de correlación</w:t>
      </w:r>
      <w:r>
        <w:t xml:space="preserve"> </w:t>
      </w:r>
      <w:r>
        <w:rPr>
          <w:b/>
          <w:bCs/>
        </w:rPr>
        <w:t xml:space="preserve">Spearman</w:t>
      </w:r>
      <w:r>
        <w:t xml:space="preserve">, no Pearson. Razones: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Spearman es invariante a transformaciones monótonas</w:t>
      </w:r>
      <w:r>
        <w:t xml:space="preserve"> </w:t>
      </w:r>
      <w:r>
        <w:t xml:space="preserve">de las variables — útil cuando las marginales no son normales.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Spearman captura dependencia de rangos</w:t>
      </w:r>
      <w:r>
        <w:t xml:space="preserve">, lo apropiado para cópulas.</w:t>
      </w:r>
    </w:p>
    <w:p>
      <w:pPr>
        <w:pStyle w:val="Compact"/>
        <w:numPr>
          <w:ilvl w:val="0"/>
          <w:numId w:val="1014"/>
        </w:numPr>
      </w:pPr>
      <w:r>
        <w:t xml:space="preserve">La conversión Spearman → Pearson para cópulas elípticas (Gaussiana, t) es exacta: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Pearson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Spearman</m:t>
                  </m:r>
                </m:sub>
              </m:sSub>
            </m:e>
          </m:d>
        </m:oMath>
      </m:oMathPara>
    </w:p>
    <w:bookmarkEnd w:id="80"/>
    <w:bookmarkStart w:id="81" w:name="calibración-iman-conover"/>
    <w:p>
      <w:pPr>
        <w:pStyle w:val="Heading2"/>
      </w:pPr>
      <w:r>
        <w:t xml:space="preserve">7.4 Calibración Iman-Conover</w:t>
      </w:r>
    </w:p>
    <w:p>
      <w:pPr>
        <w:pStyle w:val="FirstParagraph"/>
      </w:pPr>
      <w:r>
        <w:t xml:space="preserve">La conversión Spearman → Pearson vía la fórmula del seno es</w:t>
      </w:r>
      <w:r>
        <w:t xml:space="preserve"> </w:t>
      </w:r>
      <w:r>
        <w:rPr>
          <w:b/>
          <w:bCs/>
        </w:rPr>
        <w:t xml:space="preserve">exacta para cópula Gaussiana</w:t>
      </w:r>
      <w:r>
        <w:t xml:space="preserve">. Para cópula t con ν=4, introduce un sesgo de aproximadamente ±5-10% en las correlaciones efectivas. La técnica</w:t>
      </w:r>
      <w:r>
        <w:t xml:space="preserve"> </w:t>
      </w:r>
      <w:r>
        <w:rPr>
          <w:b/>
          <w:bCs/>
        </w:rPr>
        <w:t xml:space="preserve">Iman-Conover</w:t>
      </w:r>
      <w:r>
        <w:t xml:space="preserve"> </w:t>
      </w:r>
      <w:r>
        <w:t xml:space="preserve">(1982) corrige este sesgo iterativamente:</w:t>
      </w:r>
    </w:p>
    <w:p>
      <w:pPr>
        <w:pStyle w:val="SourceCode"/>
      </w:pPr>
      <w:r>
        <w:rPr>
          <w:rStyle w:val="VerbatimChar"/>
        </w:rPr>
        <w:t xml:space="preserve">Algoritmo Iman-Conover:</w:t>
      </w:r>
      <w:r>
        <w:br/>
      </w:r>
      <w:r>
        <w:rPr>
          <w:rStyle w:val="VerbatimChar"/>
        </w:rPr>
        <w:t xml:space="preserve">1. Construir R_p inicial vía fórmula del seno desde Spearman target</w:t>
      </w:r>
      <w:r>
        <w:br/>
      </w:r>
      <w:r>
        <w:rPr>
          <w:rStyle w:val="VerbatimChar"/>
        </w:rPr>
        <w:t xml:space="preserve">2. Repetir hasta convergencia:</w:t>
      </w:r>
      <w:r>
        <w:br/>
      </w:r>
      <w:r>
        <w:rPr>
          <w:rStyle w:val="VerbatimChar"/>
        </w:rPr>
        <w:t xml:space="preserve">   a. Cholesky-decomponer R_p actual → L</w:t>
      </w:r>
      <w:r>
        <w:br/>
      </w:r>
      <w:r>
        <w:rPr>
          <w:rStyle w:val="VerbatimChar"/>
        </w:rPr>
        <w:t xml:space="preserve">   b. Samplear N draws con t-cópula(L, ν=4)</w:t>
      </w:r>
      <w:r>
        <w:br/>
      </w:r>
      <w:r>
        <w:rPr>
          <w:rStyle w:val="VerbatimChar"/>
        </w:rPr>
        <w:t xml:space="preserve">   c. Calcular Spearman observado en los N samples</w:t>
      </w:r>
      <w:r>
        <w:br/>
      </w:r>
      <w:r>
        <w:rPr>
          <w:rStyle w:val="VerbatimChar"/>
        </w:rPr>
        <w:t xml:space="preserve">   d. Actualizar: R_p ← R_p + α·(Spearman_target − Spearman_observado)</w:t>
      </w:r>
      <w:r>
        <w:br/>
      </w:r>
      <w:r>
        <w:rPr>
          <w:rStyle w:val="VerbatimChar"/>
        </w:rPr>
        <w:t xml:space="preserve">3. Devolver R_p calibrada</w:t>
      </w:r>
    </w:p>
    <w:p>
      <w:pPr>
        <w:pStyle w:val="FirstParagraph"/>
      </w:pPr>
      <w:r>
        <w:t xml:space="preserve">En la implementación del modelo: 4 iteraciones, α = 0.85, N = 3.000 draws internos.</w:t>
      </w:r>
      <w:r>
        <w:t xml:space="preserve"> </w:t>
      </w:r>
      <w:r>
        <w:rPr>
          <w:b/>
          <w:bCs/>
        </w:rPr>
        <w:t xml:space="preserve">Error máximo de correlación post-calibración</w:t>
      </w:r>
      <w:r>
        <w:t xml:space="preserve">: &lt; 0.06 (vs. ~0.10 sin calibración).</w:t>
      </w:r>
    </w:p>
    <w:bookmarkEnd w:id="81"/>
    <w:bookmarkEnd w:id="82"/>
    <w:bookmarkStart w:id="90" w:name="validación-empírica-del-modelo"/>
    <w:p>
      <w:pPr>
        <w:pStyle w:val="Heading1"/>
      </w:pPr>
      <w:r>
        <w:t xml:space="preserve">8. Validación empírica del modelo</w:t>
      </w:r>
    </w:p>
    <w:bookmarkStart w:id="83" w:name="test-de-respuesta-a-presets-históricos"/>
    <w:p>
      <w:pPr>
        <w:pStyle w:val="Heading2"/>
      </w:pPr>
      <w:r>
        <w:t xml:space="preserve">8.1 Test de respuesta a presets históricos</w:t>
      </w:r>
    </w:p>
    <w:p>
      <w:pPr>
        <w:pStyle w:val="FirstParagraph"/>
      </w:pPr>
      <w:r>
        <w:t xml:space="preserve">Para verificar que el factor model produce distribuciones distintas para distintos escenarios macro, se ejecutó un test integrado con 3.000 iteraciones por preset, familia Edificio 4-6 pisos, baseline incidencia 14.0%: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Interpretación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base_esperado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Centro empírico 2010-2024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subprime_2009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−1.49 pp</w:t>
            </w:r>
          </w:p>
        </w:tc>
        <w:tc>
          <w:tcPr/>
          <w:p>
            <w:pPr>
              <w:pStyle w:val="Compact"/>
            </w:pPr>
            <w:r>
              <w:t xml:space="preserve">Crisis suave (Chile aguantó bien 2009)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estallido_covid_2019_2020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13.02%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−2.05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Crisis con costos altos: margen comprime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boom_post_covid_2021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−0.36 pp</w:t>
            </w:r>
          </w:p>
        </w:tc>
        <w:tc>
          <w:tcPr/>
          <w:p>
            <w:pPr>
              <w:pStyle w:val="Compact"/>
            </w:pPr>
            <w:r>
              <w:t xml:space="preserve">Boom pero con poco impacto en costos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slowdown_2023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 cayó −16%: gran alivio de costos → mejor margen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Validación de signo económico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Crisis con shock de costo (+5.7% ICOI en COVID) → margen comprime → incidencia cae</w:t>
      </w:r>
      <w:r>
        <w:t xml:space="preserve"> </w:t>
      </w:r>
      <w:r>
        <w:rPr>
          <w:b/>
          <w:bCs/>
        </w:rPr>
        <w:t xml:space="preserve">−2 pp</w:t>
      </w:r>
      <w:r>
        <w:t xml:space="preserve"> </w:t>
      </w:r>
      <w:r>
        <w:t xml:space="preserve">→ land value cae ~14%.</w:t>
      </w:r>
    </w:p>
    <w:p>
      <w:pPr>
        <w:pStyle w:val="Compact"/>
        <w:numPr>
          <w:ilvl w:val="0"/>
          <w:numId w:val="1015"/>
        </w:numPr>
      </w:pPr>
      <w:r>
        <w:t xml:space="preserve">Slowdown con caída de costos (−16% ICOI en 2023) → margen alivia → incidencia sube</w:t>
      </w:r>
      <w:r>
        <w:t xml:space="preserve"> </w:t>
      </w:r>
      <w:r>
        <w:rPr>
          <w:b/>
          <w:bCs/>
        </w:rPr>
        <w:t xml:space="preserve">+7 pp</w:t>
      </w:r>
      <w:r>
        <w:t xml:space="preserve"> </w:t>
      </w:r>
      <w:r>
        <w:t xml:space="preserve">→ land value sube ~50%.</w:t>
      </w:r>
    </w:p>
    <w:p>
      <w:pPr>
        <w:pStyle w:val="FirstParagraph"/>
      </w:pPr>
      <w:r>
        <w:t xml:space="preserve">Ambos comportamientos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83"/>
    <w:bookmarkStart w:id="85" w:name="test-de-marginales-empíricas"/>
    <w:p>
      <w:pPr>
        <w:pStyle w:val="Heading2"/>
      </w:pPr>
      <w:r>
        <w:t xml:space="preserve">8.2 Test de marginales empíricas</w:t>
      </w:r>
    </w:p>
    <w:p>
      <w:pPr>
        <w:pStyle w:val="FirstParagraph"/>
      </w:pPr>
      <w:r>
        <w:t xml:space="preserve">Validación de que las marginales sampleadas reproducen las observadas en TINSA (por familia, 5.000 draws):</w:t>
      </w:r>
    </w:p>
    <w:bookmarkStart w:id="84" w:name="edificio-4-6-pisos-n15.633-obs"/>
    <w:p>
      <w:pPr>
        <w:pStyle w:val="Heading3"/>
      </w:pPr>
      <w:r>
        <w:t xml:space="preserve">Edificio 4-6 pisos (n=15.633 obs)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(mean / p10 / p50 / p90)</w:t>
            </w:r>
          </w:p>
        </w:tc>
        <w:tc>
          <w:tcPr/>
          <w:p>
            <w:pPr>
              <w:pStyle w:val="Compact"/>
            </w:pPr>
            <w:r>
              <w:t xml:space="preserve">Empírico TINSA</w:t>
            </w:r>
          </w:p>
        </w:tc>
        <w:tc>
          <w:tcPr/>
          <w:p>
            <w:pPr>
              <w:pStyle w:val="Compact"/>
            </w:pPr>
            <w:r>
              <w:t xml:space="preserve">Δ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 / 38.5 / 73.3 / 105.0</w:t>
            </w:r>
          </w:p>
        </w:tc>
        <w:tc>
          <w:tcPr/>
          <w:p>
            <w:pPr>
              <w:pStyle w:val="Compact"/>
            </w:pPr>
            <w:r>
              <w:t xml:space="preserve">72.26 / 37.0 / 72.9 / 105.0</w:t>
            </w:r>
          </w:p>
        </w:tc>
        <w:tc>
          <w:tcPr/>
          <w:p>
            <w:pPr>
              <w:pStyle w:val="Compact"/>
            </w:pPr>
            <w:r>
              <w:t xml:space="preserve">−0.1%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 / 0.30 / 0.40 / 1.70</w:t>
            </w:r>
          </w:p>
        </w:tc>
        <w:tc>
          <w:tcPr/>
          <w:p>
            <w:pPr>
              <w:pStyle w:val="Compact"/>
            </w:pPr>
            <w:r>
              <w:t xml:space="preserve">0.82 / 0.30 / 0.40 / 1.70</w:t>
            </w:r>
          </w:p>
        </w:tc>
        <w:tc>
          <w:tcPr/>
          <w:p>
            <w:pPr>
              <w:pStyle w:val="Compact"/>
            </w:pPr>
            <w:r>
              <w:t xml:space="preserve">−0.9%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 / 12.5 / 24.3 / 38.5</w:t>
            </w:r>
          </w:p>
        </w:tc>
        <w:tc>
          <w:tcPr/>
          <w:p>
            <w:pPr>
              <w:pStyle w:val="Compact"/>
            </w:pPr>
            <w:r>
              <w:t xml:space="preserve">24.76 / 12.5 / 23.8 / 38.5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t xml:space="preserve">0.02 / 0.0 / 0.0 / 0.08</w:t>
            </w:r>
          </w:p>
        </w:tc>
        <w:tc>
          <w:tcPr/>
          <w:p>
            <w:pPr>
              <w:pStyle w:val="Compact"/>
            </w:pPr>
            <w:r>
              <w:t xml:space="preserve">0.02 / 0.0 / 0.0 / 0.08</w:t>
            </w:r>
          </w:p>
        </w:tc>
        <w:tc>
          <w:tcPr/>
          <w:p>
            <w:pPr>
              <w:pStyle w:val="Compact"/>
            </w:pPr>
            <w:r>
              <w:t xml:space="preserve">−4.7%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 / 47.9 / 80.5 / 187.6</w:t>
            </w:r>
          </w:p>
        </w:tc>
        <w:tc>
          <w:tcPr/>
          <w:p>
            <w:pPr>
              <w:pStyle w:val="Compact"/>
            </w:pPr>
            <w:r>
              <w:t xml:space="preserve">104.7 / 47.9 / 80.1 / 187.6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mean para todas las variables principales. La cópula reproduce fielmente las marginales empíricas.</w:t>
      </w:r>
    </w:p>
    <w:bookmarkEnd w:id="84"/>
    <w:bookmarkEnd w:id="85"/>
    <w:bookmarkStart w:id="89" w:name="tornado-de-sensibilidad-esperado"/>
    <w:p>
      <w:pPr>
        <w:pStyle w:val="Heading2"/>
      </w:pPr>
      <w:r>
        <w:t xml:space="preserve">8.3 Tornado de sensibilidad esperado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 en modo Factor Macro" title="" id="87" name="Picture"/>
            <a:graphic>
              <a:graphicData uri="http://schemas.openxmlformats.org/drawingml/2006/picture">
                <pic:pic>
                  <pic:nvPicPr>
                    <pic:cNvPr descr="figures/08_tornado_esperado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 en modo Factor Macro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Coeficiente Spearman con VAN</w:t>
            </w:r>
          </w:p>
        </w:tc>
        <w:tc>
          <w:tcPr/>
          <w:p>
            <w:pPr>
              <w:pStyle w:val="Compact"/>
            </w:pPr>
            <w:r>
              <w:t xml:space="preserve">Contribución a varianza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+0.55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(residual)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(residual)</w:t>
            </w:r>
          </w:p>
        </w:tc>
        <w:tc>
          <w:tcPr/>
          <w:p>
            <w:pPr>
              <w:pStyle w:val="Compact"/>
            </w:pPr>
            <w:r>
              <w:t xml:space="preserve">−0.30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+0.25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 (plusvalía, PRC, costos infra/mit/san)</w:t>
            </w:r>
          </w:p>
        </w:tc>
        <w:tc>
          <w:tcPr/>
          <w:p>
            <w:pPr>
              <w:pStyle w:val="Compact"/>
            </w:pPr>
            <w:r>
              <w:t xml:space="preserve">varios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modo paramétrico</w:t>
      </w:r>
      <w:r>
        <w:t xml:space="preserve"> </w:t>
      </w:r>
      <w:r>
        <w:t xml:space="preserve">(versión anterior): el ticket dominaba 92.6% de la varianza por la falta de costo y plazo como variables. La inclusión de las 4 variables del proyecto producto las cuales 3 son significativas balancea el modelo correctamente.</w:t>
      </w:r>
    </w:p>
    <w:bookmarkEnd w:id="89"/>
    <w:bookmarkEnd w:id="90"/>
    <w:bookmarkStart w:id="99" w:name="Xf4b6e55dcc782cc06ac1e67dc8d4e9f2000159a"/>
    <w:p>
      <w:pPr>
        <w:pStyle w:val="Heading1"/>
      </w:pPr>
      <w:r>
        <w:t xml:space="preserve">9. Bugs detectados durante la calibración (transparencia)</w:t>
      </w:r>
    </w:p>
    <w:p>
      <w:pPr>
        <w:pStyle w:val="FirstParagraph"/>
      </w:pPr>
      <w:r>
        <w:t xml:space="preserve">Durante el proceso de validación se detectaron y corrigieron</w:t>
      </w:r>
      <w:r>
        <w:t xml:space="preserve"> </w:t>
      </w:r>
      <w:r>
        <w:rPr>
          <w:b/>
          <w:bCs/>
        </w:rPr>
        <w:t xml:space="preserve">dos bugs críticos</w:t>
      </w:r>
      <w:r>
        <w:t xml:space="preserve"> </w:t>
      </w:r>
      <w:r>
        <w:t xml:space="preserve">en versiones previas del modelo. Se documentan aquí con fines de transparencia y trazabilidad.</w:t>
      </w:r>
    </w:p>
    <w:bookmarkStart w:id="94" w:name="Xb961635ff68c9219bcd1c4fc59e9daf0318bc63"/>
    <w:p>
      <w:pPr>
        <w:pStyle w:val="Heading2"/>
      </w:pPr>
      <w:r>
        <w:t xml:space="preserve">9.1 Bug 1: Bias positivo aplastando los presets</w:t>
      </w:r>
    </w:p>
    <w:bookmarkStart w:id="91" w:name="síntoma"/>
    <w:p>
      <w:pPr>
        <w:pStyle w:val="Heading3"/>
      </w:pPr>
      <w:r>
        <w:t xml:space="preserve">Síntoma</w:t>
      </w:r>
    </w:p>
    <w:p>
      <w:pPr>
        <w:pStyle w:val="FirstParagraph"/>
      </w:pPr>
      <w:r>
        <w:t xml:space="preserve">Las distribuciones de precio_yoy entre presets (Base vs. COVID vs. Boom) eran prácticamente idénticas. El test estadístico Cohen d entre Boom 2021 y COVID 2020 daba</w:t>
      </w:r>
      <w:r>
        <w:t xml:space="preserve"> </w:t>
      </w:r>
      <w:r>
        <w:rPr>
          <w:b/>
          <w:bCs/>
        </w:rPr>
        <w:t xml:space="preserve">0.06</w:t>
      </w:r>
      <w:r>
        <w:t xml:space="preserve"> </w:t>
      </w:r>
      <w:r>
        <w:t xml:space="preserve">— efecto despreciable, cuando se esperaba uno significativo dado el contraste macro.</w:t>
      </w:r>
    </w:p>
    <w:bookmarkEnd w:id="91"/>
    <w:bookmarkStart w:id="92" w:name="causa-raíz"/>
    <w:p>
      <w:pPr>
        <w:pStyle w:val="Heading3"/>
      </w:pPr>
      <w:r>
        <w:t xml:space="preserve">Causa raíz</w:t>
      </w:r>
    </w:p>
    <w:p>
      <w:pPr>
        <w:pStyle w:val="FirstParagraph"/>
      </w:pPr>
      <w:r>
        <w:t xml:space="preserve">La calibración inicial del shock de precio incluía un término de bias: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precio_yoy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IPV_sampleado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bias</m:t>
              </m:r>
            </m:e>
            <m:sub>
              <m:r>
                <m:rPr>
                  <m:nor/>
                  <m:sty m:val="p"/>
                </m:rPr>
                <m:t>histórico</m:t>
              </m:r>
            </m:sub>
          </m:sSub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bias_histórico = mean(precio_yoy_TINSA - IPV_familiar_yoy)</w:t>
      </w:r>
      <w:r>
        <w:t xml:space="preserve"> </w:t>
      </w:r>
      <w:r>
        <w:t xml:space="preserve">— para Edif 4p, este bias era</w:t>
      </w:r>
      <w:r>
        <w:t xml:space="preserve"> </w:t>
      </w:r>
      <w:r>
        <w:rPr>
          <w:b/>
          <w:bCs/>
        </w:rPr>
        <w:t xml:space="preserve">+7.09 pp</w:t>
      </w:r>
      <w:r>
        <w:t xml:space="preserve">.</w:t>
      </w:r>
    </w:p>
    <w:p>
      <w:pPr>
        <w:pStyle w:val="BodyText"/>
      </w:pPr>
      <w:r>
        <w:t xml:space="preserve">El bias representa el</w:t>
      </w:r>
      <w:r>
        <w:t xml:space="preserve"> </w:t>
      </w:r>
      <w:r>
        <w:rPr>
          <w:b/>
          <w:bCs/>
        </w:rPr>
        <w:t xml:space="preserve">drift composicional</w:t>
      </w:r>
      <w:r>
        <w:t xml:space="preserve"> </w:t>
      </w:r>
      <w:r>
        <w:t xml:space="preserve">entre TINSA agregada (que captura mix cambiante de proyectos: más premium con el tiempo) y el IPV controlado por composición. Es una</w:t>
      </w:r>
      <w:r>
        <w:t xml:space="preserve"> </w:t>
      </w:r>
      <w:r>
        <w:rPr>
          <w:b/>
          <w:bCs/>
        </w:rPr>
        <w:t xml:space="preserve">tendencia secular</w:t>
      </w:r>
      <w:r>
        <w:t xml:space="preserve">, no un shock cíclico — y al sumarse en cada iteración independientemente del preset, dominaba sobre los shifts que los presets buscaban inducir.</w:t>
      </w:r>
    </w:p>
    <w:bookmarkEnd w:id="92"/>
    <w:bookmarkStart w:id="93" w:name="resolución"/>
    <w:p>
      <w:pPr>
        <w:pStyle w:val="Heading3"/>
      </w:pPr>
      <w:r>
        <w:t xml:space="preserve">Resolución</w:t>
      </w:r>
    </w:p>
    <w:p>
      <w:pPr>
        <w:pStyle w:val="FirstParagraph"/>
      </w:pPr>
      <w:r>
        <w:t xml:space="preserve">El bias fue removido. Ahora: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precio_yoy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IPV_sampleado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El drift composicional ahora queda absorbido en el baseline del residual (representante guardado en el simulador residual), donde corresponde estructuralmente.</w:t>
      </w:r>
    </w:p>
    <w:bookmarkEnd w:id="93"/>
    <w:bookmarkEnd w:id="94"/>
    <w:bookmarkStart w:id="98" w:name="Xf27b26b972597196ab8004051fb4237177e6f4e"/>
    <w:p>
      <w:pPr>
        <w:pStyle w:val="Heading2"/>
      </w:pPr>
      <w:r>
        <w:t xml:space="preserve">9.2 Bug 2: Sensibilidades faltantes en representantes guardados</w:t>
      </w:r>
    </w:p>
    <w:bookmarkStart w:id="95" w:name="síntoma-1"/>
    <w:p>
      <w:pPr>
        <w:pStyle w:val="Heading3"/>
      </w:pPr>
      <w:r>
        <w:t xml:space="preserve">Síntoma</w:t>
      </w:r>
    </w:p>
    <w:p>
      <w:pPr>
        <w:pStyle w:val="FirstParagraph"/>
      </w:pPr>
      <w:r>
        <w:t xml:space="preserve">El usuario reportó que distintos presets seguían dando</w:t>
      </w:r>
      <w:r>
        <w:t xml:space="preserve"> </w:t>
      </w:r>
      <w:r>
        <w:t xml:space="preserve">“los mismos resultados”</w:t>
      </w:r>
      <w:r>
        <w:t xml:space="preserve"> </w:t>
      </w:r>
      <w:r>
        <w:t xml:space="preserve">en VAN, incluso después del fix del bug 1.</w:t>
      </w:r>
    </w:p>
    <w:bookmarkEnd w:id="95"/>
    <w:bookmarkStart w:id="96" w:name="causa-raíz-1"/>
    <w:p>
      <w:pPr>
        <w:pStyle w:val="Heading3"/>
      </w:pPr>
      <w:r>
        <w:t xml:space="preserve">Causa raíz</w:t>
      </w:r>
    </w:p>
    <w:p>
      <w:pPr>
        <w:pStyle w:val="FirstParagraph"/>
      </w:pPr>
      <w:r>
        <w:t xml:space="preserve">El motor del Monte Carlo aplica los shocks de costo y plazo a la incidencia mediante</w:t>
      </w:r>
      <w:r>
        <w:t xml:space="preserve"> </w:t>
      </w:r>
      <w:r>
        <w:rPr>
          <w:b/>
          <w:bCs/>
        </w:rPr>
        <w:t xml:space="preserve">sensibilidades pre-calculadas</w:t>
      </w:r>
      <w:r>
        <w:t xml:space="preserve"> </w:t>
      </w:r>
      <w:r>
        <w:t xml:space="preserve">(∂incidencia/∂param) almacenadas con cada representante en localStorage. El cálculo de sensibilidades fue agregado posteriormente al guardado original.</w:t>
      </w:r>
      <w:r>
        <w:t xml:space="preserve"> </w:t>
      </w:r>
      <w:r>
        <w:rPr>
          <w:b/>
          <w:bCs/>
        </w:rPr>
        <w:t xml:space="preserve">Si el representante fue guardado antes de esa implementación, los shocks de costo y plazo se descartaban silenciosamente</w:t>
      </w:r>
      <w:r>
        <w:t xml:space="preserve">.</w:t>
      </w:r>
    </w:p>
    <w:bookmarkEnd w:id="96"/>
    <w:bookmarkStart w:id="97" w:name="resolución-1"/>
    <w:p>
      <w:pPr>
        <w:pStyle w:val="Heading3"/>
      </w:pPr>
      <w:r>
        <w:t xml:space="preserve">Resolución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Sensibilidades default</w:t>
      </w:r>
      <w:r>
        <w:t xml:space="preserve"> </w:t>
      </w:r>
      <w:r>
        <w:t xml:space="preserve">por familia (calibradas a partir de la sensibilidad típica del residual chileno).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Panel de diagnóstico en UI</w:t>
      </w:r>
      <w:r>
        <w:t xml:space="preserve"> </w:t>
      </w:r>
      <w:r>
        <w:t xml:space="preserve">que indica el estado de los representantes (verde / amarillo / rojo).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Recálculo automático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/residual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computeSensitivities()</w:t>
      </w:r>
      <w:r>
        <w:t xml:space="preserve"> </w:t>
      </w:r>
      <w:r>
        <w:t xml:space="preserve">que perturba ±5% cada parámetro.</w:t>
      </w:r>
    </w:p>
    <w:bookmarkEnd w:id="97"/>
    <w:bookmarkEnd w:id="98"/>
    <w:bookmarkEnd w:id="99"/>
    <w:bookmarkStart w:id="102" w:name="análisis-crítico-de-validez-estadística"/>
    <w:p>
      <w:pPr>
        <w:pStyle w:val="Heading1"/>
      </w:pPr>
      <w:r>
        <w:t xml:space="preserve">10. Análisis crítico de validez estadística</w:t>
      </w:r>
    </w:p>
    <w:bookmarkStart w:id="100" w:name="fortalezas"/>
    <w:p>
      <w:pPr>
        <w:pStyle w:val="Heading2"/>
      </w:pPr>
      <w:r>
        <w:t xml:space="preserve">10.1 Fortalezas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Calibración con datos reales</w:t>
            </w:r>
          </w:p>
        </w:tc>
        <w:tc>
          <w:tcPr/>
          <w:p>
            <w:pPr>
              <w:pStyle w:val="Compact"/>
            </w:pPr>
            <w:r>
              <w:t xml:space="preserve">124.531 obs TINSA + 401 trimestres macro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Marginales empíricas</w:t>
            </w:r>
          </w:p>
        </w:tc>
        <w:tc>
          <w:tcPr/>
          <w:p>
            <w:pPr>
              <w:pStyle w:val="Compact"/>
            </w:pPr>
            <w:r>
              <w:t xml:space="preserve">99 percentiles densos por variable, sin asunciones paramétricas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 tail-aware</w:t>
            </w:r>
          </w:p>
        </w:tc>
        <w:tc>
          <w:tcPr/>
          <w:p>
            <w:pPr>
              <w:pStyle w:val="Compact"/>
            </w:pPr>
            <w:r>
              <w:t xml:space="preserve">t (ν=4) calibrada con Iman-Conover (4 iter, error final &lt; 0.06)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Signos económicamente coherentes</w:t>
            </w:r>
          </w:p>
        </w:tc>
        <w:tc>
          <w:tcPr/>
          <w:p>
            <w:pPr>
              <w:pStyle w:val="Compact"/>
            </w:pPr>
            <w:r>
              <w:t xml:space="preserve">Verificados ex post (precio↔velocidad −0.38, IMACEC↔desempleo −0.26)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Reproducibilidad</w:t>
            </w:r>
          </w:p>
        </w:tc>
        <w:tc>
          <w:tcPr/>
          <w:p>
            <w:pPr>
              <w:pStyle w:val="Compact"/>
            </w:pPr>
            <w:r>
              <w:t xml:space="preserve">Seed reproducible, mismo input → mismo output bit-exacto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Auditabilidad</w:t>
            </w:r>
          </w:p>
        </w:tc>
        <w:tc>
          <w:tcPr/>
          <w:p>
            <w:pPr>
              <w:pStyle w:val="Compact"/>
            </w:pPr>
            <w:r>
              <w:t xml:space="preserve">Cada componente trazable a fuente oficial o calibración Python reproducible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 testing histórico</w:t>
            </w:r>
          </w:p>
        </w:tc>
        <w:tc>
          <w:tcPr/>
          <w:p>
            <w:pPr>
              <w:pStyle w:val="Compact"/>
            </w:pPr>
            <w:r>
              <w:t xml:space="preserve">5 presets centrados en macros reales 2009/2020/2021/2023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acoplada correctamente</w:t>
            </w:r>
          </w:p>
        </w:tc>
        <w:tc>
          <w:tcPr/>
          <w:p>
            <w:pPr>
              <w:pStyle w:val="Compact"/>
            </w:pPr>
            <w:r>
              <w:t xml:space="preserve">Misma muestra MC → ambos efectos (residual e AUDP)</w:t>
            </w:r>
          </w:p>
        </w:tc>
      </w:tr>
    </w:tbl>
    <w:bookmarkEnd w:id="100"/>
    <w:bookmarkStart w:id="101" w:name="limitaciones-explícitas"/>
    <w:p>
      <w:pPr>
        <w:pStyle w:val="Heading2"/>
      </w:pPr>
      <w:r>
        <w:t xml:space="preserve">10.2 Limitaciones explícitas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en algunas familias</w:t>
            </w:r>
          </w:p>
        </w:tc>
        <w:tc>
          <w:tcPr/>
          <w:p>
            <w:pPr>
              <w:pStyle w:val="Compact"/>
            </w:pPr>
            <w:r>
              <w:t xml:space="preserve">0.02–0.22 según familia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 con magnitud histórica; no buscamos predecir, sino propagar shocks coherentemente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Townhouse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de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lags en Capa 2</w:t>
            </w:r>
          </w:p>
        </w:tc>
        <w:tc>
          <w:tcPr/>
          <w:p>
            <w:pPr>
              <w:pStyle w:val="Compact"/>
            </w:pPr>
            <w:r>
              <w:t xml:space="preserve">Solo macros contemporáneas</w:t>
            </w:r>
          </w:p>
        </w:tc>
        <w:tc>
          <w:tcPr/>
          <w:p>
            <w:pPr>
              <w:pStyle w:val="Compact"/>
            </w:pPr>
            <w:r>
              <w:t xml:space="preserve">Probado en v2; aportó poco vs. complejidad agregada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 constante en ν=4</w:t>
            </w:r>
          </w:p>
        </w:tc>
        <w:tc>
          <w:tcPr/>
          <w:p>
            <w:pPr>
              <w:pStyle w:val="Compact"/>
            </w:pPr>
            <w:r>
              <w:t xml:space="preserve">No se calibra ν empíricamente</w:t>
            </w:r>
          </w:p>
        </w:tc>
        <w:tc>
          <w:tcPr/>
          <w:p>
            <w:pPr>
              <w:pStyle w:val="Compact"/>
            </w:pPr>
            <w:r>
              <w:t xml:space="preserve">Estándar industria; ν=4 razonable para real estate emergente</w:t>
            </w:r>
          </w:p>
        </w:tc>
      </w:tr>
    </w:tbl>
    <w:bookmarkEnd w:id="101"/>
    <w:bookmarkEnd w:id="102"/>
    <w:bookmarkStart w:id="106" w:name="conclusiones"/>
    <w:p>
      <w:pPr>
        <w:pStyle w:val="Heading1"/>
      </w:pPr>
      <w:r>
        <w:t xml:space="preserve">11. Conclusiones</w:t>
      </w:r>
    </w:p>
    <w:bookmarkStart w:id="103" w:name="X55c227ea3494c120b202c2c3dbe43f367cacfe8"/>
    <w:p>
      <w:pPr>
        <w:pStyle w:val="Heading2"/>
      </w:pPr>
      <w:r>
        <w:t xml:space="preserve">11.1 ¿Es el modelo estadísticamente contundente para tomar decisiones económicas serias?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t xml:space="preserve">El modelo es</w:t>
      </w:r>
      <w:r>
        <w:t xml:space="preserve"> </w:t>
      </w:r>
      <w:r>
        <w:rPr>
          <w:b/>
          <w:bCs/>
        </w:rPr>
        <w:t xml:space="preserve">apto para informar decisiones de inversión AUDP</w:t>
      </w:r>
      <w:r>
        <w:t xml:space="preserve"> </w:t>
      </w:r>
      <w:r>
        <w:t xml:space="preserve">con la salvedad de que sus outputs son</w:t>
      </w:r>
      <w:r>
        <w:t xml:space="preserve"> </w:t>
      </w:r>
      <w:r>
        <w:rPr>
          <w:b/>
          <w:bCs/>
        </w:rPr>
        <w:t xml:space="preserve">distribuciones probabilísticas, no predicciones puntuales</w:t>
      </w:r>
      <w:r>
        <w:t xml:space="preserve">. Su valor está 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Cuantificar el rango plausible del VAN</w:t>
      </w:r>
      <w:r>
        <w:t xml:space="preserve"> </w:t>
      </w:r>
      <w:r>
        <w:t xml:space="preserve">bajo distintos escenarios macro (no solo el central).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Comparar alternativas de inversión</w:t>
      </w:r>
      <w:r>
        <w:t xml:space="preserve"> </w:t>
      </w:r>
      <w:r>
        <w:t xml:space="preserve">bajo los mismos shocks.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Identificar las palancas más sensibles</w:t>
      </w:r>
      <w:r>
        <w:t xml:space="preserve"> </w:t>
      </w:r>
      <w:r>
        <w:t xml:space="preserve">(concentrar atención del management).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Auditar las hipótesis</w:t>
      </w:r>
      <w:r>
        <w:t xml:space="preserve"> </w:t>
      </w:r>
      <w:r>
        <w:t xml:space="preserve">vía la trazabilidad a fuentes oficiales (BCCh, INE, CChC) y data TINSA.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Replicar episodios históricos</w:t>
      </w:r>
      <w:r>
        <w:t xml:space="preserve"> </w:t>
      </w:r>
      <w:r>
        <w:t xml:space="preserve">mediante presets centrados en macros reales.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Acoplar correctamente la velocidad</w:t>
      </w:r>
      <w:r>
        <w:t xml:space="preserve"> </w:t>
      </w:r>
      <w:r>
        <w:t xml:space="preserve">entre residual y flujo AUDP (efecto único, dos canales).</w:t>
      </w:r>
    </w:p>
    <w:bookmarkEnd w:id="103"/>
    <w:bookmarkStart w:id="104" w:name="cuándo-sí-y-cuándo-no-usarlo"/>
    <w:p>
      <w:pPr>
        <w:pStyle w:val="Heading2"/>
      </w:pPr>
      <w:r>
        <w:t xml:space="preserve">11.2 Cuándo SÍ y cuándo NO usarlo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¿Usa este modelo?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“¿Cuál es el VAN esperado del AUDP X bajo escenario base?”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tan malo puede ser el VAN si replicamos COVID 2020?”</w:t>
            </w:r>
          </w:p>
        </w:tc>
        <w:tc>
          <w:tcPr/>
          <w:p>
            <w:pPr>
              <w:pStyle w:val="Compact"/>
            </w:pPr>
            <w:r>
              <w:t xml:space="preserve">✓ Sí (preset Estallido+COVID)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probabilidad hay de VAN &lt; 0?”</w:t>
            </w:r>
          </w:p>
        </w:tc>
        <w:tc>
          <w:tcPr/>
          <w:p>
            <w:pPr>
              <w:pStyle w:val="Compact"/>
            </w:pPr>
            <w:r>
              <w:t xml:space="preserve">✓ Sí, con caveats sobre el horizonte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“¿Cuál es la sensibilidad del VAN a cada palanca?”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pasará exactamente con el VAN en 2030?”</w:t>
            </w:r>
          </w:p>
        </w:tc>
        <w:tc>
          <w:tcPr/>
          <w:p>
            <w:pPr>
              <w:pStyle w:val="Compact"/>
            </w:pPr>
            <w:r>
              <w:t xml:space="preserve">✗ No — requiere proyectar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“¿Cómo se comporta bajo cambio regulatorio del DS-19?”</w:t>
            </w:r>
          </w:p>
        </w:tc>
        <w:tc>
          <w:tcPr/>
          <w:p>
            <w:pPr>
              <w:pStyle w:val="Compact"/>
            </w:pPr>
            <w:r>
              <w:t xml:space="preserve">✗ No (no hay data del cambio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“¿Cuál AUDP es mejor entre 2 candidatos bajo el mismo escenario?”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“¿Cuánto tendría que cambiar el ICOI para que el VAN cambie su signo?”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pasaría si el dólar sube 30%?”</w:t>
            </w:r>
          </w:p>
        </w:tc>
        <w:tc>
          <w:tcPr/>
          <w:p>
            <w:pPr>
              <w:pStyle w:val="Compact"/>
            </w:pPr>
            <w:r>
              <w:t xml:space="preserve">Parcialmente (entraría vía ICOI)</w:t>
            </w:r>
          </w:p>
        </w:tc>
      </w:tr>
    </w:tbl>
    <w:bookmarkEnd w:id="104"/>
    <w:bookmarkStart w:id="105" w:name="recomendación-final-al-directorio"/>
    <w:p>
      <w:pPr>
        <w:pStyle w:val="Heading2"/>
      </w:pPr>
      <w:r>
        <w:t xml:space="preserve">11.3 Recomendación final al Directorio</w:t>
      </w:r>
    </w:p>
    <w:p>
      <w:pPr>
        <w:pStyle w:val="FirstParagraph"/>
      </w:pPr>
      <w:r>
        <w:t xml:space="preserve">Se recomienda el uso del modo</w:t>
      </w:r>
      <w:r>
        <w:t xml:space="preserve"> </w:t>
      </w:r>
      <w:r>
        <w:rPr>
          <w:b/>
          <w:bCs/>
        </w:rPr>
        <w:t xml:space="preserve">Factor Macro</w:t>
      </w:r>
      <w:r>
        <w:t xml:space="preserve"> </w:t>
      </w:r>
      <w:r>
        <w:t xml:space="preserve">como herramienta primaria para análisis de inversión AUDP, complementado con análisis cualitativo del contexto regulatorio, comercial y geográfico que el modelo no captura.</w:t>
      </w:r>
    </w:p>
    <w:p>
      <w:pPr>
        <w:pStyle w:val="BodyText"/>
      </w:pPr>
      <w:r>
        <w:t xml:space="preserve">Para cada AUDP candidato, el flujo de análisis recomendado es:</w:t>
      </w:r>
    </w:p>
    <w:p>
      <w:pPr>
        <w:pStyle w:val="Compact"/>
        <w:numPr>
          <w:ilvl w:val="0"/>
          <w:numId w:val="1018"/>
        </w:numPr>
      </w:pPr>
      <w:r>
        <w:t xml:space="preserve">Evaluar el AUDP con macros base esperado → obtener VAN esperado y distribución.</w:t>
      </w:r>
    </w:p>
    <w:p>
      <w:pPr>
        <w:pStyle w:val="Compact"/>
        <w:numPr>
          <w:ilvl w:val="0"/>
          <w:numId w:val="1018"/>
        </w:numPr>
      </w:pPr>
      <w:r>
        <w:t xml:space="preserve">Re-evaluar con preset Estallido+COVID → obtener</w:t>
      </w:r>
      <w:r>
        <w:t xml:space="preserve"> </w:t>
      </w:r>
      <w:r>
        <w:t xml:space="preserve">“stress severo”</w:t>
      </w:r>
      <w:r>
        <w:t xml:space="preserve"> </w:t>
      </w:r>
      <w:r>
        <w:t xml:space="preserve">(¿vale la inversión bajo el peor escenario reciente?).</w:t>
      </w:r>
    </w:p>
    <w:p>
      <w:pPr>
        <w:pStyle w:val="Compact"/>
        <w:numPr>
          <w:ilvl w:val="0"/>
          <w:numId w:val="1018"/>
        </w:numPr>
      </w:pPr>
      <w:r>
        <w:t xml:space="preserve">Re-evaluar con preset Boom 2021 → obtener</w:t>
      </w:r>
      <w:r>
        <w:t xml:space="preserve"> </w:t>
      </w:r>
      <w:r>
        <w:t xml:space="preserve">“upside”</w:t>
      </w:r>
      <w:r>
        <w:t xml:space="preserve"> </w:t>
      </w:r>
      <w:r>
        <w:t xml:space="preserve">del escenario favorable.</w:t>
      </w:r>
    </w:p>
    <w:p>
      <w:pPr>
        <w:pStyle w:val="Compact"/>
        <w:numPr>
          <w:ilvl w:val="0"/>
          <w:numId w:val="1018"/>
        </w:numPr>
      </w:pPr>
      <w:r>
        <w:t xml:space="preserve">Comparar percentiles P5, P50, P95 entre los tres → elaborar el</w:t>
      </w:r>
      <w:r>
        <w:t xml:space="preserve"> </w:t>
      </w:r>
      <w:r>
        <w:t xml:space="preserve">“espectro”</w:t>
      </w:r>
      <w:r>
        <w:t xml:space="preserve"> </w:t>
      </w:r>
      <w:r>
        <w:t xml:space="preserve">de outcomes.</w:t>
      </w:r>
    </w:p>
    <w:p>
      <w:pPr>
        <w:pStyle w:val="Compact"/>
        <w:numPr>
          <w:ilvl w:val="0"/>
          <w:numId w:val="1018"/>
        </w:numPr>
      </w:pPr>
      <w:r>
        <w:t xml:space="preserve">Si VAN P5 &lt; 0, profundizar análisis cualitativo: ¿qué medidas mitigantes existen?</w:t>
      </w:r>
    </w:p>
    <w:p>
      <w:pPr>
        <w:pStyle w:val="Compact"/>
        <w:numPr>
          <w:ilvl w:val="0"/>
          <w:numId w:val="1018"/>
        </w:numPr>
      </w:pPr>
      <w:r>
        <w:t xml:space="preserve">Si Cohen d entre escenarios pesimistas y optimistas es bajo (&lt; 0.3), el AUDP es resiliente al ciclo.</w:t>
      </w:r>
    </w:p>
    <w:bookmarkEnd w:id="105"/>
    <w:bookmarkEnd w:id="106"/>
    <w:bookmarkStart w:id="107" w:name="anexo-a-glosario"/>
    <w:p>
      <w:pPr>
        <w:pStyle w:val="Heading1"/>
      </w:pP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CIDU / TINSA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la estructura de dependencia entre variables aleatorias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 (5%)</w:t>
            </w:r>
          </w:p>
        </w:tc>
        <w:tc>
          <w:tcPr/>
          <w:p>
            <w:pPr>
              <w:pStyle w:val="Compact"/>
            </w:pPr>
            <w:r>
              <w:t xml:space="preserve">Conditional Value at Risk al 5% — promedio del peor 5%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 / Monte Carlo</w:t>
            </w:r>
          </w:p>
        </w:tc>
        <w:tc>
          <w:tcPr/>
          <w:p>
            <w:pPr>
              <w:pStyle w:val="Compact"/>
            </w:pPr>
            <w:r>
              <w:t xml:space="preserve">Simulación estocástica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Ordinary Least Squares (regresión por mínimos cuadrados)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 (5%)</w:t>
            </w:r>
          </w:p>
        </w:tc>
        <w:tc>
          <w:tcPr/>
          <w:p>
            <w:pPr>
              <w:pStyle w:val="Compact"/>
            </w:pPr>
            <w:r>
              <w:t xml:space="preserve">Value at Risk al 5% — peor outcome esperado con probabilidad 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107"/>
    <w:bookmarkStart w:id="108" w:name="anexo-b-referencias-bibliográficas"/>
    <w:p>
      <w:pPr>
        <w:pStyle w:val="Heading1"/>
      </w:pPr>
      <w:r>
        <w:t xml:space="preserve">Anexo B — Referencias bibliográficas</w:t>
      </w:r>
    </w:p>
    <w:p>
      <w:pPr>
        <w:pStyle w:val="Compact"/>
        <w:numPr>
          <w:ilvl w:val="0"/>
          <w:numId w:val="1019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8: 229-231.</w:t>
      </w:r>
    </w:p>
    <w:p>
      <w:pPr>
        <w:pStyle w:val="Compact"/>
        <w:numPr>
          <w:ilvl w:val="0"/>
          <w:numId w:val="1019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</w:t>
      </w:r>
      <w:r>
        <w:t xml:space="preserve"> </w:t>
      </w:r>
      <w:r>
        <w:rPr>
          <w:i/>
          <w:iCs/>
        </w:rPr>
        <w:t xml:space="preserve">Handbook of Heavy Tailed Distributions in Finance</w:t>
      </w:r>
      <w:r>
        <w:t xml:space="preserve">, Elsevier.</w:t>
      </w:r>
    </w:p>
    <w:p>
      <w:pPr>
        <w:pStyle w:val="Compact"/>
        <w:numPr>
          <w:ilvl w:val="0"/>
          <w:numId w:val="1019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 - Simulation and Computation</w:t>
      </w:r>
      <w:r>
        <w:t xml:space="preserve">, 11(3): 311-334.</w:t>
      </w:r>
    </w:p>
    <w:p>
      <w:pPr>
        <w:pStyle w:val="Compact"/>
        <w:numPr>
          <w:ilvl w:val="0"/>
          <w:numId w:val="1019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9(4): 43-54.</w:t>
      </w:r>
    </w:p>
    <w:p>
      <w:pPr>
        <w:pStyle w:val="Compact"/>
        <w:numPr>
          <w:ilvl w:val="0"/>
          <w:numId w:val="1019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73(1): 111-129.</w:t>
      </w:r>
    </w:p>
    <w:p>
      <w:pPr>
        <w:pStyle w:val="Compact"/>
        <w:numPr>
          <w:ilvl w:val="0"/>
          <w:numId w:val="1019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 — Metodología del Índice de Precios de Vivienda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 — Índice de Costos de Edificación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19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Management: Concepts, Techniques and Tools</w:t>
      </w:r>
      <w:r>
        <w:t xml:space="preserve">. Princeton University Press, 2nd edition.</w:t>
      </w:r>
    </w:p>
    <w:p>
      <w:pPr>
        <w:pStyle w:val="Compact"/>
        <w:numPr>
          <w:ilvl w:val="0"/>
          <w:numId w:val="1019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44(247): 335-341.</w:t>
      </w:r>
    </w:p>
    <w:p>
      <w:pPr>
        <w:pStyle w:val="Compact"/>
        <w:numPr>
          <w:ilvl w:val="0"/>
          <w:numId w:val="1019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bookmarkEnd w:id="108"/>
    <w:bookmarkStart w:id="111" w:name="anexo-c-reproducibilidad-técnica"/>
    <w:p>
      <w:pPr>
        <w:pStyle w:val="Heading1"/>
      </w:pPr>
      <w:r>
        <w:t xml:space="preserve">Anexo C — Reproducibilidad técnica</w:t>
      </w:r>
    </w:p>
    <w:bookmarkStart w:id="109" w:name="c.1-archivos-del-modelo"/>
    <w:p>
      <w:pPr>
        <w:pStyle w:val="Heading2"/>
      </w:pPr>
      <w:r>
        <w:t xml:space="preserve">C.1 Archivos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Pipeline de calibración del Factor Model (Python)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analysis/build_macro_c_js.py</w:t>
            </w:r>
          </w:p>
        </w:tc>
        <w:tc>
          <w:tcPr/>
          <w:p>
            <w:pPr>
              <w:pStyle w:val="Compact"/>
            </w:pPr>
            <w:r>
              <w:t xml:space="preserve">Convierte calibración a JS embebible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analysis/build_visualizations.py</w:t>
            </w:r>
          </w:p>
        </w:tc>
        <w:tc>
          <w:tcPr/>
          <w:p>
            <w:pPr>
              <w:pStyle w:val="Compact"/>
            </w:pPr>
            <w:r>
              <w:t xml:space="preserve">Genera todas las figuras de este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completo (JSON, lectura humana)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en navegador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 + propagación a Capa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 (Cholesky, t-CDF,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public/market_stats.js</w:t>
            </w:r>
          </w:p>
        </w:tc>
        <w:tc>
          <w:tcPr/>
          <w:p>
            <w:pPr>
              <w:pStyle w:val="Compact"/>
            </w:pPr>
            <w:r>
              <w:t xml:space="preserve">Distribuciones empíricas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Monte Carlo del simulador macro</w:t>
            </w:r>
          </w:p>
        </w:tc>
      </w:tr>
    </w:tbl>
    <w:bookmarkEnd w:id="109"/>
    <w:bookmarkStart w:id="110" w:name="c.2-comandos-de-reproducción"/>
    <w:p>
      <w:pPr>
        <w:pStyle w:val="Heading2"/>
      </w:pPr>
      <w:r>
        <w:t xml:space="preserve">C.2 Comandos de reproducción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  <w:r>
        <w:br/>
      </w:r>
      <w:r>
        <w:br/>
      </w:r>
      <w:r>
        <w:rPr>
          <w:rStyle w:val="CommentTok"/>
        </w:rPr>
        <w:t xml:space="preserve"># Build del simulador</w:t>
      </w:r>
      <w:r>
        <w:br/>
      </w:r>
      <w:r>
        <w:rPr>
          <w:rStyle w:val="VariableTok"/>
        </w:rPr>
        <w:t xml:space="preserve">DEPLOY_TARGET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gh-pages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next build </w:t>
      </w:r>
      <w:r>
        <w:rPr>
          <w:rStyle w:val="AttributeTok"/>
        </w:rPr>
        <w:t xml:space="preserve">--turbopack</w:t>
      </w:r>
    </w:p>
    <w:p>
      <w:pPr>
        <w:pStyle w:val="FirstParagraph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(v2).</w:t>
      </w:r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67" Target="media/rId67.png" /><Relationship Type="http://schemas.openxmlformats.org/officeDocument/2006/relationships/image" Id="rId63" Target="media/rId63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42" Target="media/rId42.png" /><Relationship Type="http://schemas.openxmlformats.org/officeDocument/2006/relationships/image" Id="rId86" Target="media/rId86.png" /><Relationship Type="http://schemas.openxmlformats.org/officeDocument/2006/relationships/image" Id="rId21" Target="media/rId21.png" /><Relationship Type="http://schemas.openxmlformats.org/officeDocument/2006/relationships/hyperlink" Id="rId29" Target="https://si3.bcentral.c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i3.bcentral.c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cp:keywords/>
  <dcterms:created xsi:type="dcterms:W3CDTF">2026-04-28T23:20:55Z</dcterms:created>
  <dcterms:modified xsi:type="dcterms:W3CDTF">2026-04-28T23:20:55Z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