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Modelo Factorial Estocástico para Valoración de AUDPs</w:t>
      </w:r>
    </w:p>
    <w:p>
      <w:pPr>
        <w:pStyle w:val="Subtitle"/>
      </w:pPr>
      <w:r>
        <w:t xml:space="preserve">Documento Técnico para Directorio · Modela</w:t>
      </w:r>
    </w:p>
    <w:p>
      <w:pPr>
        <w:pStyle w:val="Author"/>
      </w:pPr>
      <w:r>
        <w:t xml:space="preserve">Equipo Modela</w:t>
      </w:r>
    </w:p>
    <w:p>
      <w:pPr>
        <w:pStyle w:val="Date"/>
      </w:pPr>
      <w:r>
        <w:t xml:space="preserve">Abril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resumen-ejecutivo"/>
    <w:p>
      <w:pPr>
        <w:pStyle w:val="Heading1"/>
      </w:pPr>
      <w:r>
        <w:t xml:space="preserve">Resumen Ejecutivo</w:t>
      </w:r>
    </w:p>
    <w:bookmarkStart w:id="9" w:name="propósito-del-modelo"/>
    <w:p>
      <w:pPr>
        <w:pStyle w:val="Heading2"/>
      </w:pPr>
      <w:r>
        <w:t xml:space="preserve">Propósito del modelo</w:t>
      </w:r>
    </w:p>
    <w:p>
      <w:pPr>
        <w:pStyle w:val="FirstParagraph"/>
      </w:pPr>
      <w:r>
        <w:t xml:space="preserve">Este documento describe el</w:t>
      </w:r>
      <w:r>
        <w:t xml:space="preserve"> </w:t>
      </w:r>
      <w:r>
        <w:rPr>
          <w:b/>
          <w:bCs/>
        </w:rPr>
        <w:t xml:space="preserve">Modelo Factorial Estocástico</w:t>
      </w:r>
      <w:r>
        <w:t xml:space="preserve"> </w:t>
      </w:r>
      <w:r>
        <w:t xml:space="preserve">desarrollado por Modela para sensibilizar el Valor Actual Neto (VAN) del flujo financiero de Áreas Urbanas de Desarrollo Prioritario (AUDPs) frente a escenarios macroeconómicos chilenos. El modelo opera como capa estadística sobre el simulador macro existente, permitiendo:</w:t>
      </w:r>
    </w:p>
    <w:p>
      <w:pPr>
        <w:pStyle w:val="Compact"/>
        <w:numPr>
          <w:ilvl w:val="0"/>
          <w:numId w:val="1001"/>
        </w:numPr>
      </w:pPr>
      <w:r>
        <w:rPr>
          <w:b/>
          <w:bCs/>
        </w:rPr>
        <w:t xml:space="preserve">Cuantificar el rango plausible del VAN</w:t>
      </w:r>
      <w:r>
        <w:t xml:space="preserve"> </w:t>
      </w:r>
      <w:r>
        <w:t xml:space="preserve">bajo distintas trayectorias macroeconómicas, no solo el valor central.</w:t>
      </w:r>
    </w:p>
    <w:p>
      <w:pPr>
        <w:pStyle w:val="Compact"/>
        <w:numPr>
          <w:ilvl w:val="0"/>
          <w:numId w:val="1001"/>
        </w:numPr>
      </w:pPr>
      <w:r>
        <w:rPr>
          <w:b/>
          <w:bCs/>
        </w:rPr>
        <w:t xml:space="preserve">Replicar episodios históricos</w:t>
      </w:r>
      <w:r>
        <w:t xml:space="preserve"> </w:t>
      </w:r>
      <w:r>
        <w:t xml:space="preserve">(Crisis Subprime 2009, Estallido + COVID 2019-2020, Boom post-COVID 2021, Slowdown 2023) usando los valores macro reales de cada período.</w:t>
      </w:r>
    </w:p>
    <w:p>
      <w:pPr>
        <w:pStyle w:val="Compact"/>
        <w:numPr>
          <w:ilvl w:val="0"/>
          <w:numId w:val="1001"/>
        </w:numPr>
      </w:pPr>
      <w:r>
        <w:rPr>
          <w:b/>
          <w:bCs/>
        </w:rPr>
        <w:t xml:space="preserve">Identificar las variables más sensibles</w:t>
      </w:r>
      <w:r>
        <w:t xml:space="preserve"> </w:t>
      </w:r>
      <w:r>
        <w:t xml:space="preserve">mediante análisis tornado, concentrando la atención del management en las palancas de mayor impacto.</w:t>
      </w:r>
    </w:p>
    <w:p>
      <w:pPr>
        <w:pStyle w:val="Compact"/>
        <w:numPr>
          <w:ilvl w:val="0"/>
          <w:numId w:val="1001"/>
        </w:numPr>
      </w:pPr>
      <w:r>
        <w:rPr>
          <w:b/>
          <w:bCs/>
        </w:rPr>
        <w:t xml:space="preserve">Auditar las hipótesis</w:t>
      </w:r>
      <w:r>
        <w:t xml:space="preserve"> </w:t>
      </w:r>
      <w:r>
        <w:t xml:space="preserve">vía la trazabilidad completa a fuentes oficiales (Banco Central de Chile, INE, Cámara Chilena de la Construcción) y a una base de datos transaccional de 124.531 observaciones de mercado inmobiliario.</w:t>
      </w:r>
    </w:p>
    <w:bookmarkEnd w:id="9"/>
    <w:bookmarkStart w:id="10" w:name="características-principales"/>
    <w:p>
      <w:pPr>
        <w:pStyle w:val="Heading2"/>
      </w:pPr>
      <w:r>
        <w:t xml:space="preserve">Características principales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Atributo</w:t>
            </w:r>
          </w:p>
        </w:tc>
        <w:tc>
          <w:tcPr/>
          <w:p>
            <w:pPr>
              <w:pStyle w:val="Compact"/>
            </w:pPr>
            <w:r>
              <w:t xml:space="preserve">Detalle</w:t>
            </w:r>
          </w:p>
        </w:tc>
      </w:tr>
      <w:tr>
        <w:tc>
          <w:tcPr/>
          <w:p>
            <w:pPr>
              <w:pStyle w:val="Compact"/>
            </w:pPr>
            <w:r>
              <w:rPr>
                <w:b/>
                <w:bCs/>
              </w:rPr>
              <w:t xml:space="preserve">Calibración empírica</w:t>
            </w:r>
          </w:p>
        </w:tc>
        <w:tc>
          <w:tcPr/>
          <w:p>
            <w:pPr>
              <w:pStyle w:val="Compact"/>
            </w:pPr>
            <w:r>
              <w:t xml:space="preserve">124.531 observaciones TINSA + 401 trimestres macro 2010–2024</w:t>
            </w:r>
          </w:p>
        </w:tc>
      </w:tr>
      <w:tr>
        <w:tc>
          <w:tcPr/>
          <w:p>
            <w:pPr>
              <w:pStyle w:val="Compact"/>
            </w:pPr>
            <w:r>
              <w:rPr>
                <w:b/>
                <w:bCs/>
              </w:rPr>
              <w:t xml:space="preserve">Variables sampleadas</w:t>
            </w:r>
          </w:p>
        </w:tc>
        <w:tc>
          <w:tcPr/>
          <w:p>
            <w:pPr>
              <w:pStyle w:val="Compact"/>
            </w:pPr>
            <w:r>
              <w:t xml:space="preserve">5 macros (IMACEC, Δ tasa hipo, Δ desempleo, IPV, ICOI)</w:t>
            </w:r>
          </w:p>
        </w:tc>
      </w:tr>
      <w:tr>
        <w:tc>
          <w:tcPr/>
          <w:p>
            <w:pPr>
              <w:pStyle w:val="Compact"/>
            </w:pPr>
            <w:r>
              <w:rPr>
                <w:b/>
                <w:bCs/>
              </w:rPr>
              <w:t xml:space="preserve">Variables propagadas</w:t>
            </w:r>
          </w:p>
        </w:tc>
        <w:tc>
          <w:tcPr/>
          <w:p>
            <w:pPr>
              <w:pStyle w:val="Compact"/>
            </w:pPr>
            <w:r>
              <w:t xml:space="preserve">4 shocks de proyecto (precio, costo, velocidad, plazo)</w:t>
            </w:r>
          </w:p>
        </w:tc>
      </w:tr>
      <w:tr>
        <w:tc>
          <w:tcPr/>
          <w:p>
            <w:pPr>
              <w:pStyle w:val="Compact"/>
            </w:pPr>
            <w:r>
              <w:rPr>
                <w:b/>
                <w:bCs/>
              </w:rPr>
              <w:t xml:space="preserve">Familias de producto</w:t>
            </w:r>
          </w:p>
        </w:tc>
        <w:tc>
          <w:tcPr/>
          <w:p>
            <w:pPr>
              <w:pStyle w:val="Compact"/>
            </w:pPr>
            <w:r>
              <w:t xml:space="preserve">4 (Edificio 4–6 pisos, DS19, Casa, Townhouse)</w:t>
            </w:r>
          </w:p>
        </w:tc>
      </w:tr>
      <w:tr>
        <w:tc>
          <w:tcPr/>
          <w:p>
            <w:pPr>
              <w:pStyle w:val="Compact"/>
            </w:pPr>
            <w:r>
              <w:rPr>
                <w:b/>
                <w:bCs/>
              </w:rPr>
              <w:t xml:space="preserve">Distribuciones marginales</w:t>
            </w:r>
          </w:p>
        </w:tc>
        <w:tc>
          <w:tcPr/>
          <w:p>
            <w:pPr>
              <w:pStyle w:val="Compact"/>
            </w:pPr>
            <w:r>
              <w:t xml:space="preserve">Empíricas con 99 percentiles densos</w:t>
            </w:r>
          </w:p>
        </w:tc>
      </w:tr>
      <w:tr>
        <w:tc>
          <w:tcPr/>
          <w:p>
            <w:pPr>
              <w:pStyle w:val="Compact"/>
            </w:pPr>
            <w:r>
              <w:rPr>
                <w:b/>
                <w:bCs/>
              </w:rPr>
              <w:t xml:space="preserve">Estructura de dependencia</w:t>
            </w:r>
          </w:p>
        </w:tc>
        <w:tc>
          <w:tcPr/>
          <w:p>
            <w:pPr>
              <w:pStyle w:val="Compact"/>
            </w:pPr>
            <w:r>
              <w:t xml:space="preserve">t-cópula (ν=4) calibrada con Iman-Conover</w:t>
            </w:r>
          </w:p>
        </w:tc>
      </w:tr>
      <w:tr>
        <w:tc>
          <w:tcPr/>
          <w:p>
            <w:pPr>
              <w:pStyle w:val="Compact"/>
            </w:pPr>
            <w:r>
              <w:rPr>
                <w:b/>
                <w:bCs/>
              </w:rPr>
              <w:t xml:space="preserve">Iteraciones</w:t>
            </w:r>
          </w:p>
        </w:tc>
        <w:tc>
          <w:tcPr/>
          <w:p>
            <w:pPr>
              <w:pStyle w:val="Compact"/>
            </w:pPr>
            <w:r>
              <w:t xml:space="preserve">500 a 10.000 configurables</w:t>
            </w:r>
          </w:p>
        </w:tc>
      </w:tr>
      <w:tr>
        <w:tc>
          <w:tcPr/>
          <w:p>
            <w:pPr>
              <w:pStyle w:val="Compact"/>
            </w:pPr>
            <w:r>
              <w:rPr>
                <w:b/>
                <w:bCs/>
              </w:rPr>
              <w:t xml:space="preserve">Reproducibilidad</w:t>
            </w:r>
          </w:p>
        </w:tc>
        <w:tc>
          <w:tcPr/>
          <w:p>
            <w:pPr>
              <w:pStyle w:val="Compact"/>
            </w:pPr>
            <w:r>
              <w:t xml:space="preserve">Seed determinista; mismo input → mismo output</w:t>
            </w:r>
          </w:p>
        </w:tc>
      </w:tr>
      <w:tr>
        <w:tc>
          <w:tcPr/>
          <w:p>
            <w:pPr>
              <w:pStyle w:val="Compact"/>
            </w:pPr>
            <w:r>
              <w:rPr>
                <w:b/>
                <w:bCs/>
              </w:rPr>
              <w:t xml:space="preserve">Tiempo de cómputo</w:t>
            </w:r>
          </w:p>
        </w:tc>
        <w:tc>
          <w:tcPr/>
          <w:p>
            <w:pPr>
              <w:pStyle w:val="Compact"/>
            </w:pPr>
            <w:r>
              <w:t xml:space="preserve">~110 s para 10.000 iteraciones</w:t>
            </w:r>
          </w:p>
        </w:tc>
      </w:tr>
    </w:tbl>
    <w:bookmarkEnd w:id="10"/>
    <w:bookmarkStart w:id="11" w:name="recomendación-al-directorio"/>
    <w:p>
      <w:pPr>
        <w:pStyle w:val="Heading2"/>
      </w:pPr>
      <w:r>
        <w:t xml:space="preserve">Recomendación al Directorio</w:t>
      </w:r>
    </w:p>
    <w:p>
      <w:pPr>
        <w:pStyle w:val="FirstParagraph"/>
      </w:pPr>
      <w:r>
        <w:t xml:space="preserve">El modelo está</w:t>
      </w:r>
      <w:r>
        <w:t xml:space="preserve"> </w:t>
      </w:r>
      <w:r>
        <w:rPr>
          <w:b/>
          <w:bCs/>
        </w:rPr>
        <w:t xml:space="preserve">apto para informar decisiones de inversión AUDP</w:t>
      </w:r>
      <w:r>
        <w:t xml:space="preserve"> </w:t>
      </w:r>
      <w:r>
        <w:t xml:space="preserve">con la salvedad explícita de que sus outputs son distribuciones probabilísticas, no predicciones puntuales. Se recomienda su uso para:</w:t>
      </w:r>
    </w:p>
    <w:p>
      <w:pPr>
        <w:pStyle w:val="Compact"/>
        <w:numPr>
          <w:ilvl w:val="0"/>
          <w:numId w:val="1002"/>
        </w:numPr>
      </w:pPr>
      <w:r>
        <w:t xml:space="preserve">Comparación de alternativas de inversión bajo el mismo set de shocks macro.</w:t>
      </w:r>
    </w:p>
    <w:p>
      <w:pPr>
        <w:pStyle w:val="Compact"/>
        <w:numPr>
          <w:ilvl w:val="0"/>
          <w:numId w:val="1002"/>
        </w:numPr>
      </w:pPr>
      <w:r>
        <w:t xml:space="preserve">Análisis de stress testing replicando episodios históricos con datos reales.</w:t>
      </w:r>
    </w:p>
    <w:p>
      <w:pPr>
        <w:pStyle w:val="Compact"/>
        <w:numPr>
          <w:ilvl w:val="0"/>
          <w:numId w:val="1002"/>
        </w:numPr>
      </w:pPr>
      <w:r>
        <w:t xml:space="preserve">Cuantificación del riesgo de cola (VaR 5%, CVaR 5%) del flujo AUDP.</w:t>
      </w:r>
    </w:p>
    <w:p>
      <w:pPr>
        <w:pStyle w:val="Compact"/>
        <w:numPr>
          <w:ilvl w:val="0"/>
          <w:numId w:val="1002"/>
        </w:numPr>
      </w:pPr>
      <w:r>
        <w:t xml:space="preserve">Identificación de palancas de gestión activas (qué variables atender primero).</w:t>
      </w:r>
    </w:p>
    <w:bookmarkEnd w:id="11"/>
    <w:bookmarkEnd w:id="12"/>
    <w:bookmarkStart w:id="15" w:name="contexto-y-motivación"/>
    <w:p>
      <w:pPr>
        <w:pStyle w:val="Heading1"/>
      </w:pPr>
      <w:r>
        <w:t xml:space="preserve">1. Contexto y motivación</w:t>
      </w:r>
    </w:p>
    <w:bookmarkStart w:id="13" w:name="Xeb55a9d45b899b799b4d7d016061a09d7498643"/>
    <w:p>
      <w:pPr>
        <w:pStyle w:val="Heading2"/>
      </w:pPr>
      <w:r>
        <w:t xml:space="preserve">1.1 Limitaciones del modelo determinista anterior</w:t>
      </w:r>
    </w:p>
    <w:p>
      <w:pPr>
        <w:pStyle w:val="FirstParagraph"/>
      </w:pPr>
      <w:r>
        <w:t xml:space="preserve">El simulador macro de Modela (</w:t>
      </w:r>
      <w:r>
        <w:rPr>
          <w:rStyle w:val="VerbatimChar"/>
        </w:rPr>
        <w:t xml:space="preserve">simulador-legacy.html</w:t>
      </w:r>
      <w:r>
        <w:t xml:space="preserve">) producía hasta hace pocos meses un</w:t>
      </w:r>
      <w:r>
        <w:t xml:space="preserve"> </w:t>
      </w:r>
      <w:r>
        <w:rPr>
          <w:b/>
          <w:bCs/>
        </w:rPr>
        <w:t xml:space="preserve">valor único</w:t>
      </w:r>
      <w:r>
        <w:t xml:space="preserve"> </w:t>
      </w:r>
      <w:r>
        <w:t xml:space="preserve">de VAN bajo asunciones fijas. Los inputs típicos eran:</w:t>
      </w:r>
    </w:p>
    <w:p>
      <w:pPr>
        <w:pStyle w:val="Compact"/>
        <w:numPr>
          <w:ilvl w:val="0"/>
          <w:numId w:val="1003"/>
        </w:numPr>
      </w:pPr>
      <w:r>
        <w:t xml:space="preserve">Velocidad de venta: valor central por tipología (e.g. 2.7 unidades/mes para Casas 1).</w:t>
      </w:r>
    </w:p>
    <w:p>
      <w:pPr>
        <w:pStyle w:val="Compact"/>
        <w:numPr>
          <w:ilvl w:val="0"/>
          <w:numId w:val="1003"/>
        </w:numPr>
      </w:pPr>
      <w:r>
        <w:t xml:space="preserve">Ticket promedio: valor central por tier de producto.</w:t>
      </w:r>
    </w:p>
    <w:p>
      <w:pPr>
        <w:pStyle w:val="Compact"/>
        <w:numPr>
          <w:ilvl w:val="0"/>
          <w:numId w:val="1003"/>
        </w:numPr>
      </w:pPr>
      <w:r>
        <w:t xml:space="preserve">Incidencia de terreno: valor central calculado por método residual.</w:t>
      </w:r>
    </w:p>
    <w:p>
      <w:pPr>
        <w:pStyle w:val="Compact"/>
        <w:numPr>
          <w:ilvl w:val="0"/>
          <w:numId w:val="1003"/>
        </w:numPr>
      </w:pPr>
      <w:r>
        <w:t xml:space="preserve">Tasa de descuento: 8% real anual.</w:t>
      </w:r>
    </w:p>
    <w:p>
      <w:pPr>
        <w:pStyle w:val="FirstParagraph"/>
      </w:pPr>
      <w:r>
        <w:t xml:space="preserve">Bajo estas asunciones, el modelo respondía a la pregunta:</w:t>
      </w:r>
      <w:r>
        <w:t xml:space="preserve"> </w:t>
      </w:r>
      <w:r>
        <w:rPr>
          <w:i/>
          <w:iCs/>
        </w:rPr>
        <w:t xml:space="preserve">“si todo evoluciona según el escenario base, ¿cuál es el VAN?”</w:t>
      </w:r>
      <w:r>
        <w:t xml:space="preserve"> </w:t>
      </w:r>
      <w:r>
        <w:t xml:space="preserve">— una pregunta válida pero insuficiente para decisiones que comprometen capital de magnitud relevante en horizontes multidécada.</w:t>
      </w:r>
    </w:p>
    <w:p>
      <w:pPr>
        <w:pStyle w:val="BodyText"/>
      </w:pPr>
      <w:r>
        <w:t xml:space="preserve">Las preguntas que el directorio usualmente formula y que el modelo determinista</w:t>
      </w:r>
      <w:r>
        <w:t xml:space="preserve"> </w:t>
      </w:r>
      <w:r>
        <w:rPr>
          <w:b/>
          <w:bCs/>
        </w:rPr>
        <w:t xml:space="preserve">no podía responder</w:t>
      </w:r>
      <w:r>
        <w:t xml:space="preserve"> </w:t>
      </w:r>
      <w:r>
        <w:t xml:space="preserve">incluyen:</w:t>
      </w:r>
    </w:p>
    <w:p>
      <w:pPr>
        <w:pStyle w:val="Compact"/>
        <w:numPr>
          <w:ilvl w:val="0"/>
          <w:numId w:val="1004"/>
        </w:numPr>
      </w:pPr>
      <w:r>
        <w:t xml:space="preserve">¿Cuál es la probabilidad de que el VAN sea negativo bajo escenarios plausibles?</w:t>
      </w:r>
    </w:p>
    <w:p>
      <w:pPr>
        <w:pStyle w:val="Compact"/>
        <w:numPr>
          <w:ilvl w:val="0"/>
          <w:numId w:val="1004"/>
        </w:numPr>
      </w:pPr>
      <w:r>
        <w:t xml:space="preserve">¿Qué tan malo puede ser el VAN si replicamos las condiciones macro de la pandemia 2020?</w:t>
      </w:r>
    </w:p>
    <w:p>
      <w:pPr>
        <w:pStyle w:val="Compact"/>
        <w:numPr>
          <w:ilvl w:val="0"/>
          <w:numId w:val="1004"/>
        </w:numPr>
      </w:pPr>
      <w:r>
        <w:t xml:space="preserve">¿Qué tan robusto es el VAN frente a una caída del 30% en velocidad de venta combinada con un alza del 10% en costos de construcción?</w:t>
      </w:r>
    </w:p>
    <w:p>
      <w:pPr>
        <w:pStyle w:val="Compact"/>
        <w:numPr>
          <w:ilvl w:val="0"/>
          <w:numId w:val="1004"/>
        </w:numPr>
      </w:pPr>
      <w:r>
        <w:t xml:space="preserve">¿Cuál de dos AUDPs candidatos es más resiliente al estrés macro?</w:t>
      </w:r>
    </w:p>
    <w:p>
      <w:pPr>
        <w:pStyle w:val="FirstParagraph"/>
      </w:pPr>
      <w:r>
        <w:t xml:space="preserve">Estas son preguntas</w:t>
      </w:r>
      <w:r>
        <w:t xml:space="preserve"> </w:t>
      </w:r>
      <w:r>
        <w:rPr>
          <w:b/>
          <w:bCs/>
        </w:rPr>
        <w:t xml:space="preserve">estadísticas</w:t>
      </w:r>
      <w:r>
        <w:t xml:space="preserve"> </w:t>
      </w:r>
      <w:r>
        <w:t xml:space="preserve">que requieren simulación Monte Carlo. Adicionalmente, requieren modelar</w:t>
      </w:r>
      <w:r>
        <w:t xml:space="preserve"> </w:t>
      </w:r>
      <w:r>
        <w:rPr>
          <w:b/>
          <w:bCs/>
        </w:rPr>
        <w:t xml:space="preserve">correlaciones entre variables</w:t>
      </w:r>
      <w:r>
        <w:t xml:space="preserve"> </w:t>
      </w:r>
      <w:r>
        <w:t xml:space="preserve">porque sortear independencias produce escenarios irreales (p.ej.</w:t>
      </w:r>
      <w:r>
        <w:t xml:space="preserve"> </w:t>
      </w:r>
      <w:r>
        <w:rPr>
          <w:i/>
          <w:iCs/>
        </w:rPr>
        <w:t xml:space="preserve">“PIB sube 12% Y desempleo sube 3pp simultáneamente”</w:t>
      </w:r>
      <w:r>
        <w:t xml:space="preserve">).</w:t>
      </w:r>
    </w:p>
    <w:bookmarkEnd w:id="13"/>
    <w:bookmarkStart w:id="14" w:name="tres-modos-del-monte-carlo-actual"/>
    <w:p>
      <w:pPr>
        <w:pStyle w:val="Heading2"/>
      </w:pPr>
      <w:r>
        <w:t xml:space="preserve">1.2 Tres modos del Monte Carlo actual</w:t>
      </w:r>
    </w:p>
    <w:p>
      <w:pPr>
        <w:pStyle w:val="FirstParagraph"/>
      </w:pPr>
      <w:r>
        <w:t xml:space="preserve">El simulador hoy implementa tres modos de Monte Carlo, cada uno con propósito y nivel de sofisticación distintos:</w:t>
      </w:r>
    </w:p>
    <w:p>
      <w:pPr>
        <w:pStyle w:val="SourceCode"/>
      </w:pPr>
      <w:r>
        <w:rPr>
          <w:rStyle w:val="VerbatimChar"/>
        </w:rPr>
        <w:t xml:space="preserve">┌─────────────────────────────────────────────────────────────────────┐</w:t>
      </w:r>
      <w:r>
        <w:br/>
      </w:r>
      <w:r>
        <w:rPr>
          <w:rStyle w:val="VerbatimChar"/>
        </w:rPr>
        <w:t xml:space="preserve">│ Modo Paramétrico (legacy)                                           │</w:t>
      </w:r>
      <w:r>
        <w:br/>
      </w:r>
      <w:r>
        <w:rPr>
          <w:rStyle w:val="VerbatimChar"/>
        </w:rPr>
        <w:t xml:space="preserve">│ • Distribuciones Normal/Triangular independientes                    │</w:t>
      </w:r>
      <w:r>
        <w:br/>
      </w:r>
      <w:r>
        <w:rPr>
          <w:rStyle w:val="VerbatimChar"/>
        </w:rPr>
        <w:t xml:space="preserve">│ • Sirve para sanity check y reproducir análisis previos             │</w:t>
      </w:r>
      <w:r>
        <w:br/>
      </w:r>
      <w:r>
        <w:rPr>
          <w:rStyle w:val="VerbatimChar"/>
        </w:rPr>
        <w:t xml:space="preserve">│ • Subestima riesgo de cola por asumir independencia                  │</w:t>
      </w:r>
      <w:r>
        <w:br/>
      </w:r>
      <w:r>
        <w:rPr>
          <w:rStyle w:val="VerbatimChar"/>
        </w:rPr>
        <w:t xml:space="preserve">└─────────────────────────────────────────────────────────────────────┘</w:t>
      </w:r>
      <w:r>
        <w:br/>
      </w:r>
      <w:r>
        <w:br/>
      </w:r>
      <w:r>
        <w:rPr>
          <w:rStyle w:val="VerbatimChar"/>
        </w:rPr>
        <w:t xml:space="preserve">┌─────────────────────────────────────────────────────────────────────┐</w:t>
      </w:r>
      <w:r>
        <w:br/>
      </w:r>
      <w:r>
        <w:rPr>
          <w:rStyle w:val="VerbatimChar"/>
        </w:rPr>
        <w:t xml:space="preserve">│ Modo Empírico CIDU                                                  │</w:t>
      </w:r>
      <w:r>
        <w:br/>
      </w:r>
      <w:r>
        <w:rPr>
          <w:rStyle w:val="VerbatimChar"/>
        </w:rPr>
        <w:t xml:space="preserve">│ • Cópula t (ν=4) sobre marginales empíricas TINSA                  │</w:t>
      </w:r>
      <w:r>
        <w:br/>
      </w:r>
      <w:r>
        <w:rPr>
          <w:rStyle w:val="VerbatimChar"/>
        </w:rPr>
        <w:t xml:space="preserve">│ • 5 variables del producto sampleadas conjuntamente                  │</w:t>
      </w:r>
      <w:r>
        <w:br/>
      </w:r>
      <w:r>
        <w:rPr>
          <w:rStyle w:val="VerbatimChar"/>
        </w:rPr>
        <w:t xml:space="preserve">│ • No incorpora macros — solo refleja distribución observada          │</w:t>
      </w:r>
      <w:r>
        <w:br/>
      </w:r>
      <w:r>
        <w:rPr>
          <w:rStyle w:val="VerbatimChar"/>
        </w:rPr>
        <w:t xml:space="preserve">└─────────────────────────────────────────────────────────────────────┘</w:t>
      </w:r>
      <w:r>
        <w:br/>
      </w:r>
      <w:r>
        <w:br/>
      </w:r>
      <w:r>
        <w:rPr>
          <w:rStyle w:val="VerbatimChar"/>
        </w:rPr>
        <w:t xml:space="preserve">┌─────────────────────────────────────────────────────────────────────┐</w:t>
      </w:r>
      <w:r>
        <w:br/>
      </w:r>
      <w:r>
        <w:rPr>
          <w:rStyle w:val="VerbatimChar"/>
        </w:rPr>
        <w:t xml:space="preserve">│ Modo Factor Macro (Opción C) ◄ DEFAULT                              │</w:t>
      </w:r>
      <w:r>
        <w:br/>
      </w:r>
      <w:r>
        <w:rPr>
          <w:rStyle w:val="VerbatimChar"/>
        </w:rPr>
        <w:t xml:space="preserve">│ • Shocks directos desde IPV (BCCh) e ICOI (CChC)                   │</w:t>
      </w:r>
      <w:r>
        <w:br/>
      </w:r>
      <w:r>
        <w:rPr>
          <w:rStyle w:val="VerbatimChar"/>
        </w:rPr>
        <w:t xml:space="preserve">│ • Regresión OLS por familia para velocidad de venta                  │</w:t>
      </w:r>
      <w:r>
        <w:br/>
      </w:r>
      <w:r>
        <w:rPr>
          <w:rStyle w:val="VerbatimChar"/>
        </w:rPr>
        <w:t xml:space="preserve">│ • Cópula t (ν=4) entre 5 macros con Spearman empírica               │</w:t>
      </w:r>
      <w:r>
        <w:br/>
      </w:r>
      <w:r>
        <w:rPr>
          <w:rStyle w:val="VerbatimChar"/>
        </w:rPr>
        <w:t xml:space="preserve">│ • Recomendado para decisiones económicas                             │</w:t>
      </w:r>
      <w:r>
        <w:br/>
      </w:r>
      <w:r>
        <w:rPr>
          <w:rStyle w:val="VerbatimChar"/>
        </w:rPr>
        <w:t xml:space="preserve">└─────────────────────────────────────────────────────────────────────┘</w:t>
      </w:r>
    </w:p>
    <w:p>
      <w:pPr>
        <w:pStyle w:val="FirstParagraph"/>
      </w:pPr>
      <w:r>
        <w:t xml:space="preserve">El</w:t>
      </w:r>
      <w:r>
        <w:t xml:space="preserve"> </w:t>
      </w:r>
      <w:r>
        <w:rPr>
          <w:b/>
          <w:bCs/>
        </w:rPr>
        <w:t xml:space="preserve">Modo Factor Macro</w:t>
      </w:r>
      <w:r>
        <w:t xml:space="preserve"> </w:t>
      </w:r>
      <w:r>
        <w:t xml:space="preserve">es el default y es el modo recomendado para uso por el directorio porque:</w:t>
      </w:r>
    </w:p>
    <w:p>
      <w:pPr>
        <w:pStyle w:val="Compact"/>
        <w:numPr>
          <w:ilvl w:val="0"/>
          <w:numId w:val="1005"/>
        </w:numPr>
      </w:pPr>
      <w:r>
        <w:rPr>
          <w:b/>
          <w:bCs/>
        </w:rPr>
        <w:t xml:space="preserve">Cada componente es auditable</w:t>
      </w:r>
      <w:r>
        <w:t xml:space="preserve">: cada parámetro y cada distribución es trazable a una fuente oficial pública o a una calibración estadística reproducible.</w:t>
      </w:r>
    </w:p>
    <w:p>
      <w:pPr>
        <w:pStyle w:val="Compact"/>
        <w:numPr>
          <w:ilvl w:val="0"/>
          <w:numId w:val="1005"/>
        </w:numPr>
      </w:pPr>
      <w:r>
        <w:rPr>
          <w:b/>
          <w:bCs/>
        </w:rPr>
        <w:t xml:space="preserve">Replicar episodios históricos es trivial</w:t>
      </w:r>
      <w:r>
        <w:t xml:space="preserve">: se han precargado 5 presets que centran las macros en valores reales de períodos relevantes, permitiendo respuestas tipo</w:t>
      </w:r>
      <w:r>
        <w:t xml:space="preserve"> </w:t>
      </w:r>
      <w:r>
        <w:rPr>
          <w:i/>
          <w:iCs/>
        </w:rPr>
        <w:t xml:space="preserve">“¿cómo se comportaría el VAN si volvieran las condiciones de la pandemia?”</w:t>
      </w:r>
      <w:r>
        <w:t xml:space="preserve">.</w:t>
      </w:r>
    </w:p>
    <w:p>
      <w:pPr>
        <w:pStyle w:val="Compact"/>
        <w:numPr>
          <w:ilvl w:val="0"/>
          <w:numId w:val="1005"/>
        </w:numPr>
      </w:pPr>
      <w:r>
        <w:rPr>
          <w:b/>
          <w:bCs/>
        </w:rPr>
        <w:t xml:space="preserve">No incurre en regresión espuria</w:t>
      </w:r>
      <w:r>
        <w:t xml:space="preserve">: usa los índices oficiales de precio inmobiliario (IPV) y costo construcción (ICOI)</w:t>
      </w:r>
      <w:r>
        <w:t xml:space="preserve"> </w:t>
      </w:r>
      <w:r>
        <w:rPr>
          <w:b/>
          <w:bCs/>
        </w:rPr>
        <w:t xml:space="preserve">directamente como shocks</w:t>
      </w:r>
      <w:r>
        <w:t xml:space="preserve">, en lugar de regresar precio_TINSA contra IPV (que sería tautológico, dado que ambos miden el mismo fenómeno).</w:t>
      </w:r>
    </w:p>
    <w:p>
      <w:pPr>
        <w:pStyle w:val="Compact"/>
        <w:numPr>
          <w:ilvl w:val="0"/>
          <w:numId w:val="1005"/>
        </w:numPr>
      </w:pPr>
      <w:r>
        <w:rPr>
          <w:b/>
          <w:bCs/>
        </w:rPr>
        <w:t xml:space="preserve">La cópula respeta correlaciones macro reales</w:t>
      </w:r>
      <w:r>
        <w:t xml:space="preserve">: la matriz de correlación Spearman 2010–2024 garantiza que los shocks sampleados respeten relaciones empíricas como IMACEC↔desempleo (-0.26), IMACEC↔tasa hipotecaria (+0.20), etc.</w:t>
      </w:r>
    </w:p>
    <w:bookmarkEnd w:id="14"/>
    <w:bookmarkEnd w:id="15"/>
    <w:bookmarkStart w:id="24" w:name="arquitectura-del-modelo"/>
    <w:p>
      <w:pPr>
        <w:pStyle w:val="Heading1"/>
      </w:pPr>
      <w:r>
        <w:t xml:space="preserve">2. Arquitectura del modelo</w:t>
      </w:r>
    </w:p>
    <w:bookmarkStart w:id="19" w:name="estructura-de-tres-capas"/>
    <w:p>
      <w:pPr>
        <w:pStyle w:val="Heading2"/>
      </w:pPr>
      <w:r>
        <w:t xml:space="preserve">2.1 Estructura de tres capas</w:t>
      </w:r>
    </w:p>
    <w:p>
      <w:pPr>
        <w:pStyle w:val="FirstParagraph"/>
      </w:pPr>
      <w:r>
        <w:t xml:space="preserve">El modelo conceptualiza el sistema económico-inmobiliario en tres capas jerárquicas:</w:t>
      </w:r>
    </w:p>
    <w:p>
      <w:pPr>
        <w:pStyle w:val="SourceCode"/>
      </w:pPr>
      <w:r>
        <w:rPr>
          <w:rStyle w:val="VerbatimChar"/>
        </w:rPr>
        <w:t xml:space="preserve">                          ┌──────────────────────┐</w:t>
      </w:r>
      <w:r>
        <w:br/>
      </w:r>
      <w:r>
        <w:rPr>
          <w:rStyle w:val="VerbatimChar"/>
        </w:rPr>
        <w:t xml:space="preserve">                          │  CAPA 3              │</w:t>
      </w:r>
      <w:r>
        <w:br/>
      </w:r>
      <w:r>
        <w:rPr>
          <w:rStyle w:val="VerbatimChar"/>
        </w:rPr>
        <w:t xml:space="preserve">                          │  Estructural Decadal │</w:t>
      </w:r>
      <w:r>
        <w:br/>
      </w:r>
      <w:r>
        <w:rPr>
          <w:rStyle w:val="VerbatimChar"/>
        </w:rPr>
        <w:t xml:space="preserve">                          │                      │</w:t>
      </w:r>
      <w:r>
        <w:br/>
      </w:r>
      <w:r>
        <w:rPr>
          <w:rStyle w:val="VerbatimChar"/>
        </w:rPr>
        <w:t xml:space="preserve">                          │  Demografía:         │</w:t>
      </w:r>
      <w:r>
        <w:br/>
      </w:r>
      <w:r>
        <w:rPr>
          <w:rStyle w:val="VerbatimChar"/>
        </w:rPr>
        <w:t xml:space="preserve">                          │  • Población         │</w:t>
      </w:r>
      <w:r>
        <w:br/>
      </w:r>
      <w:r>
        <w:rPr>
          <w:rStyle w:val="VerbatimChar"/>
        </w:rPr>
        <w:t xml:space="preserve">                          │  • Edad promedio     │</w:t>
      </w:r>
      <w:r>
        <w:br/>
      </w:r>
      <w:r>
        <w:rPr>
          <w:rStyle w:val="VerbatimChar"/>
        </w:rPr>
        <w:t xml:space="preserve">                          │  • Tasa fecundidad   │</w:t>
      </w:r>
      <w:r>
        <w:br/>
      </w:r>
      <w:r>
        <w:rPr>
          <w:rStyle w:val="VerbatimChar"/>
        </w:rPr>
        <w:t xml:space="preserve">                          │  • Nivel educacional │</w:t>
      </w:r>
      <w:r>
        <w:br/>
      </w:r>
      <w:r>
        <w:rPr>
          <w:rStyle w:val="VerbatimChar"/>
        </w:rPr>
        <w:t xml:space="preserve">                          │                      │</w:t>
      </w:r>
      <w:r>
        <w:br/>
      </w:r>
      <w:r>
        <w:rPr>
          <w:rStyle w:val="VerbatimChar"/>
        </w:rPr>
        <w:t xml:space="preserve">                          │  Anclaje del baseline│</w:t>
      </w:r>
      <w:r>
        <w:br/>
      </w:r>
      <w:r>
        <w:rPr>
          <w:rStyle w:val="VerbatimChar"/>
        </w:rPr>
        <w:t xml:space="preserve">                          │  (NO Monte Carlo)    │</w:t>
      </w:r>
      <w:r>
        <w:br/>
      </w:r>
      <w:r>
        <w:rPr>
          <w:rStyle w:val="VerbatimChar"/>
        </w:rPr>
        <w:t xml:space="preserve">                          └──────────┬───────────┘</w:t>
      </w:r>
      <w:r>
        <w:br/>
      </w:r>
      <w:r>
        <w:rPr>
          <w:rStyle w:val="VerbatimChar"/>
        </w:rPr>
        <w:t xml:space="preserve">                                     │ ancla</w:t>
      </w:r>
      <w:r>
        <w:br/>
      </w:r>
      <w:r>
        <w:rPr>
          <w:rStyle w:val="VerbatimChar"/>
        </w:rPr>
        <w:t xml:space="preserve">                                     ▼</w:t>
      </w:r>
      <w:r>
        <w:br/>
      </w:r>
      <w:r>
        <w:rPr>
          <w:rStyle w:val="VerbatimChar"/>
        </w:rPr>
        <w:t xml:space="preserve">                          ┌──────────────────────┐</w:t>
      </w:r>
      <w:r>
        <w:br/>
      </w:r>
      <w:r>
        <w:rPr>
          <w:rStyle w:val="VerbatimChar"/>
        </w:rPr>
        <w:t xml:space="preserve">                          │  CAPA 2              │</w:t>
      </w:r>
      <w:r>
        <w:br/>
      </w:r>
      <w:r>
        <w:rPr>
          <w:rStyle w:val="VerbatimChar"/>
        </w:rPr>
        <w:t xml:space="preserve">                          │  Cíclica/Estocástica │</w:t>
      </w:r>
      <w:r>
        <w:br/>
      </w:r>
      <w:r>
        <w:rPr>
          <w:rStyle w:val="VerbatimChar"/>
        </w:rPr>
        <w:t xml:space="preserve">                          │  ◄── ESTÁ AQUÍ EL MC │</w:t>
      </w:r>
      <w:r>
        <w:br/>
      </w:r>
      <w:r>
        <w:rPr>
          <w:rStyle w:val="VerbatimChar"/>
        </w:rPr>
        <w:t xml:space="preserve">                          │                      │</w:t>
      </w:r>
      <w:r>
        <w:br/>
      </w:r>
      <w:r>
        <w:rPr>
          <w:rStyle w:val="VerbatimChar"/>
        </w:rPr>
        <w:t xml:space="preserve">                          │  Macros oficiales:   │</w:t>
      </w:r>
      <w:r>
        <w:br/>
      </w:r>
      <w:r>
        <w:rPr>
          <w:rStyle w:val="VerbatimChar"/>
        </w:rPr>
        <w:t xml:space="preserve">                          │  • IMACEC (BCCh)     │</w:t>
      </w:r>
      <w:r>
        <w:br/>
      </w:r>
      <w:r>
        <w:rPr>
          <w:rStyle w:val="VerbatimChar"/>
        </w:rPr>
        <w:t xml:space="preserve">                          │  • Tasa hipo (BCCh)  │</w:t>
      </w:r>
      <w:r>
        <w:br/>
      </w:r>
      <w:r>
        <w:rPr>
          <w:rStyle w:val="VerbatimChar"/>
        </w:rPr>
        <w:t xml:space="preserve">                          │  • Desempleo (INE)   │</w:t>
      </w:r>
      <w:r>
        <w:br/>
      </w:r>
      <w:r>
        <w:rPr>
          <w:rStyle w:val="VerbatimChar"/>
        </w:rPr>
        <w:t xml:space="preserve">                          │  • IPV (BCCh)        │</w:t>
      </w:r>
      <w:r>
        <w:br/>
      </w:r>
      <w:r>
        <w:rPr>
          <w:rStyle w:val="VerbatimChar"/>
        </w:rPr>
        <w:t xml:space="preserve">                          │  • ICOI (CChC)       │</w:t>
      </w:r>
      <w:r>
        <w:br/>
      </w:r>
      <w:r>
        <w:rPr>
          <w:rStyle w:val="VerbatimChar"/>
        </w:rPr>
        <w:t xml:space="preserve">                          │                      │</w:t>
      </w:r>
      <w:r>
        <w:br/>
      </w:r>
      <w:r>
        <w:rPr>
          <w:rStyle w:val="VerbatimChar"/>
        </w:rPr>
        <w:t xml:space="preserve">                          │  t-cópula 5-D + Iman-│</w:t>
      </w:r>
      <w:r>
        <w:br/>
      </w:r>
      <w:r>
        <w:rPr>
          <w:rStyle w:val="VerbatimChar"/>
        </w:rPr>
        <w:t xml:space="preserve">                          │  Conover calibration  │</w:t>
      </w:r>
      <w:r>
        <w:br/>
      </w:r>
      <w:r>
        <w:rPr>
          <w:rStyle w:val="VerbatimChar"/>
        </w:rPr>
        <w:t xml:space="preserve">                          └──────────┬───────────┘</w:t>
      </w:r>
      <w:r>
        <w:br/>
      </w:r>
      <w:r>
        <w:rPr>
          <w:rStyle w:val="VerbatimChar"/>
        </w:rPr>
        <w:t xml:space="preserve">                                     │ propaga</w:t>
      </w:r>
      <w:r>
        <w:br/>
      </w:r>
      <w:r>
        <w:rPr>
          <w:rStyle w:val="VerbatimChar"/>
        </w:rPr>
        <w:t xml:space="preserve">                                     ▼</w:t>
      </w:r>
      <w:r>
        <w:br/>
      </w:r>
      <w:r>
        <w:rPr>
          <w:rStyle w:val="VerbatimChar"/>
        </w:rPr>
        <w:t xml:space="preserve">                          ┌──────────────────────┐</w:t>
      </w:r>
      <w:r>
        <w:br/>
      </w:r>
      <w:r>
        <w:rPr>
          <w:rStyle w:val="VerbatimChar"/>
        </w:rPr>
        <w:t xml:space="preserve">                          │  CAPA 1              │</w:t>
      </w:r>
      <w:r>
        <w:br/>
      </w:r>
      <w:r>
        <w:rPr>
          <w:rStyle w:val="VerbatimChar"/>
        </w:rPr>
        <w:t xml:space="preserve">                          │  Producto/Proyecto   │</w:t>
      </w:r>
      <w:r>
        <w:br/>
      </w:r>
      <w:r>
        <w:rPr>
          <w:rStyle w:val="VerbatimChar"/>
        </w:rPr>
        <w:t xml:space="preserve">                          │                      │</w:t>
      </w:r>
      <w:r>
        <w:br/>
      </w:r>
      <w:r>
        <w:rPr>
          <w:rStyle w:val="VerbatimChar"/>
        </w:rPr>
        <w:t xml:space="preserve">                          │  Variables derivadas:│</w:t>
      </w:r>
      <w:r>
        <w:br/>
      </w:r>
      <w:r>
        <w:rPr>
          <w:rStyle w:val="VerbatimChar"/>
        </w:rPr>
        <w:t xml:space="preserve">                          │  • Precio UF/m²      │</w:t>
      </w:r>
      <w:r>
        <w:br/>
      </w:r>
      <w:r>
        <w:rPr>
          <w:rStyle w:val="VerbatimChar"/>
        </w:rPr>
        <w:t xml:space="preserve">                          │  • Velocidad uds/mes │</w:t>
      </w:r>
      <w:r>
        <w:br/>
      </w:r>
      <w:r>
        <w:rPr>
          <w:rStyle w:val="VerbatimChar"/>
        </w:rPr>
        <w:t xml:space="preserve">                          │  • Costo construcción│</w:t>
      </w:r>
      <w:r>
        <w:br/>
      </w:r>
      <w:r>
        <w:rPr>
          <w:rStyle w:val="VerbatimChar"/>
        </w:rPr>
        <w:t xml:space="preserve">                          │  • Plazo de obra     │</w:t>
      </w:r>
      <w:r>
        <w:br/>
      </w:r>
      <w:r>
        <w:rPr>
          <w:rStyle w:val="VerbatimChar"/>
        </w:rPr>
        <w:t xml:space="preserve">                          │                      │</w:t>
      </w:r>
      <w:r>
        <w:br/>
      </w:r>
      <w:r>
        <w:rPr>
          <w:rStyle w:val="VerbatimChar"/>
        </w:rPr>
        <w:t xml:space="preserve">                          │  + ε idiosincrático  │</w:t>
      </w:r>
      <w:r>
        <w:br/>
      </w:r>
      <w:r>
        <w:rPr>
          <w:rStyle w:val="VerbatimChar"/>
        </w:rPr>
        <w:t xml:space="preserve">                          │  (calibrado TINSA)   │</w:t>
      </w:r>
      <w:r>
        <w:br/>
      </w:r>
      <w:r>
        <w:rPr>
          <w:rStyle w:val="VerbatimChar"/>
        </w:rPr>
        <w:t xml:space="preserve">                          └──────────┬───────────┘</w:t>
      </w:r>
      <w:r>
        <w:br/>
      </w:r>
      <w:r>
        <w:rPr>
          <w:rStyle w:val="VerbatimChar"/>
        </w:rPr>
        <w:t xml:space="preserve">                                     │ aplica vía</w:t>
      </w:r>
      <w:r>
        <w:br/>
      </w:r>
      <w:r>
        <w:rPr>
          <w:rStyle w:val="VerbatimChar"/>
        </w:rPr>
        <w:t xml:space="preserve">                                     │ sensibilidades</w:t>
      </w:r>
      <w:r>
        <w:br/>
      </w:r>
      <w:r>
        <w:rPr>
          <w:rStyle w:val="VerbatimChar"/>
        </w:rPr>
        <w:t xml:space="preserve">                                     ▼</w:t>
      </w:r>
      <w:r>
        <w:br/>
      </w:r>
      <w:r>
        <w:rPr>
          <w:rStyle w:val="VerbatimChar"/>
        </w:rPr>
        <w:t xml:space="preserve">                          ┌──────────────────────┐</w:t>
      </w:r>
      <w:r>
        <w:br/>
      </w:r>
      <w:r>
        <w:rPr>
          <w:rStyle w:val="VerbatimChar"/>
        </w:rPr>
        <w:t xml:space="preserve">                          │  Δ-incidencia        │</w:t>
      </w:r>
      <w:r>
        <w:br/>
      </w:r>
      <w:r>
        <w:rPr>
          <w:rStyle w:val="VerbatimChar"/>
        </w:rPr>
        <w:t xml:space="preserve">                          │  por familia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peResimulate()      │</w:t>
      </w:r>
      <w:r>
        <w:br/>
      </w:r>
      <w:r>
        <w:rPr>
          <w:rStyle w:val="VerbatimChar"/>
        </w:rPr>
        <w:t xml:space="preserve">                          │  Flujo AUDP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VAN AUDP @ 8%       │</w:t>
      </w:r>
      <w:r>
        <w:br/>
      </w:r>
      <w:r>
        <w:rPr>
          <w:rStyle w:val="VerbatimChar"/>
        </w:rPr>
        <w:t xml:space="preserve">                          └──────────────────────┘</w:t>
      </w:r>
    </w:p>
    <w:bookmarkStart w:id="16" w:name="capa-3-estructural-decadal"/>
    <w:p>
      <w:pPr>
        <w:pStyle w:val="Heading3"/>
      </w:pPr>
      <w:r>
        <w:t xml:space="preserve">Capa 3 — Estructural decadal</w:t>
      </w:r>
    </w:p>
    <w:p>
      <w:pPr>
        <w:pStyle w:val="FirstParagraph"/>
      </w:pPr>
      <w:r>
        <w:t xml:space="preserve">Variables que cambian en escalas de</w:t>
      </w:r>
      <w:r>
        <w:t xml:space="preserve"> </w:t>
      </w:r>
      <w:r>
        <w:rPr>
          <w:b/>
          <w:bCs/>
        </w:rPr>
        <w:t xml:space="preserve">décadas, no de trimestres</w:t>
      </w:r>
      <w:r>
        <w:t xml:space="preserve">: demografía, fertilidad, educación. En la versión actual estas variables</w:t>
      </w:r>
      <w:r>
        <w:t xml:space="preserve"> </w:t>
      </w:r>
      <w:r>
        <w:rPr>
          <w:b/>
          <w:bCs/>
        </w:rPr>
        <w:t xml:space="preserve">no se sortean estocásticamente</w:t>
      </w:r>
      <w:r>
        <w:t xml:space="preserve"> </w:t>
      </w:r>
      <w:r>
        <w:t xml:space="preserve">— se utilizan como anclaje del escenario base (qué demanda cabe esperar a 20+ años, qué mix de productos es apropiado por zona). Su variabilidad anual es tan baja que sortarlas con noise produciría escenarios irreales (e.g.,</w:t>
      </w:r>
      <w:r>
        <w:t xml:space="preserve"> </w:t>
      </w:r>
      <w:r>
        <w:t xml:space="preserve">“fertilidad sube 30% en un trimestre”</w:t>
      </w:r>
      <w:r>
        <w:t xml:space="preserve">).</w:t>
      </w:r>
    </w:p>
    <w:bookmarkEnd w:id="16"/>
    <w:bookmarkStart w:id="17" w:name="capa-2-cíclica-estocástica"/>
    <w:p>
      <w:pPr>
        <w:pStyle w:val="Heading3"/>
      </w:pPr>
      <w:r>
        <w:t xml:space="preserve">Capa 2 — Cíclica estocástica</w:t>
      </w:r>
    </w:p>
    <w:p>
      <w:pPr>
        <w:pStyle w:val="FirstParagraph"/>
      </w:pPr>
      <w:r>
        <w:t xml:space="preserve">Variables macro que</w:t>
      </w:r>
      <w:r>
        <w:t xml:space="preserve"> </w:t>
      </w:r>
      <w:r>
        <w:rPr>
          <w:b/>
          <w:bCs/>
        </w:rPr>
        <w:t xml:space="preserve">fluctúan trimestralmente</w:t>
      </w:r>
      <w:r>
        <w:t xml:space="preserve"> </w:t>
      </w:r>
      <w:r>
        <w:t xml:space="preserve">y son las que mueven el ciclo económico-inmobiliario: IMACEC, tasas, IPV, ICOI. Esta es la capa donde</w:t>
      </w:r>
      <w:r>
        <w:t xml:space="preserve"> </w:t>
      </w:r>
      <w:r>
        <w:rPr>
          <w:b/>
          <w:bCs/>
        </w:rPr>
        <w:t xml:space="preserve">opera el Monte Carlo del Factor Macro</w:t>
      </w:r>
      <w:r>
        <w:t xml:space="preserve">: se samplean las 5 macros conjuntamente con t-cópula y luego se propagan a la Capa 1.</w:t>
      </w:r>
    </w:p>
    <w:bookmarkEnd w:id="17"/>
    <w:bookmarkStart w:id="18" w:name="capa-1-producto"/>
    <w:p>
      <w:pPr>
        <w:pStyle w:val="Heading3"/>
      </w:pPr>
      <w:r>
        <w:t xml:space="preserve">Capa 1 — Producto</w:t>
      </w:r>
    </w:p>
    <w:p>
      <w:pPr>
        <w:pStyle w:val="FirstParagraph"/>
      </w:pPr>
      <w:r>
        <w:t xml:space="preserve">Las 4 variables del proyecto (precio, costo, velocidad, plazo)</w:t>
      </w:r>
      <w:r>
        <w:t xml:space="preserve"> </w:t>
      </w:r>
      <w:r>
        <w:rPr>
          <w:b/>
          <w:bCs/>
        </w:rPr>
        <w:t xml:space="preserve">no se sortean directamente</w:t>
      </w:r>
      <w:r>
        <w:t xml:space="preserve"> </w:t>
      </w:r>
      <w:r>
        <w:t xml:space="preserve">desde sus distribuciones marginales TINSA. En su lugar, se</w:t>
      </w:r>
      <w:r>
        <w:t xml:space="preserve"> </w:t>
      </w:r>
      <w:r>
        <w:rPr>
          <w:b/>
          <w:bCs/>
        </w:rPr>
        <w:t xml:space="preserve">derivan de las macros sampleadas</w:t>
      </w:r>
      <w:r>
        <w:t xml:space="preserve"> </w:t>
      </w:r>
      <w:r>
        <w:t xml:space="preserve">mediante:</w:t>
      </w:r>
    </w:p>
    <w:p>
      <w:pPr>
        <w:pStyle w:val="Compact"/>
        <w:numPr>
          <w:ilvl w:val="0"/>
          <w:numId w:val="1006"/>
        </w:numPr>
      </w:pPr>
      <w:r>
        <w:rPr>
          <w:b/>
          <w:bCs/>
        </w:rPr>
        <w:t xml:space="preserve">Shocks directos</w:t>
      </w:r>
      <w:r>
        <w:t xml:space="preserve"> </w:t>
      </w:r>
      <w:r>
        <w:t xml:space="preserve">para precio (proxy IPV) y costo (proxy ICOI) — ambas variables tienen índices oficiales.</w:t>
      </w:r>
    </w:p>
    <w:p>
      <w:pPr>
        <w:pStyle w:val="Compact"/>
        <w:numPr>
          <w:ilvl w:val="0"/>
          <w:numId w:val="1006"/>
        </w:numPr>
      </w:pPr>
      <w:r>
        <w:rPr>
          <w:b/>
          <w:bCs/>
        </w:rPr>
        <w:t xml:space="preserve">Regresión OLS</w:t>
      </w:r>
      <w:r>
        <w:t xml:space="preserve"> </w:t>
      </w:r>
      <w:r>
        <w:t xml:space="preserve">para velocidad — no existe índice oficial, así que la macro aporta predicción.</w:t>
      </w:r>
    </w:p>
    <w:p>
      <w:pPr>
        <w:pStyle w:val="Compact"/>
        <w:numPr>
          <w:ilvl w:val="0"/>
          <w:numId w:val="1006"/>
        </w:numPr>
      </w:pPr>
      <w:r>
        <w:rPr>
          <w:b/>
          <w:bCs/>
        </w:rPr>
        <w:t xml:space="preserve">Shock idiosincrático</w:t>
      </w:r>
      <w:r>
        <w:t xml:space="preserve"> </w:t>
      </w:r>
      <w:r>
        <w:t xml:space="preserve">para plazo — la macro no determina el plazo de obra.</w:t>
      </w:r>
    </w:p>
    <w:p>
      <w:pPr>
        <w:pStyle w:val="FirstParagraph"/>
      </w:pPr>
      <w:r>
        <w:t xml:space="preserve">La razón de derivar la Capa 1 desde la Capa 2 (en lugar de samplear directo) es que</w:t>
      </w:r>
      <w:r>
        <w:t xml:space="preserve"> </w:t>
      </w:r>
      <w:r>
        <w:rPr>
          <w:b/>
          <w:bCs/>
        </w:rPr>
        <w:t xml:space="preserve">garantiza coherencia entre escenarios</w:t>
      </w:r>
      <w:r>
        <w:t xml:space="preserve">. Sin esto, el modelo podría generar escenarios donde</w:t>
      </w:r>
      <w:r>
        <w:t xml:space="preserve"> </w:t>
      </w:r>
      <w:r>
        <w:t xml:space="preserve">“el precio sube 10% pero el IPV se mantiene plano”</w:t>
      </w:r>
      <w:r>
        <w:t xml:space="preserve"> </w:t>
      </w:r>
      <w:r>
        <w:t xml:space="preserve">— algo que la cópula directa permite pero el modelo factorial impide.</w:t>
      </w:r>
    </w:p>
    <w:bookmarkEnd w:id="18"/>
    <w:bookmarkEnd w:id="19"/>
    <w:bookmarkStart w:id="23" w:name="X396f44b76a0192313be9d9b2ee7aa23849aa2a8"/>
    <w:p>
      <w:pPr>
        <w:pStyle w:val="Heading2"/>
      </w:pPr>
      <w:r>
        <w:t xml:space="preserve">2.2 Razón de existencia de la Capa 1 separada</w:t>
      </w:r>
    </w:p>
    <w:p>
      <w:pPr>
        <w:pStyle w:val="FirstParagraph"/>
      </w:pPr>
      <w:r>
        <w:t xml:space="preserve">Una pregunta razonable es: si las macros determinan los shocks de precio y costo, ¿por qué tener la Capa 1 como capa intermedia? ¿No podría aplicarse el shock macro directamente al flujo del proyecto?</w:t>
      </w:r>
    </w:p>
    <w:p>
      <w:pPr>
        <w:pStyle w:val="BodyText"/>
      </w:pPr>
      <w:r>
        <w:t xml:space="preserve">La respuesta tiene tres partes:</w:t>
      </w:r>
    </w:p>
    <w:bookmarkStart w:id="20" w:name="el-residual-es-no-lineal"/>
    <w:p>
      <w:pPr>
        <w:pStyle w:val="Heading3"/>
      </w:pPr>
      <w:r>
        <w:t xml:space="preserve">2.2.1 El residual es no-lineal</w:t>
      </w:r>
    </w:p>
    <w:p>
      <w:pPr>
        <w:pStyle w:val="FirstParagraph"/>
      </w:pPr>
      <w:r>
        <w:t xml:space="preserve">La incidencia de terreno (en porcentaje sobre venta)</w:t>
      </w:r>
      <w:r>
        <w:t xml:space="preserve"> </w:t>
      </w:r>
      <w:r>
        <w:rPr>
          <w:b/>
          <w:bCs/>
        </w:rPr>
        <w:t xml:space="preserve">no es lineal</w:t>
      </w:r>
      <w:r>
        <w:t xml:space="preserve"> </w:t>
      </w:r>
      <w:r>
        <w:t xml:space="preserve">en los inputs del proyecto. Cambios en el precio afectan el flujo de caja, que afecta la TIR, que afecta el land value vía bisección. Para shocks pequeños (&lt;10%) es aproximadamente lineal; para shocks grandes la no-linealidad importa.</w:t>
      </w:r>
    </w:p>
    <w:p>
      <w:pPr>
        <w:pStyle w:val="BodyText"/>
      </w:pPr>
      <w:r>
        <w:t xml:space="preserve">Por eso el modelo guarda</w:t>
      </w:r>
      <w:r>
        <w:t xml:space="preserve"> </w:t>
      </w:r>
      <w:r>
        <w:rPr>
          <w:b/>
          <w:bCs/>
        </w:rPr>
        <w:t xml:space="preserve">sensibilidades calculadas con centered-difference (±5%)</w:t>
      </w:r>
      <w:r>
        <w:t xml:space="preserve"> </w:t>
      </w:r>
      <w:r>
        <w:t xml:space="preserve">que aproximan el comportamiento local del residual con error O(h²), suficiente para shocks típicos de Monte Carlo.</w:t>
      </w:r>
    </w:p>
    <w:bookmarkEnd w:id="20"/>
    <w:bookmarkStart w:id="21" w:name="el-ε-idiosincrático-es-real"/>
    <w:p>
      <w:pPr>
        <w:pStyle w:val="Heading3"/>
      </w:pPr>
      <w:r>
        <w:t xml:space="preserve">2.2.2 El ε idiosincrático es real</w:t>
      </w:r>
    </w:p>
    <w:p>
      <w:pPr>
        <w:pStyle w:val="FirstParagraph"/>
      </w:pPr>
      <w:r>
        <w:t xml:space="preserve">Aun controlando por las macros, el precio y la velocidad de un proyecto específico tienen variabilidad propia (calidad del marketing, ubicación específica, ejecución del developer). El modelo</w:t>
      </w:r>
      <w:r>
        <w:t xml:space="preserve"> </w:t>
      </w:r>
      <w:r>
        <w:rPr>
          <w:b/>
          <w:bCs/>
        </w:rPr>
        <w:t xml:space="preserve">calibra explícitamente este ruido</w:t>
      </w:r>
      <w:r>
        <w:t xml:space="preserve"> </w:t>
      </w:r>
      <w:r>
        <w:t xml:space="preserve">como σ idiosincrático por familia: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σ idiosincrático precio</w:t>
            </w:r>
          </w:p>
        </w:tc>
        <w:tc>
          <w:tcPr/>
          <w:p>
            <w:pPr>
              <w:pStyle w:val="Compact"/>
            </w:pPr>
            <w:r>
              <w:t xml:space="preserve">Interpretación</w:t>
            </w:r>
          </w:p>
        </w:tc>
      </w:tr>
      <w:tr>
        <w:tc>
          <w:tcPr/>
          <w:p>
            <w:pPr>
              <w:pStyle w:val="Compact"/>
            </w:pPr>
            <w:r>
              <w:t xml:space="preserve">Edificio 4-6 pisos</w:t>
            </w:r>
          </w:p>
        </w:tc>
        <w:tc>
          <w:tcPr/>
          <w:p>
            <w:pPr>
              <w:pStyle w:val="Compact"/>
            </w:pPr>
            <w:r>
              <w:t xml:space="preserve">9.80 pp</w:t>
            </w:r>
          </w:p>
        </w:tc>
        <w:tc>
          <w:tcPr/>
          <w:p>
            <w:pPr>
              <w:pStyle w:val="Compact"/>
            </w:pPr>
            <w:r>
              <w:t xml:space="preserve">Variación amplia entre proyectos del segmento</w:t>
            </w:r>
          </w:p>
        </w:tc>
      </w:tr>
      <w:tr>
        <w:tc>
          <w:tcPr/>
          <w:p>
            <w:pPr>
              <w:pStyle w:val="Compact"/>
            </w:pPr>
            <w:r>
              <w:t xml:space="preserve">DS19</w:t>
            </w:r>
          </w:p>
        </w:tc>
        <w:tc>
          <w:tcPr/>
          <w:p>
            <w:pPr>
              <w:pStyle w:val="Compact"/>
            </w:pPr>
            <w:r>
              <w:t xml:space="preserve">5.16 pp</w:t>
            </w:r>
          </w:p>
        </w:tc>
        <w:tc>
          <w:tcPr/>
          <w:p>
            <w:pPr>
              <w:pStyle w:val="Compact"/>
            </w:pPr>
            <w:r>
              <w:t xml:space="preserve">Más uniforme (subsidio acota el precio)</w:t>
            </w:r>
          </w:p>
        </w:tc>
      </w:tr>
      <w:tr>
        <w:tc>
          <w:tcPr/>
          <w:p>
            <w:pPr>
              <w:pStyle w:val="Compact"/>
            </w:pPr>
            <w:r>
              <w:t xml:space="preserve">Casa</w:t>
            </w:r>
          </w:p>
        </w:tc>
        <w:tc>
          <w:tcPr/>
          <w:p>
            <w:pPr>
              <w:pStyle w:val="Compact"/>
            </w:pPr>
            <w:r>
              <w:t xml:space="preserve">6.40 pp</w:t>
            </w:r>
          </w:p>
        </w:tc>
        <w:tc>
          <w:tcPr/>
          <w:p>
            <w:pPr>
              <w:pStyle w:val="Compact"/>
            </w:pPr>
            <w:r>
              <w:t xml:space="preserve">Moderada</w:t>
            </w:r>
          </w:p>
        </w:tc>
      </w:tr>
      <w:tr>
        <w:tc>
          <w:tcPr/>
          <w:p>
            <w:pPr>
              <w:pStyle w:val="Compact"/>
            </w:pPr>
            <w:r>
              <w:t xml:space="preserve">Townhouse</w:t>
            </w:r>
          </w:p>
        </w:tc>
        <w:tc>
          <w:tcPr/>
          <w:p>
            <w:pPr>
              <w:pStyle w:val="Compact"/>
            </w:pPr>
            <w:r>
              <w:t xml:space="preserve">17.17 pp</w:t>
            </w:r>
          </w:p>
        </w:tc>
        <w:tc>
          <w:tcPr/>
          <w:p>
            <w:pPr>
              <w:pStyle w:val="Compact"/>
            </w:pPr>
            <w:r>
              <w:t xml:space="preserve">Alta heterogeneidad por baja N (n=116)</w:t>
            </w:r>
          </w:p>
        </w:tc>
      </w:tr>
    </w:tbl>
    <w:bookmarkEnd w:id="21"/>
    <w:bookmarkStart w:id="22" w:name="X5b1550ded6296f073234df7239cb60fe79604bb"/>
    <w:p>
      <w:pPr>
        <w:pStyle w:val="Heading3"/>
      </w:pPr>
      <w:r>
        <w:t xml:space="preserve">2.2.3 La separación facilita el debug y la auditoría</w:t>
      </w:r>
    </w:p>
    <w:p>
      <w:pPr>
        <w:pStyle w:val="FirstParagraph"/>
      </w:pPr>
      <w:r>
        <w:t xml:space="preserve">Cuando el VAN se mueve, podemos atribuir el movimiento a un shock de Capa 1 específico, y desde ahí trazar al shock macro de Capa 2 que lo causó. Sin la Capa 1 explícita, el debug sería opaco.</w:t>
      </w:r>
    </w:p>
    <w:bookmarkEnd w:id="22"/>
    <w:bookmarkEnd w:id="23"/>
    <w:bookmarkEnd w:id="24"/>
    <w:bookmarkStart w:id="38" w:name="variables-del-modelo-catálogo-completo"/>
    <w:p>
      <w:pPr>
        <w:pStyle w:val="Heading1"/>
      </w:pPr>
      <w:r>
        <w:t xml:space="preserve">3. Variables del modelo: catálogo completo</w:t>
      </w:r>
    </w:p>
    <w:bookmarkStart w:id="30" w:name="variables-sampleadas-capa-2"/>
    <w:p>
      <w:pPr>
        <w:pStyle w:val="Heading2"/>
      </w:pPr>
      <w:r>
        <w:t xml:space="preserve">3.1 Variables sampleadas (Capa 2)</w:t>
      </w:r>
    </w:p>
    <w:p>
      <w:pPr>
        <w:pStyle w:val="FirstParagraph"/>
      </w:pPr>
      <w:r>
        <w:t xml:space="preserve">Las siguientes 5 variables se samplean</w:t>
      </w:r>
      <w:r>
        <w:t xml:space="preserve"> </w:t>
      </w:r>
      <w:r>
        <w:rPr>
          <w:b/>
          <w:bCs/>
        </w:rPr>
        <w:t xml:space="preserve">conjuntamente</w:t>
      </w:r>
      <w:r>
        <w:t xml:space="preserve"> </w:t>
      </w:r>
      <w:r>
        <w:t xml:space="preserve">con t-cópula en cada iteración del Monte Carlo:</w:t>
      </w:r>
    </w:p>
    <w:bookmarkStart w:id="25" w:name="imacec-variación-interanual"/>
    <w:p>
      <w:pPr>
        <w:pStyle w:val="Heading3"/>
      </w:pPr>
      <w:r>
        <w:t xml:space="preserve">3.1.1 IMACEC variación interanual %</w:t>
      </w:r>
    </w:p>
    <w:p>
      <w:pPr>
        <w:pStyle w:val="Compact"/>
        <w:numPr>
          <w:ilvl w:val="0"/>
          <w:numId w:val="1007"/>
        </w:numPr>
      </w:pPr>
      <w:r>
        <w:rPr>
          <w:b/>
          <w:bCs/>
        </w:rPr>
        <w:t xml:space="preserve">Símbolo</w:t>
      </w:r>
      <w:r>
        <w:t xml:space="preserve">:</w:t>
      </w:r>
      <w:r>
        <w:t xml:space="preserve"> </w:t>
      </w:r>
      <w:r>
        <w:rPr>
          <w:rStyle w:val="VerbatimChar"/>
        </w:rPr>
        <w:t xml:space="preserve">imacec_var_pct</w:t>
      </w:r>
    </w:p>
    <w:p>
      <w:pPr>
        <w:pStyle w:val="Compact"/>
        <w:numPr>
          <w:ilvl w:val="0"/>
          <w:numId w:val="1007"/>
        </w:numPr>
      </w:pPr>
      <w:r>
        <w:rPr>
          <w:b/>
          <w:bCs/>
        </w:rPr>
        <w:t xml:space="preserve">Fuente</w:t>
      </w:r>
      <w:r>
        <w:t xml:space="preserve">: Banco Central de Chile, serie de IMACEC mensual</w:t>
      </w:r>
    </w:p>
    <w:p>
      <w:pPr>
        <w:pStyle w:val="Compact"/>
        <w:numPr>
          <w:ilvl w:val="0"/>
          <w:numId w:val="1007"/>
        </w:numPr>
      </w:pPr>
      <w:r>
        <w:rPr>
          <w:b/>
          <w:bCs/>
        </w:rPr>
        <w:t xml:space="preserve">Cobertura histórica</w:t>
      </w:r>
      <w:r>
        <w:t xml:space="preserve">: 1997-Q1 a 2026-Q1 (117 trimestres tras agregación)</w:t>
      </w:r>
    </w:p>
    <w:p>
      <w:pPr>
        <w:pStyle w:val="Compact"/>
        <w:numPr>
          <w:ilvl w:val="0"/>
          <w:numId w:val="1007"/>
        </w:numPr>
      </w:pPr>
      <w:r>
        <w:rPr>
          <w:b/>
          <w:bCs/>
        </w:rPr>
        <w:t xml:space="preserve">Distribución muestral</w:t>
      </w:r>
      <w:r>
        <w:t xml:space="preserve">: empírica winsorizada p1–p99</w:t>
      </w:r>
    </w:p>
    <w:p>
      <w:pPr>
        <w:pStyle w:val="Compact"/>
        <w:numPr>
          <w:ilvl w:val="0"/>
          <w:numId w:val="1007"/>
        </w:numPr>
      </w:pPr>
      <w:r>
        <w:rPr>
          <w:b/>
          <w:bCs/>
        </w:rPr>
        <w:t xml:space="preserve">Estadísticas</w:t>
      </w:r>
      <w:r>
        <w:t xml:space="preserve">: media 2.89%, σ 4.48%, p10 −2.77%, p50 +2.51%, p90 +8.77%</w:t>
      </w:r>
    </w:p>
    <w:p>
      <w:pPr>
        <w:pStyle w:val="Compact"/>
        <w:numPr>
          <w:ilvl w:val="0"/>
          <w:numId w:val="1007"/>
        </w:numPr>
      </w:pPr>
      <w:r>
        <w:rPr>
          <w:b/>
          <w:bCs/>
        </w:rPr>
        <w:t xml:space="preserve">Interpretación</w:t>
      </w:r>
      <w:r>
        <w:t xml:space="preserve">: variación interanual del IMACEC desestacionalizado. Captura el ciclo PIB de alta frecuencia.</w:t>
      </w:r>
    </w:p>
    <w:bookmarkEnd w:id="25"/>
    <w:bookmarkStart w:id="26" w:name="δ-tasa-hipotecaria-cambio-anual-en-pp"/>
    <w:p>
      <w:pPr>
        <w:pStyle w:val="Heading3"/>
      </w:pPr>
      <w:r>
        <w:t xml:space="preserve">3.1.2 Δ Tasa hipotecaria (cambio anual en pp)</w:t>
      </w:r>
    </w:p>
    <w:p>
      <w:pPr>
        <w:pStyle w:val="Compact"/>
        <w:numPr>
          <w:ilvl w:val="0"/>
          <w:numId w:val="1008"/>
        </w:numPr>
      </w:pPr>
      <w:r>
        <w:rPr>
          <w:b/>
          <w:bCs/>
        </w:rPr>
        <w:t xml:space="preserve">Símbolo</w:t>
      </w:r>
      <w:r>
        <w:t xml:space="preserve">:</w:t>
      </w:r>
      <w:r>
        <w:t xml:space="preserve"> </w:t>
      </w:r>
      <w:r>
        <w:rPr>
          <w:rStyle w:val="VerbatimChar"/>
        </w:rPr>
        <w:t xml:space="preserve">d_tasa_hipo</w:t>
      </w:r>
    </w:p>
    <w:p>
      <w:pPr>
        <w:pStyle w:val="Compact"/>
        <w:numPr>
          <w:ilvl w:val="0"/>
          <w:numId w:val="1008"/>
        </w:numPr>
      </w:pPr>
      <w:r>
        <w:rPr>
          <w:b/>
          <w:bCs/>
        </w:rPr>
        <w:t xml:space="preserve">Fuente</w:t>
      </w:r>
      <w:r>
        <w:t xml:space="preserve">: BCCh + CMF, tasa hipotecaria UF promedio</w:t>
      </w:r>
    </w:p>
    <w:p>
      <w:pPr>
        <w:pStyle w:val="Compact"/>
        <w:numPr>
          <w:ilvl w:val="0"/>
          <w:numId w:val="1008"/>
        </w:numPr>
      </w:pPr>
      <w:r>
        <w:rPr>
          <w:b/>
          <w:bCs/>
        </w:rPr>
        <w:t xml:space="preserve">Cobertura</w:t>
      </w:r>
      <w:r>
        <w:t xml:space="preserve">: 2002 a presente</w:t>
      </w:r>
    </w:p>
    <w:p>
      <w:pPr>
        <w:pStyle w:val="Compact"/>
        <w:numPr>
          <w:ilvl w:val="0"/>
          <w:numId w:val="1008"/>
        </w:numPr>
      </w:pPr>
      <w:r>
        <w:rPr>
          <w:b/>
          <w:bCs/>
        </w:rPr>
        <w:t xml:space="preserve">Distribución</w:t>
      </w:r>
      <w:r>
        <w:t xml:space="preserve">: empírica</w:t>
      </w:r>
    </w:p>
    <w:p>
      <w:pPr>
        <w:pStyle w:val="Compact"/>
        <w:numPr>
          <w:ilvl w:val="0"/>
          <w:numId w:val="1008"/>
        </w:numPr>
      </w:pPr>
      <w:r>
        <w:rPr>
          <w:b/>
          <w:bCs/>
        </w:rPr>
        <w:t xml:space="preserve">Estadísticas</w:t>
      </w:r>
      <w:r>
        <w:t xml:space="preserve">: media −0.05 pp, σ 0.48 pp, p10 −0.85, p50 −0.06, p90 +0.77</w:t>
      </w:r>
    </w:p>
    <w:p>
      <w:pPr>
        <w:pStyle w:val="Compact"/>
        <w:numPr>
          <w:ilvl w:val="0"/>
          <w:numId w:val="1008"/>
        </w:numPr>
      </w:pPr>
      <w:r>
        <w:rPr>
          <w:b/>
          <w:bCs/>
        </w:rPr>
        <w:t xml:space="preserve">Interpretación</w:t>
      </w:r>
      <w:r>
        <w:t xml:space="preserve">: cambio del nivel de tasas hipotecarias respecto al mismo trimestre del año anterior. Negativa → tasas cayeron, positiva → tasas subieron.</w:t>
      </w:r>
    </w:p>
    <w:bookmarkEnd w:id="26"/>
    <w:bookmarkStart w:id="27" w:name="δ-tasa-de-desempleo-cambio-anual-en-pp"/>
    <w:p>
      <w:pPr>
        <w:pStyle w:val="Heading3"/>
      </w:pPr>
      <w:r>
        <w:t xml:space="preserve">3.1.3 Δ Tasa de desempleo (cambio anual en pp)</w:t>
      </w:r>
    </w:p>
    <w:p>
      <w:pPr>
        <w:pStyle w:val="Compact"/>
        <w:numPr>
          <w:ilvl w:val="0"/>
          <w:numId w:val="1009"/>
        </w:numPr>
      </w:pPr>
      <w:r>
        <w:rPr>
          <w:b/>
          <w:bCs/>
        </w:rPr>
        <w:t xml:space="preserve">Símbolo</w:t>
      </w:r>
      <w:r>
        <w:t xml:space="preserve">:</w:t>
      </w:r>
      <w:r>
        <w:t xml:space="preserve"> </w:t>
      </w:r>
      <w:r>
        <w:rPr>
          <w:rStyle w:val="VerbatimChar"/>
        </w:rPr>
        <w:t xml:space="preserve">d_desempleo</w:t>
      </w:r>
    </w:p>
    <w:p>
      <w:pPr>
        <w:pStyle w:val="Compact"/>
        <w:numPr>
          <w:ilvl w:val="0"/>
          <w:numId w:val="1009"/>
        </w:numPr>
      </w:pPr>
      <w:r>
        <w:rPr>
          <w:b/>
          <w:bCs/>
        </w:rPr>
        <w:t xml:space="preserve">Fuente</w:t>
      </w:r>
      <w:r>
        <w:t xml:space="preserve">: INE, NESI (encuesta trimestral móvil)</w:t>
      </w:r>
    </w:p>
    <w:p>
      <w:pPr>
        <w:pStyle w:val="Compact"/>
        <w:numPr>
          <w:ilvl w:val="0"/>
          <w:numId w:val="1009"/>
        </w:numPr>
      </w:pPr>
      <w:r>
        <w:rPr>
          <w:b/>
          <w:bCs/>
        </w:rPr>
        <w:t xml:space="preserve">Cobertura</w:t>
      </w:r>
      <w:r>
        <w:t xml:space="preserve">: 2010 a presente</w:t>
      </w:r>
    </w:p>
    <w:p>
      <w:pPr>
        <w:pStyle w:val="Compact"/>
        <w:numPr>
          <w:ilvl w:val="0"/>
          <w:numId w:val="1009"/>
        </w:numPr>
      </w:pPr>
      <w:r>
        <w:rPr>
          <w:b/>
          <w:bCs/>
        </w:rPr>
        <w:t xml:space="preserve">Distribución</w:t>
      </w:r>
      <w:r>
        <w:t xml:space="preserve">: empírica</w:t>
      </w:r>
    </w:p>
    <w:p>
      <w:pPr>
        <w:pStyle w:val="Compact"/>
        <w:numPr>
          <w:ilvl w:val="0"/>
          <w:numId w:val="1009"/>
        </w:numPr>
      </w:pPr>
      <w:r>
        <w:rPr>
          <w:b/>
          <w:bCs/>
        </w:rPr>
        <w:t xml:space="preserve">Estadísticas</w:t>
      </w:r>
      <w:r>
        <w:t xml:space="preserve">: media −0.01 pp, σ 0.83 pp</w:t>
      </w:r>
    </w:p>
    <w:p>
      <w:pPr>
        <w:pStyle w:val="Compact"/>
        <w:numPr>
          <w:ilvl w:val="0"/>
          <w:numId w:val="1009"/>
        </w:numPr>
      </w:pPr>
      <w:r>
        <w:rPr>
          <w:b/>
          <w:bCs/>
        </w:rPr>
        <w:t xml:space="preserve">Interpretación</w:t>
      </w:r>
      <w:r>
        <w:t xml:space="preserve">: cambio interanual de la tasa de desempleo nacional.</w:t>
      </w:r>
    </w:p>
    <w:bookmarkEnd w:id="27"/>
    <w:bookmarkStart w:id="28" w:name="ipv-yoy-por-familia"/>
    <w:p>
      <w:pPr>
        <w:pStyle w:val="Heading3"/>
      </w:pPr>
      <w:r>
        <w:t xml:space="preserve">3.1.4 IPV YoY % por familia</w:t>
      </w:r>
    </w:p>
    <w:p>
      <w:pPr>
        <w:pStyle w:val="Compact"/>
        <w:numPr>
          <w:ilvl w:val="0"/>
          <w:numId w:val="1010"/>
        </w:numPr>
      </w:pPr>
      <w:r>
        <w:rPr>
          <w:b/>
          <w:bCs/>
        </w:rPr>
        <w:t xml:space="preserve">Símbolo</w:t>
      </w:r>
      <w:r>
        <w:t xml:space="preserve">:</w:t>
      </w:r>
      <w:r>
        <w:t xml:space="preserve"> </w:t>
      </w:r>
      <w:r>
        <w:rPr>
          <w:rStyle w:val="VerbatimChar"/>
        </w:rPr>
        <w:t xml:space="preserve">ipv_deptos_nuevos_yoy</w:t>
      </w:r>
      <w:r>
        <w:t xml:space="preserve"> </w:t>
      </w:r>
      <w:r>
        <w:t xml:space="preserve">o</w:t>
      </w:r>
      <w:r>
        <w:t xml:space="preserve"> </w:t>
      </w:r>
      <w:r>
        <w:rPr>
          <w:rStyle w:val="VerbatimChar"/>
        </w:rPr>
        <w:t xml:space="preserve">ipv_casas_nuevas_yoy</w:t>
      </w:r>
      <w:r>
        <w:t xml:space="preserve"> </w:t>
      </w:r>
      <w:r>
        <w:t xml:space="preserve">según familia</w:t>
      </w:r>
    </w:p>
    <w:p>
      <w:pPr>
        <w:pStyle w:val="Compact"/>
        <w:numPr>
          <w:ilvl w:val="0"/>
          <w:numId w:val="1010"/>
        </w:numPr>
      </w:pPr>
      <w:r>
        <w:rPr>
          <w:b/>
          <w:bCs/>
        </w:rPr>
        <w:t xml:space="preserve">Fuente</w:t>
      </w:r>
      <w:r>
        <w:t xml:space="preserve">: BCCh, Índice de Precios de Vivienda desglosado por tipología y nuevas/usadas</w:t>
      </w:r>
    </w:p>
    <w:p>
      <w:pPr>
        <w:pStyle w:val="Compact"/>
        <w:numPr>
          <w:ilvl w:val="0"/>
          <w:numId w:val="1010"/>
        </w:numPr>
      </w:pPr>
      <w:r>
        <w:rPr>
          <w:b/>
          <w:bCs/>
        </w:rPr>
        <w:t xml:space="preserve">Cobertura</w:t>
      </w:r>
      <w:r>
        <w:t xml:space="preserve">: 2002 anual, interpolado a trimestral</w:t>
      </w:r>
    </w:p>
    <w:p>
      <w:pPr>
        <w:pStyle w:val="Compact"/>
        <w:numPr>
          <w:ilvl w:val="0"/>
          <w:numId w:val="1010"/>
        </w:numPr>
      </w:pPr>
      <w:r>
        <w:rPr>
          <w:b/>
          <w:bCs/>
        </w:rPr>
        <w:t xml:space="preserve">Distribución</w:t>
      </w:r>
      <w:r>
        <w:t xml:space="preserve">: empírica</w:t>
      </w:r>
    </w:p>
    <w:p>
      <w:pPr>
        <w:pStyle w:val="Compact"/>
        <w:numPr>
          <w:ilvl w:val="0"/>
          <w:numId w:val="1010"/>
        </w:numPr>
      </w:pPr>
      <w:r>
        <w:rPr>
          <w:b/>
          <w:bCs/>
        </w:rPr>
        <w:t xml:space="preserve">Estadísticas IPV deptos nuevos</w:t>
      </w:r>
      <w:r>
        <w:t xml:space="preserve">: media 1.87%, σ 1.65%, p10 −0.14, p50 +1.59, p90 +5.35</w:t>
      </w:r>
    </w:p>
    <w:p>
      <w:pPr>
        <w:pStyle w:val="Compact"/>
        <w:numPr>
          <w:ilvl w:val="0"/>
          <w:numId w:val="1010"/>
        </w:numPr>
      </w:pPr>
      <w:r>
        <w:rPr>
          <w:b/>
          <w:bCs/>
        </w:rPr>
        <w:t xml:space="preserve">Estadísticas IPV casas nuevas</w:t>
      </w:r>
      <w:r>
        <w:t xml:space="preserve">: media 2.40%, σ 2.60%, p10 0.00, p50 +1.40, p90 +8.19</w:t>
      </w:r>
    </w:p>
    <w:p>
      <w:pPr>
        <w:pStyle w:val="Compact"/>
        <w:numPr>
          <w:ilvl w:val="0"/>
          <w:numId w:val="1010"/>
        </w:numPr>
      </w:pPr>
      <w:r>
        <w:rPr>
          <w:b/>
          <w:bCs/>
        </w:rPr>
        <w:t xml:space="preserve">Interpretación</w:t>
      </w:r>
      <w:r>
        <w:t xml:space="preserve">: variación interanual del IPV específico para deptos o casas nuevas.</w:t>
      </w:r>
      <w:r>
        <w:t xml:space="preserve"> </w:t>
      </w:r>
      <w:r>
        <w:rPr>
          <w:b/>
          <w:bCs/>
        </w:rPr>
        <w:t xml:space="preserve">Variable principal</w:t>
      </w:r>
      <w:r>
        <w:t xml:space="preserve"> </w:t>
      </w:r>
      <w:r>
        <w:t xml:space="preserve">que determina el shock de precio en Capa 1.</w:t>
      </w:r>
    </w:p>
    <w:p>
      <w:pPr>
        <w:pStyle w:val="Compact"/>
        <w:numPr>
          <w:ilvl w:val="0"/>
          <w:numId w:val="1010"/>
        </w:numPr>
      </w:pPr>
      <w:r>
        <w:rPr>
          <w:b/>
          <w:bCs/>
        </w:rPr>
        <w:t xml:space="preserve">Mapeo familia → variante</w:t>
      </w:r>
      <w:r>
        <w:t xml:space="preserve">:</w:t>
      </w:r>
    </w:p>
    <w:p>
      <w:pPr>
        <w:pStyle w:val="Compact"/>
        <w:numPr>
          <w:ilvl w:val="1"/>
          <w:numId w:val="1011"/>
        </w:numPr>
      </w:pPr>
      <w:r>
        <w:t xml:space="preserve">Edificios 4-6 pisos → IPV Deptos Nuevos</w:t>
      </w:r>
    </w:p>
    <w:p>
      <w:pPr>
        <w:pStyle w:val="Compact"/>
        <w:numPr>
          <w:ilvl w:val="1"/>
          <w:numId w:val="1011"/>
        </w:numPr>
      </w:pPr>
      <w:r>
        <w:t xml:space="preserve">DS19 → IPV Deptos Nuevos</w:t>
      </w:r>
    </w:p>
    <w:p>
      <w:pPr>
        <w:pStyle w:val="Compact"/>
        <w:numPr>
          <w:ilvl w:val="1"/>
          <w:numId w:val="1011"/>
        </w:numPr>
      </w:pPr>
      <w:r>
        <w:t xml:space="preserve">Casa → IPV Casas Nuevas</w:t>
      </w:r>
    </w:p>
    <w:p>
      <w:pPr>
        <w:pStyle w:val="Compact"/>
        <w:numPr>
          <w:ilvl w:val="1"/>
          <w:numId w:val="1011"/>
        </w:numPr>
      </w:pPr>
      <w:r>
        <w:t xml:space="preserve">Townhouse → IPV Casas Nuevas</w:t>
      </w:r>
    </w:p>
    <w:bookmarkEnd w:id="28"/>
    <w:bookmarkStart w:id="29" w:name="icoi-yoy"/>
    <w:p>
      <w:pPr>
        <w:pStyle w:val="Heading3"/>
      </w:pPr>
      <w:r>
        <w:t xml:space="preserve">3.1.5 ICOI YoY %</w:t>
      </w:r>
    </w:p>
    <w:p>
      <w:pPr>
        <w:pStyle w:val="Compact"/>
        <w:numPr>
          <w:ilvl w:val="0"/>
          <w:numId w:val="1012"/>
        </w:numPr>
      </w:pPr>
      <w:r>
        <w:rPr>
          <w:b/>
          <w:bCs/>
        </w:rPr>
        <w:t xml:space="preserve">Símbolo</w:t>
      </w:r>
      <w:r>
        <w:t xml:space="preserve">:</w:t>
      </w:r>
      <w:r>
        <w:t xml:space="preserve"> </w:t>
      </w:r>
      <w:r>
        <w:rPr>
          <w:rStyle w:val="VerbatimChar"/>
        </w:rPr>
        <w:t xml:space="preserve">icoi_yoy</w:t>
      </w:r>
    </w:p>
    <w:p>
      <w:pPr>
        <w:pStyle w:val="Compact"/>
        <w:numPr>
          <w:ilvl w:val="0"/>
          <w:numId w:val="1012"/>
        </w:numPr>
      </w:pPr>
      <w:r>
        <w:rPr>
          <w:b/>
          <w:bCs/>
        </w:rPr>
        <w:t xml:space="preserve">Fuente</w:t>
      </w:r>
      <w:r>
        <w:t xml:space="preserve">: Cámara Chilena de la Construcción</w:t>
      </w:r>
    </w:p>
    <w:p>
      <w:pPr>
        <w:pStyle w:val="Compact"/>
        <w:numPr>
          <w:ilvl w:val="0"/>
          <w:numId w:val="1012"/>
        </w:numPr>
      </w:pPr>
      <w:r>
        <w:rPr>
          <w:b/>
          <w:bCs/>
        </w:rPr>
        <w:t xml:space="preserve">Cobertura</w:t>
      </w:r>
      <w:r>
        <w:t xml:space="preserve">: 2013 anual (10 puntos), interpolado a trimestral</w:t>
      </w:r>
    </w:p>
    <w:p>
      <w:pPr>
        <w:pStyle w:val="Compact"/>
        <w:numPr>
          <w:ilvl w:val="0"/>
          <w:numId w:val="1012"/>
        </w:numPr>
      </w:pPr>
      <w:r>
        <w:rPr>
          <w:b/>
          <w:bCs/>
        </w:rPr>
        <w:t xml:space="preserve">Distribución</w:t>
      </w:r>
      <w:r>
        <w:t xml:space="preserve">: empírica</w:t>
      </w:r>
    </w:p>
    <w:p>
      <w:pPr>
        <w:pStyle w:val="Compact"/>
        <w:numPr>
          <w:ilvl w:val="0"/>
          <w:numId w:val="1012"/>
        </w:numPr>
      </w:pPr>
      <w:r>
        <w:rPr>
          <w:b/>
          <w:bCs/>
        </w:rPr>
        <w:t xml:space="preserve">Estadísticas</w:t>
      </w:r>
      <w:r>
        <w:t xml:space="preserve">: media 2.47%, σ 11.53%, p10 −13.23, p50 +0.80, p90 +25.24</w:t>
      </w:r>
    </w:p>
    <w:p>
      <w:pPr>
        <w:pStyle w:val="Compact"/>
        <w:numPr>
          <w:ilvl w:val="0"/>
          <w:numId w:val="1012"/>
        </w:numPr>
      </w:pPr>
      <w:r>
        <w:rPr>
          <w:b/>
          <w:bCs/>
        </w:rPr>
        <w:t xml:space="preserve">Interpretación</w:t>
      </w:r>
      <w:r>
        <w:t xml:space="preserve">: variación interanual del Índice de Costos de Construcción de Edificación.</w:t>
      </w:r>
      <w:r>
        <w:t xml:space="preserve"> </w:t>
      </w:r>
      <w:r>
        <w:rPr>
          <w:b/>
          <w:bCs/>
        </w:rPr>
        <w:t xml:space="preserve">Variable principal</w:t>
      </w:r>
      <w:r>
        <w:t xml:space="preserve"> </w:t>
      </w:r>
      <w:r>
        <w:t xml:space="preserve">del shock de costo en Capa 1.</w:t>
      </w:r>
    </w:p>
    <w:p>
      <w:pPr>
        <w:pStyle w:val="Compact"/>
        <w:numPr>
          <w:ilvl w:val="0"/>
          <w:numId w:val="1012"/>
        </w:numPr>
      </w:pPr>
      <w:r>
        <w:rPr>
          <w:b/>
          <w:bCs/>
        </w:rPr>
        <w:t xml:space="preserve">Notas sobre la cobertura escasa</w:t>
      </w:r>
      <w:r>
        <w:t xml:space="preserve">: con solo 10 observaciones anuales (33 tras interpolación), el ICOI tiene varianza histórica muy alta (11.5pp σ). Esto es un dato real de la economía chilena (el ICOI fluctúa por commodities, dólar, salarios construcción) — no un artefacto.</w:t>
      </w:r>
    </w:p>
    <w:bookmarkEnd w:id="29"/>
    <w:bookmarkEnd w:id="30"/>
    <w:bookmarkStart w:id="37" w:name="variables-del-proyecto-derivadas-capa-1"/>
    <w:p>
      <w:pPr>
        <w:pStyle w:val="Heading2"/>
      </w:pPr>
      <w:r>
        <w:t xml:space="preserve">3.2 Variables del proyecto derivadas (Capa 1)</w:t>
      </w:r>
    </w:p>
    <w:p>
      <w:pPr>
        <w:pStyle w:val="FirstParagraph"/>
      </w:pPr>
      <w:r>
        <w:t xml:space="preserve">A partir de las 5 macros sampleadas, se derivan los 4 shocks que afectan el flujo del proyecto:</w:t>
      </w:r>
    </w:p>
    <w:bookmarkStart w:id="31" w:name="precio-de-venta-precio_yoy"/>
    <w:p>
      <w:pPr>
        <w:pStyle w:val="Heading3"/>
      </w:pPr>
      <w:r>
        <w:t xml:space="preserve">3.2.1 Precio de venta (precio_yoy %)</w:t>
      </w:r>
    </w:p>
    <w:p>
      <w:pPr>
        <w:pStyle w:val="FirstParagraph"/>
      </w:pPr>
      <w:r>
        <w:rPr>
          <w:b/>
          <w:bCs/>
        </w:rPr>
        <w:t xml:space="preserve">Fórmula</w:t>
      </w:r>
      <w:r>
        <w:t xml:space="preserve">:</w:t>
      </w:r>
    </w:p>
    <w:p>
      <w:pPr>
        <w:pStyle w:val="BodyText"/>
      </w:pPr>
      <m:oMathPara>
        <m:oMathParaPr>
          <m:jc m:val="center"/>
        </m:oMathParaPr>
        <m:oMath>
          <m:sSub>
            <m:e>
              <m:r>
                <m:rPr>
                  <m:nor/>
                  <m:sty m:val="p"/>
                </m:rPr>
                <m:t>precio_yoy</m:t>
              </m:r>
            </m:e>
            <m:sub>
              <m:r>
                <m:rPr>
                  <m:nor/>
                  <m:sty m:val="p"/>
                </m:rPr>
                <m:t>familia</m:t>
              </m:r>
            </m:sub>
          </m:sSub>
          <m:r>
            <m:rPr>
              <m:sty m:val="p"/>
            </m:rPr>
            <m:t>=</m:t>
          </m:r>
          <m:r>
            <m:rPr>
              <m:nor/>
              <m:sty m:val="p"/>
            </m:rPr>
            <m:t>IPV_familiar_sampleado</m:t>
          </m:r>
          <m:r>
            <m:rPr>
              <m:sty m:val="p"/>
            </m:rPr>
            <m:t>+</m:t>
          </m:r>
          <m:sSub>
            <m:e>
              <m:r>
                <m:t>ε</m:t>
              </m:r>
            </m:e>
            <m:sub>
              <m:r>
                <m:rPr>
                  <m:nor/>
                  <m:sty m:val="p"/>
                </m:rPr>
                <m:t>precio</m:t>
              </m:r>
            </m:sub>
          </m:sSub>
        </m:oMath>
      </m:oMathPara>
    </w:p>
    <w:p>
      <w:pPr>
        <w:pStyle w:val="FirstParagraph"/>
      </w:pPr>
      <w:r>
        <w:t xml:space="preserve">donde</w:t>
      </w:r>
    </w:p>
    <w:p>
      <w:pPr>
        <w:pStyle w:val="BodyText"/>
      </w:pPr>
      <m:oMathPara>
        <m:oMathParaPr>
          <m:jc m:val="center"/>
        </m:oMathParaPr>
        <m:oMath>
          <m:sSub>
            <m:e>
              <m:r>
                <m:t>ε</m:t>
              </m:r>
            </m:e>
            <m:sub>
              <m:r>
                <m:rPr>
                  <m:nor/>
                  <m:sty m:val="p"/>
                </m:rPr>
                <m:t>precio</m:t>
              </m:r>
            </m:sub>
          </m:sSub>
          <m:r>
            <m:rPr>
              <m:sty m:val="p"/>
            </m:rPr>
            <m:t>∼</m:t>
          </m:r>
          <m:r>
            <m:rPr>
              <m:scr m:val="script"/>
              <m:sty m:val="p"/>
            </m:rPr>
            <m:t>N</m:t>
          </m:r>
          <m:r>
            <m:rPr>
              <m:sty m:val="p"/>
            </m:rPr>
            <m:t>(</m:t>
          </m:r>
          <m:r>
            <m:t>0</m:t>
          </m:r>
          <m:r>
            <m:rPr>
              <m:sty m:val="p"/>
            </m:rPr>
            <m:t>,</m:t>
          </m:r>
          <m:sSub>
            <m:e>
              <m:r>
                <m:t>σ</m:t>
              </m:r>
            </m:e>
            <m:sub>
              <m:r>
                <m:rPr>
                  <m:nor/>
                  <m:sty m:val="p"/>
                </m:rPr>
                <m:t>idio</m:t>
              </m:r>
            </m:sub>
          </m:sSub>
          <m:r>
            <m:rPr>
              <m:sty m:val="p"/>
            </m:rPr>
            <m:t>)</m:t>
          </m:r>
        </m:oMath>
      </m:oMathPara>
    </w:p>
    <w:p>
      <w:pPr>
        <w:pStyle w:val="FirstParagraph"/>
      </w:pPr>
      <w:r>
        <w:rPr>
          <w:b/>
          <w:bCs/>
        </w:rPr>
        <w:t xml:space="preserve">σ idiosincráticos por familia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σ (pp)</w:t>
            </w:r>
          </w:p>
        </w:tc>
        <w:tc>
          <w:tcPr/>
          <w:p>
            <w:pPr>
              <w:pStyle w:val="Compact"/>
            </w:pPr>
            <w:r>
              <w:t xml:space="preserve">Justificación</w:t>
            </w:r>
          </w:p>
        </w:tc>
      </w:tr>
      <w:tr>
        <w:tc>
          <w:tcPr/>
          <w:p>
            <w:pPr>
              <w:pStyle w:val="Compact"/>
            </w:pPr>
            <w:r>
              <w:t xml:space="preserve">Edificio 4-6 pisos</w:t>
            </w:r>
          </w:p>
        </w:tc>
        <w:tc>
          <w:tcPr/>
          <w:p>
            <w:pPr>
              <w:pStyle w:val="Compact"/>
            </w:pPr>
            <w:r>
              <w:t xml:space="preserve">9.80</w:t>
            </w:r>
          </w:p>
        </w:tc>
        <w:tc>
          <w:tcPr/>
          <w:p>
            <w:pPr>
              <w:pStyle w:val="Compact"/>
            </w:pPr>
            <w:r>
              <w:t xml:space="preserve">std(precio_TINSA − IPV) sobre 141 trim</w:t>
            </w:r>
          </w:p>
        </w:tc>
      </w:tr>
      <w:tr>
        <w:tc>
          <w:tcPr/>
          <w:p>
            <w:pPr>
              <w:pStyle w:val="Compact"/>
            </w:pPr>
            <w:r>
              <w:t xml:space="preserve">DS19</w:t>
            </w:r>
          </w:p>
        </w:tc>
        <w:tc>
          <w:tcPr/>
          <w:p>
            <w:pPr>
              <w:pStyle w:val="Compact"/>
            </w:pPr>
            <w:r>
              <w:t xml:space="preserve">5.16</w:t>
            </w:r>
          </w:p>
        </w:tc>
        <w:tc>
          <w:tcPr/>
          <w:p>
            <w:pPr>
              <w:pStyle w:val="Compact"/>
            </w:pPr>
            <w:r>
              <w:t xml:space="preserve">Precio acotado por tope de subsidio</w:t>
            </w:r>
          </w:p>
        </w:tc>
      </w:tr>
      <w:tr>
        <w:tc>
          <w:tcPr/>
          <w:p>
            <w:pPr>
              <w:pStyle w:val="Compact"/>
            </w:pPr>
            <w:r>
              <w:t xml:space="preserve">Casa</w:t>
            </w:r>
          </w:p>
        </w:tc>
        <w:tc>
          <w:tcPr/>
          <w:p>
            <w:pPr>
              <w:pStyle w:val="Compact"/>
            </w:pPr>
            <w:r>
              <w:t xml:space="preserve">6.40</w:t>
            </w:r>
          </w:p>
        </w:tc>
        <w:tc>
          <w:tcPr/>
          <w:p>
            <w:pPr>
              <w:pStyle w:val="Compact"/>
            </w:pPr>
            <w:r>
              <w:t xml:space="preserve">Heterogeneidad moderada</w:t>
            </w:r>
          </w:p>
        </w:tc>
      </w:tr>
      <w:tr>
        <w:tc>
          <w:tcPr/>
          <w:p>
            <w:pPr>
              <w:pStyle w:val="Compact"/>
            </w:pPr>
            <w:r>
              <w:t xml:space="preserve">Townhouse</w:t>
            </w:r>
          </w:p>
        </w:tc>
        <w:tc>
          <w:tcPr/>
          <w:p>
            <w:pPr>
              <w:pStyle w:val="Compact"/>
            </w:pPr>
            <w:r>
              <w:t xml:space="preserve">17.17</w:t>
            </w:r>
          </w:p>
        </w:tc>
        <w:tc>
          <w:tcPr/>
          <w:p>
            <w:pPr>
              <w:pStyle w:val="Compact"/>
            </w:pPr>
            <w:r>
              <w:t xml:space="preserve">Pocos proyectos, alta varianza</w:t>
            </w:r>
          </w:p>
        </w:tc>
      </w:tr>
    </w:tbl>
    <w:p>
      <w:pPr>
        <w:pStyle w:val="BodyText"/>
      </w:pPr>
      <w:r>
        <w:rPr>
          <w:b/>
          <w:bCs/>
        </w:rPr>
        <w:t xml:space="preserve">Justificación de no incluir bias</w:t>
      </w:r>
      <w:r>
        <w:t xml:space="preserve">: en la versión inicial se sumaba un bias histórico (e.g. +7.09 pp para Edif 4p) que representaba el drift entre TINSA agregada e IPV controlado. Se determinó que este bias es</w:t>
      </w:r>
      <w:r>
        <w:t xml:space="preserve"> </w:t>
      </w:r>
      <w:r>
        <w:rPr>
          <w:b/>
          <w:bCs/>
        </w:rPr>
        <w:t xml:space="preserve">estructural, no cíclico</w:t>
      </w:r>
      <w:r>
        <w:t xml:space="preserve">, y aplastaba los efectos de los presets (las distribuciones entre escenarios eran prácticamente idénticas, Cohen d = 0.06). El bias fue removido — ahora el shock es puramente IPV + ruido idiosincrático.</w:t>
      </w:r>
    </w:p>
    <w:bookmarkEnd w:id="31"/>
    <w:bookmarkStart w:id="32" w:name="costo-de-construcción-costo_yoy"/>
    <w:p>
      <w:pPr>
        <w:pStyle w:val="Heading3"/>
      </w:pPr>
      <w:r>
        <w:t xml:space="preserve">3.2.2 Costo de construcción (costo_yoy %)</w:t>
      </w:r>
    </w:p>
    <w:p>
      <w:pPr>
        <w:pStyle w:val="FirstParagraph"/>
      </w:pPr>
      <w:r>
        <w:rPr>
          <w:b/>
          <w:bCs/>
        </w:rPr>
        <w:t xml:space="preserve">Fórmula</w:t>
      </w:r>
      <w:r>
        <w:t xml:space="preserve">:</w:t>
      </w:r>
    </w:p>
    <w:p>
      <w:pPr>
        <w:pStyle w:val="BodyText"/>
      </w:pPr>
      <m:oMathPara>
        <m:oMathParaPr>
          <m:jc m:val="center"/>
        </m:oMathParaPr>
        <m:oMath>
          <m:r>
            <m:rPr>
              <m:nor/>
              <m:sty m:val="p"/>
            </m:rPr>
            <m:t>costo_yoy</m:t>
          </m:r>
          <m:r>
            <m:rPr>
              <m:sty m:val="p"/>
            </m:rPr>
            <m:t>=</m:t>
          </m:r>
          <m:r>
            <m:rPr>
              <m:nor/>
              <m:sty m:val="p"/>
            </m:rPr>
            <m:t>ICOI_sampleado</m:t>
          </m:r>
          <m:r>
            <m:rPr>
              <m:sty m:val="p"/>
            </m:rPr>
            <m:t>+</m:t>
          </m:r>
          <m:sSub>
            <m:e>
              <m:r>
                <m:t>ε</m:t>
              </m:r>
            </m:e>
            <m:sub>
              <m:r>
                <m:rPr>
                  <m:nor/>
                  <m:sty m:val="p"/>
                </m:rPr>
                <m:t>costo</m:t>
              </m:r>
            </m:sub>
          </m:sSub>
          <m:r>
            <m:rPr>
              <m:sty m:val="p"/>
            </m:rPr>
            <m:t>,</m:t>
          </m:r>
          <m:r>
            <m:t> </m:t>
          </m:r>
          <m:sSub>
            <m:e>
              <m:r>
                <m:t>ε</m:t>
              </m:r>
            </m:e>
            <m:sub>
              <m:r>
                <m:rPr>
                  <m:nor/>
                  <m:sty m:val="p"/>
                </m:rPr>
                <m:t>costo</m:t>
              </m:r>
            </m:sub>
          </m:sSub>
          <m:r>
            <m:rPr>
              <m:sty m:val="p"/>
            </m:rPr>
            <m:t>∼</m:t>
          </m:r>
          <m:r>
            <m:rPr>
              <m:scr m:val="script"/>
              <m:sty m:val="p"/>
            </m:rPr>
            <m:t>N</m:t>
          </m:r>
          <m:r>
            <m:rPr>
              <m:sty m:val="p"/>
            </m:rPr>
            <m:t>(</m:t>
          </m:r>
          <m:r>
            <m:t>0</m:t>
          </m:r>
          <m:r>
            <m:rPr>
              <m:sty m:val="p"/>
            </m:rPr>
            <m:t>,</m:t>
          </m:r>
          <m:r>
            <m:t>3.0</m:t>
          </m:r>
          <m:r>
            <m:rPr>
              <m:sty m:val="p"/>
            </m:rPr>
            <m:t>)</m:t>
          </m:r>
        </m:oMath>
      </m:oMathPara>
    </w:p>
    <w:p>
      <w:pPr>
        <w:pStyle w:val="FirstParagraph"/>
      </w:pPr>
      <w:r>
        <w:t xml:space="preserve">El</w:t>
      </w:r>
      <w:r>
        <w:t xml:space="preserve"> </w:t>
      </w:r>
      <w:r>
        <w:rPr>
          <w:b/>
          <w:bCs/>
        </w:rPr>
        <w:t xml:space="preserve">σ = 3.0 pp</w:t>
      </w:r>
      <w:r>
        <w:t xml:space="preserve"> </w:t>
      </w:r>
      <w:r>
        <w:t xml:space="preserve">es un parámetro económico fijo (no calibrado de TINSA porque TINSA no contiene costos del developer). Representa la dispersión típica del costo de un proyecto específico vs. el índice ICOI nacional — esencialmente el margen del contrato de construcción y diferencias regionales/escalares.</w:t>
      </w:r>
    </w:p>
    <w:bookmarkEnd w:id="32"/>
    <w:bookmarkStart w:id="35" w:name="velocidad-de-venta-velocidad_yoy"/>
    <w:p>
      <w:pPr>
        <w:pStyle w:val="Heading3"/>
      </w:pPr>
      <w:r>
        <w:t xml:space="preserve">3.2.3 Velocidad de venta (velocidad_yoy %)</w:t>
      </w:r>
    </w:p>
    <w:p>
      <w:pPr>
        <w:pStyle w:val="FirstParagraph"/>
      </w:pPr>
      <w:r>
        <w:rPr>
          <w:b/>
          <w:bCs/>
        </w:rPr>
        <w:t xml:space="preserve">Fórmula</w:t>
      </w:r>
      <w:r>
        <w:t xml:space="preserve">:</w:t>
      </w:r>
    </w:p>
    <w:p>
      <w:pPr>
        <w:pStyle w:val="BodyText"/>
      </w:pPr>
      <m:oMathPara>
        <m:oMathParaPr>
          <m:jc m:val="center"/>
        </m:oMathParaPr>
        <m:oMath>
          <m:r>
            <m:rPr>
              <m:nor/>
              <m:sty m:val="p"/>
            </m:rPr>
            <m:t>velocidad_yoy</m:t>
          </m:r>
          <m:r>
            <m:rPr>
              <m:sty m:val="p"/>
            </m:rPr>
            <m:t>=</m:t>
          </m:r>
          <m:r>
            <m:t>α</m:t>
          </m:r>
          <m:r>
            <m:rPr>
              <m:sty m:val="p"/>
            </m:rPr>
            <m:t>+</m:t>
          </m:r>
          <m:nary>
            <m:naryPr>
              <m:chr m:val="∑"/>
              <m:limLoc m:val="undOvr"/>
              <m:subHide m:val="off"/>
              <m:supHide m:val="off"/>
            </m:naryPr>
            <m:sub>
              <m:r>
                <m:t>i</m:t>
              </m:r>
              <m:r>
                <m:rPr>
                  <m:sty m:val="p"/>
                </m:rPr>
                <m:t>=</m:t>
              </m:r>
              <m:r>
                <m:t>1</m:t>
              </m:r>
            </m:sub>
            <m:sup>
              <m:r>
                <m:t>5</m:t>
              </m:r>
            </m:sup>
            <m:e>
              <m:sSub>
                <m:e>
                  <m:r>
                    <m:t>β</m:t>
                  </m:r>
                </m:e>
                <m:sub>
                  <m:r>
                    <m:t>i</m:t>
                  </m:r>
                </m:sub>
              </m:sSub>
            </m:e>
          </m:nary>
          <m:r>
            <m:rPr>
              <m:sty m:val="p"/>
            </m:rPr>
            <m:t>⋅</m:t>
          </m:r>
          <m:sSub>
            <m:e>
              <m:r>
                <m:rPr>
                  <m:nor/>
                  <m:sty m:val="p"/>
                </m:rPr>
                <m:t>macro</m:t>
              </m:r>
            </m:e>
            <m:sub>
              <m:r>
                <m:t>i</m:t>
              </m:r>
            </m:sub>
          </m:sSub>
          <m:r>
            <m:rPr>
              <m:sty m:val="p"/>
            </m:rPr>
            <m:t>+</m:t>
          </m:r>
          <m:sSub>
            <m:e>
              <m:r>
                <m:t>ε</m:t>
              </m:r>
            </m:e>
            <m:sub>
              <m:r>
                <m:rPr>
                  <m:nor/>
                  <m:sty m:val="p"/>
                </m:rPr>
                <m:t>vel</m:t>
              </m:r>
            </m:sub>
          </m:sSub>
          <m:r>
            <m:rPr>
              <m:sty m:val="p"/>
            </m:rPr>
            <m:t>,</m:t>
          </m:r>
          <m:r>
            <m:t> </m:t>
          </m:r>
          <m:sSub>
            <m:e>
              <m:r>
                <m:t>ε</m:t>
              </m:r>
            </m:e>
            <m:sub>
              <m:r>
                <m:rPr>
                  <m:nor/>
                  <m:sty m:val="p"/>
                </m:rPr>
                <m:t>vel</m:t>
              </m:r>
            </m:sub>
          </m:sSub>
          <m:r>
            <m:rPr>
              <m:sty m:val="p"/>
            </m:rPr>
            <m:t>∼</m:t>
          </m:r>
          <m:r>
            <m:rPr>
              <m:scr m:val="script"/>
              <m:sty m:val="p"/>
            </m:rPr>
            <m:t>N</m:t>
          </m:r>
          <m:r>
            <m:rPr>
              <m:sty m:val="p"/>
            </m:rPr>
            <m:t>(</m:t>
          </m:r>
          <m:r>
            <m:t>0</m:t>
          </m:r>
          <m:r>
            <m:rPr>
              <m:sty m:val="p"/>
            </m:rPr>
            <m:t>,</m:t>
          </m:r>
          <m:sSub>
            <m:e>
              <m:r>
                <m:t>σ</m:t>
              </m:r>
            </m:e>
            <m:sub>
              <m:r>
                <m:rPr>
                  <m:nor/>
                  <m:sty m:val="p"/>
                </m:rPr>
                <m:t>res</m:t>
              </m:r>
            </m:sub>
          </m:sSub>
          <m:r>
            <m:rPr>
              <m:sty m:val="p"/>
            </m:rPr>
            <m:t>)</m:t>
          </m:r>
        </m:oMath>
      </m:oMathPara>
    </w:p>
    <w:p>
      <w:pPr>
        <w:pStyle w:val="FirstParagraph"/>
      </w:pPr>
      <w:r>
        <w:rPr>
          <w:b/>
          <w:bCs/>
        </w:rPr>
        <w:t xml:space="preserve">Calibrada por OLS por familia</w:t>
      </w:r>
      <w:r>
        <w:t xml:space="preserve"> </w:t>
      </w:r>
      <w:r>
        <w:t xml:space="preserve">sobre 80–141 trimestres. Coeficientes:</w:t>
      </w:r>
    </w:p>
    <w:bookmarkStart w:id="33" w:name="Xee7c6a9e64c57d8613b5632a590ee8446e152ea"/>
    <w:p>
      <w:pPr>
        <w:pStyle w:val="Heading4"/>
      </w:pPr>
      <w:r>
        <w:t xml:space="preserve">Casa (la familia con calibración más robusta):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Coeficiente</w:t>
            </w:r>
          </w:p>
        </w:tc>
        <w:tc>
          <w:tcPr/>
          <w:p>
            <w:pPr>
              <w:pStyle w:val="Compact"/>
            </w:pPr>
            <w:r>
              <w:t xml:space="preserve">Std. Error</w:t>
            </w:r>
          </w:p>
        </w:tc>
        <w:tc>
          <w:tcPr/>
          <w:p>
            <w:pPr>
              <w:pStyle w:val="Compact"/>
            </w:pPr>
            <w:r>
              <w:t xml:space="preserve">p-value</w:t>
            </w:r>
          </w:p>
        </w:tc>
        <w:tc>
          <w:tcPr/>
          <w:p>
            <w:pPr>
              <w:pStyle w:val="Compact"/>
            </w:pPr>
            <w:r>
              <w:t xml:space="preserve">Significancia</w:t>
            </w:r>
          </w:p>
        </w:tc>
      </w:tr>
      <w:tr>
        <w:tc>
          <w:tcPr/>
          <w:p>
            <w:pPr>
              <w:pStyle w:val="Compact"/>
            </w:pPr>
            <w:r>
              <w:t xml:space="preserve">(intercepto)</w:t>
            </w:r>
          </w:p>
        </w:tc>
        <w:tc>
          <w:tcPr/>
          <w:p>
            <w:pPr>
              <w:pStyle w:val="Compact"/>
            </w:pPr>
            <w:r>
              <w:t xml:space="preserve">-8.22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imacec_var_pct</w:t>
            </w:r>
          </w:p>
        </w:tc>
        <w:tc>
          <w:tcPr/>
          <w:p>
            <w:pPr>
              <w:pStyle w:val="Compact"/>
            </w:pPr>
            <w:r>
              <w:t xml:space="preserve">+3.10</w:t>
            </w:r>
          </w:p>
        </w:tc>
        <w:tc>
          <w:tcPr/>
          <w:p>
            <w:pPr>
              <w:pStyle w:val="Compact"/>
            </w:pPr>
            <w:r>
              <w:t xml:space="preserve">0.91</w:t>
            </w:r>
          </w:p>
        </w:tc>
        <w:tc>
          <w:tcPr/>
          <w:p>
            <w:pPr>
              <w:pStyle w:val="Compact"/>
            </w:pPr>
            <w:r>
              <w:t xml:space="preserve">0.001</w:t>
            </w:r>
          </w:p>
        </w:tc>
        <w:tc>
          <w:tcPr/>
          <w:p>
            <w:pPr>
              <w:pStyle w:val="Compact"/>
            </w:pPr>
            <w:r>
              <w:t xml:space="preserve">***</w:t>
            </w:r>
          </w:p>
        </w:tc>
      </w:tr>
      <w:tr>
        <w:tc>
          <w:tcPr/>
          <w:p>
            <w:pPr>
              <w:pStyle w:val="Compact"/>
            </w:pPr>
            <w:r>
              <w:t xml:space="preserve">d_tasa_hipo</w:t>
            </w:r>
          </w:p>
        </w:tc>
        <w:tc>
          <w:tcPr/>
          <w:p>
            <w:pPr>
              <w:pStyle w:val="Compact"/>
            </w:pPr>
            <w:r>
              <w:t xml:space="preserve">+6.43</w:t>
            </w:r>
          </w:p>
        </w:tc>
        <w:tc>
          <w:tcPr/>
          <w:p>
            <w:pPr>
              <w:pStyle w:val="Compact"/>
            </w:pPr>
            <w:r>
              <w:t xml:space="preserve">9.85</w:t>
            </w:r>
          </w:p>
        </w:tc>
        <w:tc>
          <w:tcPr/>
          <w:p>
            <w:pPr>
              <w:pStyle w:val="Compact"/>
            </w:pPr>
            <w:r>
              <w:t xml:space="preserve">0.515</w:t>
            </w:r>
          </w:p>
        </w:tc>
        <w:tc>
          <w:tcPr/>
          <w:p>
            <w:pPr>
              <w:pStyle w:val="Compact"/>
            </w:pPr>
            <w:r>
              <w:t xml:space="preserve">–</w:t>
            </w:r>
          </w:p>
        </w:tc>
      </w:tr>
      <w:tr>
        <w:tc>
          <w:tcPr/>
          <w:p>
            <w:pPr>
              <w:pStyle w:val="Compact"/>
            </w:pPr>
            <w:r>
              <w:t xml:space="preserve">d_desempleo</w:t>
            </w:r>
          </w:p>
        </w:tc>
        <w:tc>
          <w:tcPr/>
          <w:p>
            <w:pPr>
              <w:pStyle w:val="Compact"/>
            </w:pPr>
            <w:r>
              <w:t xml:space="preserve">-1.51</w:t>
            </w:r>
          </w:p>
        </w:tc>
        <w:tc>
          <w:tcPr/>
          <w:p>
            <w:pPr>
              <w:pStyle w:val="Compact"/>
            </w:pPr>
            <w:r>
              <w:t xml:space="preserve">6.98</w:t>
            </w:r>
          </w:p>
        </w:tc>
        <w:tc>
          <w:tcPr/>
          <w:p>
            <w:pPr>
              <w:pStyle w:val="Compact"/>
            </w:pPr>
            <w:r>
              <w:t xml:space="preserve">0.829</w:t>
            </w:r>
          </w:p>
        </w:tc>
        <w:tc>
          <w:tcPr/>
          <w:p>
            <w:pPr>
              <w:pStyle w:val="Compact"/>
            </w:pPr>
            <w:r>
              <w:t xml:space="preserve">–</w:t>
            </w:r>
          </w:p>
        </w:tc>
      </w:tr>
      <w:tr>
        <w:tc>
          <w:tcPr/>
          <w:p>
            <w:pPr>
              <w:pStyle w:val="Compact"/>
            </w:pPr>
            <w:r>
              <w:t xml:space="preserve">ipv_casas_nuevas_yoy</w:t>
            </w:r>
          </w:p>
        </w:tc>
        <w:tc>
          <w:tcPr/>
          <w:p>
            <w:pPr>
              <w:pStyle w:val="Compact"/>
            </w:pPr>
            <w:r>
              <w:t xml:space="preserve">+10.98</w:t>
            </w:r>
          </w:p>
        </w:tc>
        <w:tc>
          <w:tcPr/>
          <w:p>
            <w:pPr>
              <w:pStyle w:val="Compact"/>
            </w:pPr>
            <w:r>
              <w:t xml:space="preserve">3.18</w:t>
            </w:r>
          </w:p>
        </w:tc>
        <w:tc>
          <w:tcPr/>
          <w:p>
            <w:pPr>
              <w:pStyle w:val="Compact"/>
            </w:pPr>
            <w:r>
              <w:t xml:space="preserve">0.001</w:t>
            </w:r>
          </w:p>
        </w:tc>
        <w:tc>
          <w:tcPr/>
          <w:p>
            <w:pPr>
              <w:pStyle w:val="Compact"/>
            </w:pPr>
            <w:r>
              <w:t xml:space="preserve">***</w:t>
            </w:r>
          </w:p>
        </w:tc>
      </w:tr>
      <w:tr>
        <w:tc>
          <w:tcPr/>
          <w:p>
            <w:pPr>
              <w:pStyle w:val="Compact"/>
            </w:pPr>
            <w:r>
              <w:t xml:space="preserve">icoi_yoy</w:t>
            </w:r>
          </w:p>
        </w:tc>
        <w:tc>
          <w:tcPr/>
          <w:p>
            <w:pPr>
              <w:pStyle w:val="Compact"/>
            </w:pPr>
            <w:r>
              <w:t xml:space="preserve">-0.07</w:t>
            </w:r>
          </w:p>
        </w:tc>
        <w:tc>
          <w:tcPr/>
          <w:p>
            <w:pPr>
              <w:pStyle w:val="Compact"/>
            </w:pPr>
            <w:r>
              <w:t xml:space="preserve">0.21</w:t>
            </w:r>
          </w:p>
        </w:tc>
        <w:tc>
          <w:tcPr/>
          <w:p>
            <w:pPr>
              <w:pStyle w:val="Compact"/>
            </w:pPr>
            <w:r>
              <w:t xml:space="preserve">0.751</w:t>
            </w:r>
          </w:p>
        </w:tc>
        <w:tc>
          <w:tcPr/>
          <w:p>
            <w:pPr>
              <w:pStyle w:val="Compact"/>
            </w:pPr>
            <w:r>
              <w:t xml:space="preserve">–</w:t>
            </w:r>
          </w:p>
        </w:tc>
      </w:tr>
    </w:tbl>
    <w:p>
      <w:pPr>
        <w:pStyle w:val="BodyText"/>
      </w:pPr>
      <w:r>
        <w:rPr>
          <w:b/>
          <w:bCs/>
        </w:rPr>
        <w:t xml:space="preserve">R² = 0.224, σ residual = 39.8 pp, n = 141 trimestres</w:t>
      </w:r>
    </w:p>
    <w:p>
      <w:pPr>
        <w:pStyle w:val="BodyText"/>
      </w:pPr>
      <w:r>
        <w:rPr>
          <w:b/>
          <w:bCs/>
        </w:rPr>
        <w:t xml:space="preserve">Interpretación económica</w:t>
      </w:r>
      <w:r>
        <w:t xml:space="preserve">:</w:t>
      </w:r>
      <w:r>
        <w:t xml:space="preserve"> </w:t>
      </w:r>
      <w:r>
        <w:t xml:space="preserve">- IMACEC sube 1pp → velocidad sube 3.1 pp YoY (signo correcto: economía buena impulsa demanda).</w:t>
      </w:r>
      <w:r>
        <w:t xml:space="preserve"> </w:t>
      </w:r>
      <w:r>
        <w:t xml:space="preserve">- IPV casas nuevas sube 1pp → velocidad sube 11 pp YoY (mercado caliente atrae compradores).</w:t>
      </w:r>
      <w:r>
        <w:t xml:space="preserve"> </w:t>
      </w:r>
      <w:r>
        <w:t xml:space="preserve">- Tasas y desempleo no resultan significativos al 95% (signo dudoso por multicolinealidad).</w:t>
      </w:r>
    </w:p>
    <w:bookmarkEnd w:id="33"/>
    <w:bookmarkStart w:id="34" w:name="resto-de-familias"/>
    <w:p>
      <w:pPr>
        <w:pStyle w:val="Heading4"/>
      </w:pPr>
      <w:r>
        <w:t xml:space="preserve">Resto de familias: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Familia</w:t>
            </w:r>
          </w:p>
        </w:tc>
        <w:tc>
          <w:tcPr/>
          <w:p>
            <w:pPr>
              <w:pStyle w:val="Compact"/>
            </w:pPr>
            <w:r>
              <w:t xml:space="preserve">R²</w:t>
            </w:r>
          </w:p>
        </w:tc>
        <w:tc>
          <w:tcPr/>
          <w:p>
            <w:pPr>
              <w:pStyle w:val="Compact"/>
            </w:pPr>
            <w:r>
              <w:t xml:space="preserve">σ res.</w:t>
            </w:r>
          </w:p>
        </w:tc>
        <w:tc>
          <w:tcPr/>
          <w:p>
            <w:pPr>
              <w:pStyle w:val="Compact"/>
            </w:pPr>
            <w:r>
              <w:t xml:space="preserve">Variables significativas</w:t>
            </w:r>
          </w:p>
        </w:tc>
      </w:tr>
      <w:tr>
        <w:tc>
          <w:tcPr/>
          <w:p>
            <w:pPr>
              <w:pStyle w:val="Compact"/>
            </w:pPr>
            <w:r>
              <w:t xml:space="preserve">Edif 4-6p</w:t>
            </w:r>
          </w:p>
        </w:tc>
        <w:tc>
          <w:tcPr/>
          <w:p>
            <w:pPr>
              <w:pStyle w:val="Compact"/>
            </w:pPr>
            <w:r>
              <w:t xml:space="preserve">0.020</w:t>
            </w:r>
          </w:p>
        </w:tc>
        <w:tc>
          <w:tcPr/>
          <w:p>
            <w:pPr>
              <w:pStyle w:val="Compact"/>
            </w:pPr>
            <w:r>
              <w:t xml:space="preserve">64.7 pp</w:t>
            </w:r>
          </w:p>
        </w:tc>
        <w:tc>
          <w:tcPr/>
          <w:p>
            <w:pPr>
              <w:pStyle w:val="Compact"/>
            </w:pPr>
            <w:r>
              <w:t xml:space="preserve">(ninguna al 90%)</w:t>
            </w:r>
          </w:p>
        </w:tc>
      </w:tr>
      <w:tr>
        <w:tc>
          <w:tcPr/>
          <w:p>
            <w:pPr>
              <w:pStyle w:val="Compact"/>
            </w:pPr>
            <w:r>
              <w:t xml:space="preserve">DS19</w:t>
            </w:r>
          </w:p>
        </w:tc>
        <w:tc>
          <w:tcPr/>
          <w:p>
            <w:pPr>
              <w:pStyle w:val="Compact"/>
            </w:pPr>
            <w:r>
              <w:t xml:space="preserve">0.043</w:t>
            </w:r>
          </w:p>
        </w:tc>
        <w:tc>
          <w:tcPr/>
          <w:p>
            <w:pPr>
              <w:pStyle w:val="Compact"/>
            </w:pPr>
            <w:r>
              <w:t xml:space="preserve">31.0 pp</w:t>
            </w:r>
          </w:p>
        </w:tc>
        <w:tc>
          <w:tcPr/>
          <w:p>
            <w:pPr>
              <w:pStyle w:val="Compact"/>
            </w:pPr>
            <w:r>
              <w:t xml:space="preserve">IPV deptos (signo negativo, p=0.10)</w:t>
            </w:r>
          </w:p>
        </w:tc>
      </w:tr>
      <w:tr>
        <w:tc>
          <w:tcPr/>
          <w:p>
            <w:pPr>
              <w:pStyle w:val="Compact"/>
            </w:pPr>
            <w:r>
              <w:t xml:space="preserve">Townhouse</w:t>
            </w:r>
          </w:p>
        </w:tc>
        <w:tc>
          <w:tcPr/>
          <w:p>
            <w:pPr>
              <w:pStyle w:val="Compact"/>
            </w:pPr>
            <w:r>
              <w:t xml:space="preserve">0.019</w:t>
            </w:r>
          </w:p>
        </w:tc>
        <w:tc>
          <w:tcPr/>
          <w:p>
            <w:pPr>
              <w:pStyle w:val="Compact"/>
            </w:pPr>
            <w:r>
              <w:t xml:space="preserve">96.8 pp</w:t>
            </w:r>
          </w:p>
        </w:tc>
        <w:tc>
          <w:tcPr/>
          <w:p>
            <w:pPr>
              <w:pStyle w:val="Compact"/>
            </w:pPr>
            <w:r>
              <w:t xml:space="preserve">(ninguna al 90%)</w:t>
            </w:r>
          </w:p>
        </w:tc>
      </w:tr>
    </w:tbl>
    <w:p>
      <w:pPr>
        <w:pStyle w:val="BodyText"/>
      </w:pPr>
      <w:r>
        <w:rPr>
          <w:b/>
          <w:bCs/>
        </w:rPr>
        <w:t xml:space="preserve">¿Por qué R² es bajo en algunas familias?</w:t>
      </w:r>
    </w:p>
    <w:p>
      <w:pPr>
        <w:pStyle w:val="BodyText"/>
      </w:pPr>
      <w:r>
        <w:t xml:space="preserve">La velocidad de venta de un proyecto específico depende en alta proporción de factores idiosincráticos no capturables por macros nacionales:</w:t>
      </w:r>
    </w:p>
    <w:p>
      <w:pPr>
        <w:pStyle w:val="Compact"/>
        <w:numPr>
          <w:ilvl w:val="0"/>
          <w:numId w:val="1013"/>
        </w:numPr>
      </w:pPr>
      <w:r>
        <w:rPr>
          <w:b/>
          <w:bCs/>
        </w:rPr>
        <w:t xml:space="preserve">Calidad del marketing y sales force</w:t>
      </w:r>
      <w:r>
        <w:t xml:space="preserve"> </w:t>
      </w:r>
      <w:r>
        <w:t xml:space="preserve">(no observable en TINSA agregada).</w:t>
      </w:r>
    </w:p>
    <w:p>
      <w:pPr>
        <w:pStyle w:val="Compact"/>
        <w:numPr>
          <w:ilvl w:val="0"/>
          <w:numId w:val="1013"/>
        </w:numPr>
      </w:pPr>
      <w:r>
        <w:rPr>
          <w:b/>
          <w:bCs/>
        </w:rPr>
        <w:t xml:space="preserve">Ubicación específica</w:t>
      </w:r>
      <w:r>
        <w:t xml:space="preserve"> </w:t>
      </w:r>
      <w:r>
        <w:t xml:space="preserve">(Las Condes ≠ Cerro Navia, mismo IMACEC).</w:t>
      </w:r>
    </w:p>
    <w:p>
      <w:pPr>
        <w:pStyle w:val="Compact"/>
        <w:numPr>
          <w:ilvl w:val="0"/>
          <w:numId w:val="1013"/>
        </w:numPr>
      </w:pPr>
      <w:r>
        <w:rPr>
          <w:b/>
          <w:bCs/>
        </w:rPr>
        <w:t xml:space="preserve">Calidad del producto</w:t>
      </w:r>
      <w:r>
        <w:t xml:space="preserve"> </w:t>
      </w:r>
      <w:r>
        <w:t xml:space="preserve">(terminaciones, equipamiento del condominio).</w:t>
      </w:r>
    </w:p>
    <w:p>
      <w:pPr>
        <w:pStyle w:val="Compact"/>
        <w:numPr>
          <w:ilvl w:val="0"/>
          <w:numId w:val="1013"/>
        </w:numPr>
      </w:pPr>
      <w:r>
        <w:rPr>
          <w:b/>
          <w:bCs/>
        </w:rPr>
        <w:t xml:space="preserve">Timing del lanzamiento</w:t>
      </w:r>
      <w:r>
        <w:t xml:space="preserve"> </w:t>
      </w:r>
      <w:r>
        <w:t xml:space="preserve">(mismo trimestre macro, distinto día del lanzamiento).</w:t>
      </w:r>
    </w:p>
    <w:p>
      <w:pPr>
        <w:pStyle w:val="FirstParagraph"/>
      </w:pPr>
      <w:r>
        <w:t xml:space="preserve">R² = 0.04 significa que las macros explican el 4% de la varianza de velocidad — el 96% restante es idiosincrático y se incorpora correctamente como noise N(0, σ_residual).</w:t>
      </w:r>
    </w:p>
    <w:p>
      <w:pPr>
        <w:pStyle w:val="BodyText"/>
      </w:pPr>
      <w:r>
        <w:rPr>
          <w:b/>
          <w:bCs/>
        </w:rPr>
        <w:t xml:space="preserve">¿Por qué este modelo sigue siendo útil con R² bajo?</w:t>
      </w:r>
    </w:p>
    <w:p>
      <w:pPr>
        <w:pStyle w:val="BodyText"/>
      </w:pPr>
      <w:r>
        <w:t xml:space="preserve">El propósito del Monte Carlo no es predecir (R² alto) sino</w:t>
      </w:r>
      <w:r>
        <w:t xml:space="preserve"> </w:t>
      </w:r>
      <w:r>
        <w:rPr>
          <w:b/>
          <w:bCs/>
        </w:rPr>
        <w:t xml:space="preserve">propagar shocks coherentemente</w:t>
      </w:r>
      <w:r>
        <w:t xml:space="preserve">. Los coeficientes capturan el componente sistémico — la dirección y magnitud que se mueve la velocidad ante shocks macros — mientras que el ε amplio refleja la verdadera incertidumbre adicional. Subestimar σ_residual sería peor que tener R² bajo, porque generaría exceso de confianza en proyecciones puntuales.</w:t>
      </w:r>
    </w:p>
    <w:bookmarkEnd w:id="34"/>
    <w:bookmarkEnd w:id="35"/>
    <w:bookmarkStart w:id="36" w:name="plazo-de-obra-plazo_yoy"/>
    <w:p>
      <w:pPr>
        <w:pStyle w:val="Heading3"/>
      </w:pPr>
      <w:r>
        <w:t xml:space="preserve">3.2.4 Plazo de obra (plazo_yoy %)</w:t>
      </w:r>
    </w:p>
    <w:p>
      <w:pPr>
        <w:pStyle w:val="FirstParagraph"/>
      </w:pPr>
      <w:r>
        <w:rPr>
          <w:b/>
          <w:bCs/>
        </w:rPr>
        <w:t xml:space="preserve">Fórmula</w:t>
      </w:r>
      <w:r>
        <w:t xml:space="preserve">:</w:t>
      </w:r>
    </w:p>
    <w:p>
      <w:pPr>
        <w:pStyle w:val="BodyText"/>
      </w:pPr>
      <m:oMathPara>
        <m:oMathParaPr>
          <m:jc m:val="center"/>
        </m:oMathParaPr>
        <m:oMath>
          <m:r>
            <m:rPr>
              <m:nor/>
              <m:sty m:val="p"/>
            </m:rPr>
            <m:t>plazo_yoy</m:t>
          </m:r>
          <m:r>
            <m:rPr>
              <m:sty m:val="p"/>
            </m:rPr>
            <m:t>=</m:t>
          </m:r>
          <m:sSub>
            <m:e>
              <m:r>
                <m:t>ε</m:t>
              </m:r>
            </m:e>
            <m:sub>
              <m:r>
                <m:rPr>
                  <m:nor/>
                  <m:sty m:val="p"/>
                </m:rPr>
                <m:t>plazo</m:t>
              </m:r>
            </m:sub>
          </m:sSub>
          <m:r>
            <m:rPr>
              <m:sty m:val="p"/>
            </m:rPr>
            <m:t>∼</m:t>
          </m:r>
          <m:r>
            <m:rPr>
              <m:scr m:val="script"/>
              <m:sty m:val="p"/>
            </m:rPr>
            <m:t>N</m:t>
          </m:r>
          <m:r>
            <m:rPr>
              <m:sty m:val="p"/>
            </m:rPr>
            <m:t>(</m:t>
          </m:r>
          <m:r>
            <m:t>0</m:t>
          </m:r>
          <m:r>
            <m:rPr>
              <m:sty m:val="p"/>
            </m:rPr>
            <m:t>,</m:t>
          </m:r>
          <m:sSub>
            <m:e>
              <m:r>
                <m:t>σ</m:t>
              </m:r>
            </m:e>
            <m:sub>
              <m:r>
                <m:rPr>
                  <m:nor/>
                  <m:sty m:val="p"/>
                </m:rPr>
                <m:t>hist</m:t>
              </m:r>
            </m:sub>
          </m:sSub>
          <m:r>
            <m:rPr>
              <m:sty m:val="p"/>
            </m:rPr>
            <m:t>)</m:t>
          </m:r>
        </m:oMath>
      </m:oMathPara>
    </w:p>
    <w:p>
      <w:pPr>
        <w:pStyle w:val="FirstParagraph"/>
      </w:pPr>
      <w:r>
        <w:t xml:space="preserve">con clamping a ±25 pp. </w:t>
      </w:r>
      <w:r>
        <w:rPr>
          <w:b/>
          <w:bCs/>
        </w:rPr>
        <w:t xml:space="preserve">No se regresa contra macros</w:t>
      </w:r>
      <w:r>
        <w:t xml:space="preserve"> </w:t>
      </w:r>
      <w:r>
        <w:t xml:space="preserve">porque el plazo de obra lo decide el developer en función de su pipeline interno, no de la macro nacional. Se aplica un shock idiosincrático con σ histórica calibrada por familia (10–30 pp).</w:t>
      </w:r>
    </w:p>
    <w:bookmarkEnd w:id="36"/>
    <w:bookmarkEnd w:id="37"/>
    <w:bookmarkEnd w:id="38"/>
    <w:bookmarkStart w:id="47" w:name="cópulas-teoría-y-aplicación"/>
    <w:p>
      <w:pPr>
        <w:pStyle w:val="Heading1"/>
      </w:pPr>
      <w:r>
        <w:t xml:space="preserve">4. Cópulas: teoría y aplicación</w:t>
      </w:r>
    </w:p>
    <w:bookmarkStart w:id="39" w:name="qué-es-una-cópula-y-por-qué-importa"/>
    <w:p>
      <w:pPr>
        <w:pStyle w:val="Heading2"/>
      </w:pPr>
      <w:r>
        <w:t xml:space="preserve">4.1 ¿Qué es una cópula y por qué importa?</w:t>
      </w:r>
    </w:p>
    <w:p>
      <w:pPr>
        <w:pStyle w:val="FirstParagraph"/>
      </w:pPr>
      <w:r>
        <w:t xml:space="preserve">Una</w:t>
      </w:r>
      <w:r>
        <w:t xml:space="preserve"> </w:t>
      </w:r>
      <w:r>
        <w:rPr>
          <w:b/>
          <w:bCs/>
        </w:rPr>
        <w:t xml:space="preserve">cópula</w:t>
      </w:r>
      <w:r>
        <w:t xml:space="preserve"> </w:t>
      </w:r>
      <w:r>
        <w:t xml:space="preserve">es una función matemática que describe la</w:t>
      </w:r>
      <w:r>
        <w:t xml:space="preserve"> </w:t>
      </w:r>
      <w:r>
        <w:rPr>
          <w:b/>
          <w:bCs/>
        </w:rPr>
        <w:t xml:space="preserve">estructura de dependencia</w:t>
      </w:r>
      <w:r>
        <w:t xml:space="preserve"> </w:t>
      </w:r>
      <w:r>
        <w:t xml:space="preserve">entre variables aleatorias, separadamente de sus distribuciones marginales individuales.</w:t>
      </w:r>
    </w:p>
    <w:p>
      <w:pPr>
        <w:pStyle w:val="BodyText"/>
      </w:pPr>
      <w:r>
        <w:t xml:space="preserve">Formalmente (teorema de Sklar, 1959): para cualquier distribución conjunta</w:t>
      </w:r>
      <w:r>
        <w:t xml:space="preserve"> </w:t>
      </w:r>
      <m:oMath>
        <m:r>
          <m:t>H</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t>
      </w:r>
      <w:r>
        <w:t xml:space="preserve">con marginales</w:t>
      </w:r>
      <w:r>
        <w:t xml:space="preserve"> </w:t>
      </w:r>
      <m:oMath>
        <m:sSub>
          <m:e>
            <m:r>
              <m:t>F</m:t>
            </m:r>
          </m:e>
          <m:sub>
            <m:r>
              <m:t>i</m:t>
            </m:r>
          </m:sub>
        </m:sSub>
        <m:r>
          <m:rPr>
            <m:sty m:val="p"/>
          </m:rPr>
          <m:t>(</m:t>
        </m:r>
        <m:sSub>
          <m:e>
            <m:r>
              <m:t>x</m:t>
            </m:r>
          </m:e>
          <m:sub>
            <m:r>
              <m:t>i</m:t>
            </m:r>
          </m:sub>
        </m:sSub>
        <m:r>
          <m:rPr>
            <m:sty m:val="p"/>
          </m:rPr>
          <m:t>)</m:t>
        </m:r>
      </m:oMath>
      <w:r>
        <w:t xml:space="preserve">, existe una cópula</w:t>
      </w:r>
      <w:r>
        <w:t xml:space="preserve"> </w:t>
      </w:r>
      <m:oMath>
        <m:r>
          <m:t>C</m:t>
        </m:r>
      </m:oMath>
      <w:r>
        <w:t xml:space="preserve"> </w:t>
      </w:r>
      <w:r>
        <w:t xml:space="preserve">tal que:</w:t>
      </w:r>
    </w:p>
    <w:p>
      <w:pPr>
        <w:pStyle w:val="BodyText"/>
      </w:pPr>
      <m:oMathPara>
        <m:oMathParaPr>
          <m:jc m:val="center"/>
        </m:oMathParaPr>
        <m:oMath>
          <m:r>
            <m:t>H</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r>
            <m:t>C</m:t>
          </m:r>
          <m:r>
            <m:rPr>
              <m:sty m:val="p"/>
            </m:rPr>
            <m:t>(</m:t>
          </m:r>
          <m:sSub>
            <m:e>
              <m:r>
                <m:t>F</m:t>
              </m:r>
            </m:e>
            <m:sub>
              <m:r>
                <m:t>1</m:t>
              </m:r>
            </m:sub>
          </m:sSub>
          <m:r>
            <m:rPr>
              <m:sty m:val="p"/>
            </m:rPr>
            <m:t>(</m:t>
          </m:r>
          <m:sSub>
            <m:e>
              <m:r>
                <m:t>x</m:t>
              </m:r>
            </m:e>
            <m:sub>
              <m:r>
                <m:t>1</m:t>
              </m:r>
            </m:sub>
          </m:sSub>
          <m:r>
            <m:rPr>
              <m:sty m:val="p"/>
            </m:rPr>
            <m:t>)</m:t>
          </m:r>
          <m:r>
            <m:rPr>
              <m:sty m:val="p"/>
            </m:rPr>
            <m:t>,</m:t>
          </m:r>
          <m:sSub>
            <m:e>
              <m:r>
                <m:t>F</m:t>
              </m:r>
            </m:e>
            <m:sub>
              <m:r>
                <m:t>2</m:t>
              </m:r>
            </m:sub>
          </m:sSub>
          <m:r>
            <m:rPr>
              <m:sty m:val="p"/>
            </m:rPr>
            <m:t>(</m:t>
          </m:r>
          <m:sSub>
            <m:e>
              <m:r>
                <m:t>x</m:t>
              </m:r>
            </m:e>
            <m:sub>
              <m:r>
                <m:t>2</m:t>
              </m:r>
            </m:sub>
          </m:sSub>
          <m:r>
            <m:rPr>
              <m:sty m:val="p"/>
            </m:rPr>
            <m:t>)</m:t>
          </m:r>
          <m:r>
            <m:rPr>
              <m:sty m:val="p"/>
            </m:rPr>
            <m:t>,</m:t>
          </m:r>
          <m:r>
            <m:rPr>
              <m:sty m:val="p"/>
            </m:rPr>
            <m:t>.</m:t>
          </m:r>
          <m:r>
            <m:rPr>
              <m:sty m:val="p"/>
            </m:rPr>
            <m:t>.</m:t>
          </m:r>
          <m:r>
            <m:rPr>
              <m:sty m:val="p"/>
            </m:rPr>
            <m:t>.</m:t>
          </m:r>
          <m:r>
            <m:rPr>
              <m:sty m:val="p"/>
            </m:rPr>
            <m:t>,</m:t>
          </m:r>
          <m:sSub>
            <m:e>
              <m:r>
                <m:t>F</m:t>
              </m:r>
            </m:e>
            <m:sub>
              <m:r>
                <m:t>n</m:t>
              </m:r>
            </m:sub>
          </m:sSub>
          <m:r>
            <m:rPr>
              <m:sty m:val="p"/>
            </m:rPr>
            <m:t>(</m:t>
          </m:r>
          <m:sSub>
            <m:e>
              <m:r>
                <m:t>x</m:t>
              </m:r>
            </m:e>
            <m:sub>
              <m:r>
                <m:t>n</m:t>
              </m:r>
            </m:sub>
          </m:sSub>
          <m:r>
            <m:rPr>
              <m:sty m:val="p"/>
            </m:rPr>
            <m:t>)</m:t>
          </m:r>
          <m:r>
            <m:rPr>
              <m:sty m:val="p"/>
            </m:rPr>
            <m:t>)</m:t>
          </m:r>
        </m:oMath>
      </m:oMathPara>
    </w:p>
    <w:p>
      <w:pPr>
        <w:pStyle w:val="FirstParagraph"/>
      </w:pPr>
      <w:r>
        <w:t xml:space="preserve">La cópula</w:t>
      </w:r>
      <w:r>
        <w:t xml:space="preserve"> </w:t>
      </w:r>
      <w:r>
        <w:rPr>
          <w:b/>
          <w:bCs/>
        </w:rPr>
        <w:t xml:space="preserve">toma valores en [0,1]^n</w:t>
      </w:r>
      <w:r>
        <w:t xml:space="preserve"> </w:t>
      </w:r>
      <w:r>
        <w:t xml:space="preserve">y describe únicamente cómo las variables se relacionan, no cómo se distribuyen individualmente. Esto permite:</w:t>
      </w:r>
    </w:p>
    <w:p>
      <w:pPr>
        <w:pStyle w:val="Compact"/>
        <w:numPr>
          <w:ilvl w:val="0"/>
          <w:numId w:val="1014"/>
        </w:numPr>
      </w:pPr>
      <w:r>
        <w:t xml:space="preserve">Modelar marginales empíricas (sin asumir Normal/Triangular)</w:t>
      </w:r>
      <w:r>
        <w:t xml:space="preserve"> </w:t>
      </w:r>
      <w:r>
        <w:rPr>
          <w:b/>
          <w:bCs/>
        </w:rPr>
        <w:t xml:space="preserve">separadamente</w:t>
      </w:r>
      <w:r>
        <w:t xml:space="preserve"> </w:t>
      </w:r>
      <w:r>
        <w:t xml:space="preserve">de las correlaciones.</w:t>
      </w:r>
    </w:p>
    <w:p>
      <w:pPr>
        <w:pStyle w:val="Compact"/>
        <w:numPr>
          <w:ilvl w:val="0"/>
          <w:numId w:val="1014"/>
        </w:numPr>
      </w:pPr>
      <w:r>
        <w:t xml:space="preserve">Especificar correlaciones distintas para distintas regiones de las distribuciones (e.g., correlación más fuerte en colas que en el centro).</w:t>
      </w:r>
    </w:p>
    <w:p>
      <w:pPr>
        <w:pStyle w:val="Compact"/>
        <w:numPr>
          <w:ilvl w:val="0"/>
          <w:numId w:val="1014"/>
        </w:numPr>
      </w:pPr>
      <w:r>
        <w:t xml:space="preserve">Construir distribuciones conjuntas multivariadas con cualquier mezcla de tipos marginales.</w:t>
      </w:r>
    </w:p>
    <w:bookmarkEnd w:id="39"/>
    <w:bookmarkStart w:id="42" w:name="cópula-gaussiana-vs.-cópula-t"/>
    <w:p>
      <w:pPr>
        <w:pStyle w:val="Heading2"/>
      </w:pPr>
      <w:r>
        <w:t xml:space="preserve">4.2 Cópula Gaussiana vs. cópula t</w:t>
      </w:r>
    </w:p>
    <w:bookmarkStart w:id="40" w:name="cópula-gaussiana"/>
    <w:p>
      <w:pPr>
        <w:pStyle w:val="Heading3"/>
      </w:pPr>
      <w:r>
        <w:t xml:space="preserve">Cópula Gaussiana</w:t>
      </w:r>
    </w:p>
    <w:p>
      <w:pPr>
        <w:pStyle w:val="FirstParagraph"/>
      </w:pPr>
      <w:r>
        <w:t xml:space="preserve">La cópula Gaussiana es la más simple. Asume que la dependencia se puede modelar como si las variables fueran multivariadas normales (después de transformar las marginales mediante CDF inversa Normal).</w:t>
      </w:r>
    </w:p>
    <w:p>
      <w:pPr>
        <w:pStyle w:val="BodyText"/>
      </w:pPr>
      <w:r>
        <w:rPr>
          <w:b/>
          <w:bCs/>
        </w:rPr>
        <w:t xml:space="preserve">Propiedad clave</w:t>
      </w:r>
      <w:r>
        <w:t xml:space="preserve">: bajo cópula Gaussiana, eventos extremos en distintas variables son</w:t>
      </w:r>
      <w:r>
        <w:t xml:space="preserve"> </w:t>
      </w:r>
      <w:r>
        <w:rPr>
          <w:b/>
          <w:bCs/>
        </w:rPr>
        <w:t xml:space="preserve">asintóticamente independientes</w:t>
      </w:r>
      <w:r>
        <w:t xml:space="preserve">. Es decir:</w:t>
      </w:r>
    </w:p>
    <w:p>
      <w:pPr>
        <w:pStyle w:val="BodyText"/>
      </w:pPr>
      <m:oMathPara>
        <m:oMathParaPr>
          <m:jc m:val="center"/>
        </m:oMathParaPr>
        <m:oMath>
          <m:limLow>
            <m:e>
              <m:r>
                <m:rPr>
                  <m:sty m:val="p"/>
                </m:rPr>
                <m:t>lim</m:t>
              </m:r>
            </m:e>
            <m:lim>
              <m:r>
                <m:t>q</m:t>
              </m:r>
              <m:r>
                <m:rPr>
                  <m:sty m:val="p"/>
                </m:rPr>
                <m:t>→</m:t>
              </m:r>
              <m:r>
                <m:t>0</m:t>
              </m:r>
            </m:lim>
          </m:limLow>
          <m:r>
            <m:rPr>
              <m:scr m:val="double-struck"/>
              <m:sty m:val="p"/>
            </m:rPr>
            <m:t>P</m:t>
          </m:r>
          <m:r>
            <m:rPr>
              <m:sty m:val="p"/>
            </m:rPr>
            <m:t>(</m:t>
          </m:r>
          <m:sSub>
            <m:e>
              <m:r>
                <m:t>X</m:t>
              </m:r>
            </m:e>
            <m:sub>
              <m:r>
                <m:t>2</m:t>
              </m:r>
            </m:sub>
          </m:sSub>
          <m:r>
            <m:rPr>
              <m:sty m:val="p"/>
            </m:rPr>
            <m:t>&lt;</m:t>
          </m:r>
          <m:r>
            <m:t>q</m:t>
          </m:r>
          <m:r>
            <m:rPr>
              <m:sty m:val="p"/>
            </m:rPr>
            <m:t>|</m:t>
          </m:r>
          <m:sSub>
            <m:e>
              <m:r>
                <m:t>X</m:t>
              </m:r>
            </m:e>
            <m:sub>
              <m:r>
                <m:t>1</m:t>
              </m:r>
            </m:sub>
          </m:sSub>
          <m:r>
            <m:rPr>
              <m:sty m:val="p"/>
            </m:rPr>
            <m:t>&lt;</m:t>
          </m:r>
          <m:r>
            <m:t>q</m:t>
          </m:r>
          <m:r>
            <m:rPr>
              <m:sty m:val="p"/>
            </m:rPr>
            <m:t>)</m:t>
          </m:r>
          <m:r>
            <m:rPr>
              <m:sty m:val="p"/>
            </m:rPr>
            <m:t>=</m:t>
          </m:r>
          <m:r>
            <m:t>0</m:t>
          </m:r>
        </m:oMath>
      </m:oMathPara>
    </w:p>
    <w:p>
      <w:pPr>
        <w:pStyle w:val="FirstParagraph"/>
      </w:pPr>
      <w:r>
        <w:t xml:space="preserve">para cualquier correlación</w:t>
      </w:r>
      <w:r>
        <w:t xml:space="preserve"> </w:t>
      </w:r>
      <m:oMath>
        <m:r>
          <m:rPr>
            <m:sty m:val="p"/>
          </m:rPr>
          <m:t>|</m:t>
        </m:r>
        <m:r>
          <m:t>ρ</m:t>
        </m:r>
        <m:r>
          <m:rPr>
            <m:sty m:val="p"/>
          </m:rPr>
          <m:t>|</m:t>
        </m:r>
        <m:r>
          <m:rPr>
            <m:sty m:val="p"/>
          </m:rPr>
          <m:t>&lt;</m:t>
        </m:r>
        <m:r>
          <m:t>1</m:t>
        </m:r>
      </m:oMath>
      <w:r>
        <w:t xml:space="preserve">.</w:t>
      </w:r>
    </w:p>
    <w:p>
      <w:pPr>
        <w:pStyle w:val="BodyText"/>
      </w:pPr>
      <w:r>
        <w:rPr>
          <w:b/>
          <w:bCs/>
        </w:rPr>
        <w:t xml:space="preserve">Implicancia económica</w:t>
      </w:r>
      <w:r>
        <w:t xml:space="preserve">: bajo Gaussiana, la probabilidad de</w:t>
      </w:r>
      <w:r>
        <w:t xml:space="preserve"> </w:t>
      </w:r>
      <w:r>
        <w:t xml:space="preserve">“todas las macros caen al P5 simultáneamente”</w:t>
      </w:r>
      <w:r>
        <w:t xml:space="preserve"> </w:t>
      </w:r>
      <w:r>
        <w:t xml:space="preserve">tiende a cero asintóticamente,</w:t>
      </w:r>
      <w:r>
        <w:t xml:space="preserve"> </w:t>
      </w:r>
      <w:r>
        <w:rPr>
          <w:b/>
          <w:bCs/>
        </w:rPr>
        <w:t xml:space="preserve">incluso si las correlaciones son −0.5</w:t>
      </w:r>
      <w:r>
        <w:t xml:space="preserve">. Esto</w:t>
      </w:r>
      <w:r>
        <w:t xml:space="preserve"> </w:t>
      </w:r>
      <w:r>
        <w:rPr>
          <w:b/>
          <w:bCs/>
        </w:rPr>
        <w:t xml:space="preserve">subestima dramáticamente el riesgo de crisis</w:t>
      </w:r>
      <w:r>
        <w:t xml:space="preserve"> </w:t>
      </w:r>
      <w:r>
        <w:t xml:space="preserve">sistémicas.</w:t>
      </w:r>
    </w:p>
    <w:p>
      <w:pPr>
        <w:pStyle w:val="BodyText"/>
      </w:pPr>
      <w:r>
        <w:t xml:space="preserve">Esto fue uno de los factores que contribuyó a la subestimación del riesgo en CDOs hipotecarios pre-2008 (David Li,</w:t>
      </w:r>
      <w:r>
        <w:t xml:space="preserve"> </w:t>
      </w:r>
      <w:r>
        <w:rPr>
          <w:i/>
          <w:iCs/>
        </w:rPr>
        <w:t xml:space="preserve">On Default Correlation: A Copula Function Approach</w:t>
      </w:r>
      <w:r>
        <w:t xml:space="preserve">, 2000) y motivó la migración de la industria financiera hacia cópulas con tail dependence.</w:t>
      </w:r>
    </w:p>
    <w:bookmarkEnd w:id="40"/>
    <w:bookmarkStart w:id="41" w:name="cópula-t-student"/>
    <w:p>
      <w:pPr>
        <w:pStyle w:val="Heading3"/>
      </w:pPr>
      <w:r>
        <w:t xml:space="preserve">Cópula t (Student)</w:t>
      </w:r>
    </w:p>
    <w:p>
      <w:pPr>
        <w:pStyle w:val="FirstParagraph"/>
      </w:pPr>
      <w:r>
        <w:t xml:space="preserve">La cópula t deriva de la distribución t multivariada. Tiene un parámetro extra ν (grados de libertad) y captura</w:t>
      </w:r>
      <w:r>
        <w:t xml:space="preserve"> </w:t>
      </w:r>
      <w:r>
        <w:rPr>
          <w:b/>
          <w:bCs/>
        </w:rPr>
        <w:t xml:space="preserve">tail dependence</w:t>
      </w:r>
      <w:r>
        <w:t xml:space="preserve">:</w:t>
      </w:r>
    </w:p>
    <w:p>
      <w:pPr>
        <w:pStyle w:val="BodyText"/>
      </w:pPr>
      <m:oMathPara>
        <m:oMathParaPr>
          <m:jc m:val="center"/>
        </m:oMathParaPr>
        <m:oMath>
          <m:limLow>
            <m:e>
              <m:r>
                <m:rPr>
                  <m:sty m:val="p"/>
                </m:rPr>
                <m:t>lim</m:t>
              </m:r>
            </m:e>
            <m:lim>
              <m:r>
                <m:t>q</m:t>
              </m:r>
              <m:r>
                <m:rPr>
                  <m:sty m:val="p"/>
                </m:rPr>
                <m:t>→</m:t>
              </m:r>
              <m:r>
                <m:t>0</m:t>
              </m:r>
            </m:lim>
          </m:limLow>
          <m:r>
            <m:rPr>
              <m:scr m:val="double-struck"/>
              <m:sty m:val="p"/>
            </m:rPr>
            <m:t>P</m:t>
          </m:r>
          <m:r>
            <m:rPr>
              <m:sty m:val="p"/>
            </m:rPr>
            <m:t>(</m:t>
          </m:r>
          <m:sSub>
            <m:e>
              <m:r>
                <m:t>X</m:t>
              </m:r>
            </m:e>
            <m:sub>
              <m:r>
                <m:t>2</m:t>
              </m:r>
            </m:sub>
          </m:sSub>
          <m:r>
            <m:rPr>
              <m:sty m:val="p"/>
            </m:rPr>
            <m:t>&lt;</m:t>
          </m:r>
          <m:r>
            <m:t>q</m:t>
          </m:r>
          <m:r>
            <m:rPr>
              <m:sty m:val="p"/>
            </m:rPr>
            <m:t>|</m:t>
          </m:r>
          <m:sSub>
            <m:e>
              <m:r>
                <m:t>X</m:t>
              </m:r>
            </m:e>
            <m:sub>
              <m:r>
                <m:t>1</m:t>
              </m:r>
            </m:sub>
          </m:sSub>
          <m:r>
            <m:rPr>
              <m:sty m:val="p"/>
            </m:rPr>
            <m:t>&lt;</m:t>
          </m:r>
          <m:r>
            <m:t>q</m:t>
          </m:r>
          <m:r>
            <m:rPr>
              <m:sty m:val="p"/>
            </m:rPr>
            <m:t>)</m:t>
          </m:r>
          <m:r>
            <m:rPr>
              <m:sty m:val="p"/>
            </m:rPr>
            <m:t>=</m:t>
          </m:r>
          <m:r>
            <m:t>2</m:t>
          </m:r>
          <m:r>
            <m:rPr>
              <m:sty m:val="p"/>
            </m:rPr>
            <m:t>⋅</m:t>
          </m:r>
          <m:sSub>
            <m:e>
              <m:r>
                <m:t>t</m:t>
              </m:r>
            </m:e>
            <m:sub>
              <m:r>
                <m:t>ν</m:t>
              </m:r>
              <m:r>
                <m:rPr>
                  <m:sty m:val="p"/>
                </m:rPr>
                <m:t>+</m:t>
              </m:r>
              <m:r>
                <m:t>1</m:t>
              </m:r>
            </m:sub>
          </m:sSub>
          <m:d>
            <m:dPr>
              <m:begChr m:val="("/>
              <m:sepChr m:val=""/>
              <m:endChr m:val=")"/>
              <m:grow/>
            </m:dPr>
            <m:e>
              <m:r>
                <m:rPr>
                  <m:sty m:val="p"/>
                </m:rPr>
                <m:t>−</m:t>
              </m:r>
              <m:rad>
                <m:radPr>
                  <m:degHide m:val="on"/>
                </m:radPr>
                <m:deg/>
                <m:e>
                  <m:f>
                    <m:fPr>
                      <m:type m:val="bar"/>
                    </m:fPr>
                    <m:num>
                      <m:r>
                        <m:rPr>
                          <m:sty m:val="p"/>
                        </m:rPr>
                        <m:t>(</m:t>
                      </m:r>
                      <m:r>
                        <m:t>ν</m:t>
                      </m:r>
                      <m:r>
                        <m:rPr>
                          <m:sty m:val="p"/>
                        </m:rPr>
                        <m:t>+</m:t>
                      </m:r>
                      <m:r>
                        <m:t>1</m:t>
                      </m:r>
                      <m:r>
                        <m:rPr>
                          <m:sty m:val="p"/>
                        </m:rPr>
                        <m:t>)</m:t>
                      </m:r>
                      <m:r>
                        <m:rPr>
                          <m:sty m:val="p"/>
                        </m:rPr>
                        <m:t>(</m:t>
                      </m:r>
                      <m:r>
                        <m:t>1</m:t>
                      </m:r>
                      <m:r>
                        <m:rPr>
                          <m:sty m:val="p"/>
                        </m:rPr>
                        <m:t>−</m:t>
                      </m:r>
                      <m:r>
                        <m:t>ρ</m:t>
                      </m:r>
                      <m:r>
                        <m:rPr>
                          <m:sty m:val="p"/>
                        </m:rPr>
                        <m:t>)</m:t>
                      </m:r>
                    </m:num>
                    <m:den>
                      <m:r>
                        <m:t>1</m:t>
                      </m:r>
                      <m:r>
                        <m:rPr>
                          <m:sty m:val="p"/>
                        </m:rPr>
                        <m:t>+</m:t>
                      </m:r>
                      <m:r>
                        <m:t>ρ</m:t>
                      </m:r>
                    </m:den>
                  </m:f>
                </m:e>
              </m:rad>
            </m:e>
          </m:d>
          <m:r>
            <m:rPr>
              <m:sty m:val="p"/>
            </m:rPr>
            <m:t>&gt;</m:t>
          </m:r>
          <m:r>
            <m:t>0</m:t>
          </m:r>
        </m:oMath>
      </m:oMathPara>
    </w:p>
    <w:p>
      <w:pPr>
        <w:pStyle w:val="FirstParagraph"/>
      </w:pPr>
      <w:r>
        <w:t xml:space="preserve">para</w:t>
      </w:r>
      <w:r>
        <w:t xml:space="preserve"> </w:t>
      </w:r>
      <m:oMath>
        <m:r>
          <m:t>ν</m:t>
        </m:r>
        <m:r>
          <m:rPr>
            <m:sty m:val="p"/>
          </m:rPr>
          <m:t>&lt;</m:t>
        </m:r>
        <m:r>
          <m:rPr>
            <m:sty m:val="p"/>
          </m:rPr>
          <m:t>∞</m:t>
        </m:r>
      </m:oMath>
      <w:r>
        <w:t xml:space="preserve">.</w:t>
      </w:r>
    </w:p>
    <w:p>
      <w:pPr>
        <w:pStyle w:val="BodyText"/>
      </w:pPr>
      <w:r>
        <w:rPr>
          <w:b/>
          <w:bCs/>
        </w:rPr>
        <w:t xml:space="preserve">Para ν=4 y ρ=0.5</w:t>
      </w:r>
      <w:r>
        <w:t xml:space="preserve">, esta probabilidad es ≈ 0.18 — es decir, dado que una variable cae al P5, la otra tiene 18% de probabilidad de caer al P5 también. Bajo Gaussiana sería 0.</w:t>
      </w:r>
    </w:p>
    <w:p>
      <w:pPr>
        <w:pStyle w:val="BodyText"/>
      </w:pPr>
      <w:r>
        <w:rPr>
          <w:b/>
          <w:bCs/>
        </w:rPr>
        <w:t xml:space="preserve">Convergencia</w:t>
      </w:r>
      <w:r>
        <w:t xml:space="preserve">: cuando ν → ∞, la cópula t converge a la Gaussiana. Para ν pequeño, las colas son más pesadas y más dependientes.</w:t>
      </w:r>
    </w:p>
    <w:p>
      <w:pPr>
        <w:pStyle w:val="BodyText"/>
      </w:pPr>
      <w:r>
        <w:rPr>
          <w:b/>
          <w:bCs/>
        </w:rPr>
        <w:t xml:space="preserve">Elección de ν=4 en este modelo</w:t>
      </w:r>
      <w:r>
        <w:t xml:space="preserve">:</w:t>
      </w:r>
      <w:r>
        <w:t xml:space="preserve"> </w:t>
      </w:r>
      <w:r>
        <w:t xml:space="preserve">- Estándar industria para riesgo de crédito y operacional (S&amp;P, Moody’s, modelos Basel III).</w:t>
      </w:r>
      <w:r>
        <w:t xml:space="preserve"> </w:t>
      </w:r>
      <w:r>
        <w:t xml:space="preserve">- Aplicable a real estate por similar comportamiento de tail (eventos extremos correlacionados).</w:t>
      </w:r>
      <w:r>
        <w:t xml:space="preserve"> </w:t>
      </w:r>
      <w:r>
        <w:t xml:space="preserve">- ν &lt; 4 produce demasiada masa en colas; ν &gt; 8 colapsa hacia Gaussiana.</w:t>
      </w:r>
    </w:p>
    <w:bookmarkEnd w:id="41"/>
    <w:bookmarkEnd w:id="42"/>
    <w:bookmarkStart w:id="43" w:name="X6c333959d0f1eaf93ffcb2cfb05ff898fdd5b62"/>
    <w:p>
      <w:pPr>
        <w:pStyle w:val="Heading2"/>
      </w:pPr>
      <w:r>
        <w:t xml:space="preserve">4.3 La matriz de correlación Spearman empírica</w:t>
      </w:r>
    </w:p>
    <w:p>
      <w:pPr>
        <w:pStyle w:val="FirstParagraph"/>
      </w:pPr>
      <w:r>
        <w:t xml:space="preserve">La cópula se calibra con la matriz de correlación</w:t>
      </w:r>
      <w:r>
        <w:t xml:space="preserve"> </w:t>
      </w:r>
      <w:r>
        <w:rPr>
          <w:b/>
          <w:bCs/>
        </w:rPr>
        <w:t xml:space="preserve">Spearman</w:t>
      </w:r>
      <w:r>
        <w:t xml:space="preserve">, no Pearson. Razones:</w:t>
      </w:r>
    </w:p>
    <w:p>
      <w:pPr>
        <w:pStyle w:val="Compact"/>
        <w:numPr>
          <w:ilvl w:val="0"/>
          <w:numId w:val="1015"/>
        </w:numPr>
      </w:pPr>
      <w:r>
        <w:rPr>
          <w:b/>
          <w:bCs/>
        </w:rPr>
        <w:t xml:space="preserve">Spearman es invariante a transformaciones monótonas</w:t>
      </w:r>
      <w:r>
        <w:t xml:space="preserve"> </w:t>
      </w:r>
      <w:r>
        <w:t xml:space="preserve">de las variables — útil cuando las marginales no son normales.</w:t>
      </w:r>
    </w:p>
    <w:p>
      <w:pPr>
        <w:pStyle w:val="Compact"/>
        <w:numPr>
          <w:ilvl w:val="0"/>
          <w:numId w:val="1015"/>
        </w:numPr>
      </w:pPr>
      <w:r>
        <w:rPr>
          <w:b/>
          <w:bCs/>
        </w:rPr>
        <w:t xml:space="preserve">Spearman captura dependencia de rangos</w:t>
      </w:r>
      <w:r>
        <w:t xml:space="preserve">, lo apropiado para cópulas.</w:t>
      </w:r>
    </w:p>
    <w:p>
      <w:pPr>
        <w:pStyle w:val="Compact"/>
        <w:numPr>
          <w:ilvl w:val="0"/>
          <w:numId w:val="1015"/>
        </w:numPr>
      </w:pPr>
      <w:r>
        <w:t xml:space="preserve">La conversión Spearman → Pearson para cópulas elípticas (Gaussiana, t) es exacta:</w:t>
      </w:r>
    </w:p>
    <w:p>
      <w:pPr>
        <w:pStyle w:val="FirstParagraph"/>
      </w:pPr>
      <m:oMathPara>
        <m:oMathParaPr>
          <m:jc m:val="center"/>
        </m:oMathParaPr>
        <m:oMath>
          <m:sSub>
            <m:e>
              <m:r>
                <m:t>ρ</m:t>
              </m:r>
            </m:e>
            <m:sub>
              <m:r>
                <m:rPr>
                  <m:nor/>
                  <m:sty m:val="p"/>
                </m:rPr>
                <m:t>Pearson</m:t>
              </m:r>
            </m:sub>
          </m:sSub>
          <m:r>
            <m:rPr>
              <m:sty m:val="p"/>
            </m:rPr>
            <m:t>=</m:t>
          </m:r>
          <m:r>
            <m:t>2</m:t>
          </m:r>
          <m:r>
            <m:rPr>
              <m:sty m:val="p"/>
            </m:rPr>
            <m:t>sin</m:t>
          </m:r>
          <m:d>
            <m:dPr>
              <m:begChr m:val="("/>
              <m:sepChr m:val=""/>
              <m:endChr m:val=")"/>
              <m:grow/>
            </m:dPr>
            <m:e>
              <m:f>
                <m:fPr>
                  <m:type m:val="bar"/>
                </m:fPr>
                <m:num>
                  <m:r>
                    <m:t>π</m:t>
                  </m:r>
                </m:num>
                <m:den>
                  <m:r>
                    <m:t>6</m:t>
                  </m:r>
                </m:den>
              </m:f>
              <m:sSub>
                <m:e>
                  <m:r>
                    <m:t>ρ</m:t>
                  </m:r>
                </m:e>
                <m:sub>
                  <m:r>
                    <m:rPr>
                      <m:nor/>
                      <m:sty m:val="p"/>
                    </m:rPr>
                    <m:t>Spearman</m:t>
                  </m:r>
                </m:sub>
              </m:sSub>
            </m:e>
          </m:d>
        </m:oMath>
      </m:oMathPara>
    </w:p>
    <w:p>
      <w:pPr>
        <w:pStyle w:val="FirstParagraph"/>
      </w:pPr>
      <w:r>
        <w:rPr>
          <w:b/>
          <w:bCs/>
        </w:rPr>
        <w:t xml:space="preserve">Matriz Spearman calibrada</w:t>
      </w:r>
      <w:r>
        <w:t xml:space="preserve"> </w:t>
      </w:r>
      <w:r>
        <w:t xml:space="preserve">(5 macros, 401 trimestres post-2013):</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imacec</w:t>
            </w:r>
          </w:p>
        </w:tc>
        <w:tc>
          <w:tcPr/>
          <w:p>
            <w:pPr>
              <w:pStyle w:val="Compact"/>
            </w:pPr>
            <w:r>
              <w:t xml:space="preserve">Δ tasa_hipo</w:t>
            </w:r>
          </w:p>
        </w:tc>
        <w:tc>
          <w:tcPr/>
          <w:p>
            <w:pPr>
              <w:pStyle w:val="Compact"/>
            </w:pPr>
            <w:r>
              <w:t xml:space="preserve">Δ desemp.</w:t>
            </w:r>
          </w:p>
        </w:tc>
        <w:tc>
          <w:tcPr/>
          <w:p>
            <w:pPr>
              <w:pStyle w:val="Compact"/>
            </w:pPr>
            <w:r>
              <w:t xml:space="preserve">IPV deptos</w:t>
            </w:r>
          </w:p>
        </w:tc>
        <w:tc>
          <w:tcPr/>
          <w:p>
            <w:pPr>
              <w:pStyle w:val="Compact"/>
            </w:pPr>
            <w:r>
              <w:t xml:space="preserve">IPV casas</w:t>
            </w:r>
          </w:p>
        </w:tc>
        <w:tc>
          <w:tcPr/>
          <w:p>
            <w:pPr>
              <w:pStyle w:val="Compact"/>
            </w:pPr>
            <w:r>
              <w:t xml:space="preserve">ICOI</w:t>
            </w:r>
          </w:p>
        </w:tc>
      </w:tr>
      <w:tr>
        <w:tc>
          <w:tcPr/>
          <w:p>
            <w:pPr>
              <w:pStyle w:val="Compact"/>
            </w:pPr>
            <w:r>
              <w:rPr>
                <w:b/>
                <w:bCs/>
              </w:rPr>
              <w:t xml:space="preserve">imacec</w:t>
            </w:r>
          </w:p>
        </w:tc>
        <w:tc>
          <w:tcPr/>
          <w:p>
            <w:pPr>
              <w:pStyle w:val="Compact"/>
            </w:pPr>
            <w:r>
              <w:t xml:space="preserve">1.00</w:t>
            </w:r>
          </w:p>
        </w:tc>
        <w:tc>
          <w:tcPr/>
          <w:p>
            <w:pPr>
              <w:pStyle w:val="Compact"/>
            </w:pPr>
            <w:r>
              <w:t xml:space="preserve">+0.20</w:t>
            </w:r>
          </w:p>
        </w:tc>
        <w:tc>
          <w:tcPr/>
          <w:p>
            <w:pPr>
              <w:pStyle w:val="Compact"/>
            </w:pPr>
            <w:r>
              <w:t xml:space="preserve">−0.26</w:t>
            </w:r>
          </w:p>
        </w:tc>
        <w:tc>
          <w:tcPr/>
          <w:p>
            <w:pPr>
              <w:pStyle w:val="Compact"/>
            </w:pPr>
            <w:r>
              <w:t xml:space="preserve">+0.06</w:t>
            </w:r>
          </w:p>
        </w:tc>
        <w:tc>
          <w:tcPr/>
          <w:p>
            <w:pPr>
              <w:pStyle w:val="Compact"/>
            </w:pPr>
            <w:r>
              <w:t xml:space="preserve">+0.08</w:t>
            </w:r>
          </w:p>
        </w:tc>
        <w:tc>
          <w:tcPr/>
          <w:p>
            <w:pPr>
              <w:pStyle w:val="Compact"/>
            </w:pPr>
            <w:r>
              <w:t xml:space="preserve">+0.05</w:t>
            </w:r>
          </w:p>
        </w:tc>
      </w:tr>
      <w:tr>
        <w:tc>
          <w:tcPr/>
          <w:p>
            <w:pPr>
              <w:pStyle w:val="Compact"/>
            </w:pPr>
            <w:r>
              <w:rPr>
                <w:b/>
                <w:bCs/>
              </w:rPr>
              <w:t xml:space="preserve">Δ tasa_hipo</w:t>
            </w:r>
          </w:p>
        </w:tc>
        <w:tc>
          <w:tcPr/>
          <w:p>
            <w:pPr>
              <w:pStyle w:val="Compact"/>
            </w:pPr>
            <w:r>
              <w:t xml:space="preserve">+0.20</w:t>
            </w:r>
          </w:p>
        </w:tc>
        <w:tc>
          <w:tcPr/>
          <w:p>
            <w:pPr>
              <w:pStyle w:val="Compact"/>
            </w:pPr>
            <w:r>
              <w:t xml:space="preserve">1.00</w:t>
            </w:r>
          </w:p>
        </w:tc>
        <w:tc>
          <w:tcPr/>
          <w:p>
            <w:pPr>
              <w:pStyle w:val="Compact"/>
            </w:pPr>
            <w:r>
              <w:t xml:space="preserve">−0.29</w:t>
            </w:r>
          </w:p>
        </w:tc>
        <w:tc>
          <w:tcPr/>
          <w:p>
            <w:pPr>
              <w:pStyle w:val="Compact"/>
            </w:pPr>
            <w:r>
              <w:t xml:space="preserve">−0.13</w:t>
            </w:r>
          </w:p>
        </w:tc>
        <w:tc>
          <w:tcPr/>
          <w:p>
            <w:pPr>
              <w:pStyle w:val="Compact"/>
            </w:pPr>
            <w:r>
              <w:t xml:space="preserve">−0.10</w:t>
            </w:r>
          </w:p>
        </w:tc>
        <w:tc>
          <w:tcPr/>
          <w:p>
            <w:pPr>
              <w:pStyle w:val="Compact"/>
            </w:pPr>
            <w:r>
              <w:t xml:space="preserve">+0.02</w:t>
            </w:r>
          </w:p>
        </w:tc>
      </w:tr>
      <w:tr>
        <w:tc>
          <w:tcPr/>
          <w:p>
            <w:pPr>
              <w:pStyle w:val="Compact"/>
            </w:pPr>
            <w:r>
              <w:rPr>
                <w:b/>
                <w:bCs/>
              </w:rPr>
              <w:t xml:space="preserve">Δ desempleo</w:t>
            </w:r>
          </w:p>
        </w:tc>
        <w:tc>
          <w:tcPr/>
          <w:p>
            <w:pPr>
              <w:pStyle w:val="Compact"/>
            </w:pPr>
            <w:r>
              <w:t xml:space="preserve">−0.26</w:t>
            </w:r>
          </w:p>
        </w:tc>
        <w:tc>
          <w:tcPr/>
          <w:p>
            <w:pPr>
              <w:pStyle w:val="Compact"/>
            </w:pPr>
            <w:r>
              <w:t xml:space="preserve">−0.29</w:t>
            </w:r>
          </w:p>
        </w:tc>
        <w:tc>
          <w:tcPr/>
          <w:p>
            <w:pPr>
              <w:pStyle w:val="Compact"/>
            </w:pPr>
            <w:r>
              <w:t xml:space="preserve">1.00</w:t>
            </w:r>
          </w:p>
        </w:tc>
        <w:tc>
          <w:tcPr/>
          <w:p>
            <w:pPr>
              <w:pStyle w:val="Compact"/>
            </w:pPr>
            <w:r>
              <w:t xml:space="preserve">−0.22</w:t>
            </w:r>
          </w:p>
        </w:tc>
        <w:tc>
          <w:tcPr/>
          <w:p>
            <w:pPr>
              <w:pStyle w:val="Compact"/>
            </w:pPr>
            <w:r>
              <w:t xml:space="preserve">−0.18</w:t>
            </w:r>
          </w:p>
        </w:tc>
        <w:tc>
          <w:tcPr/>
          <w:p>
            <w:pPr>
              <w:pStyle w:val="Compact"/>
            </w:pPr>
            <w:r>
              <w:t xml:space="preserve">+0.04</w:t>
            </w:r>
          </w:p>
        </w:tc>
      </w:tr>
      <w:tr>
        <w:tc>
          <w:tcPr/>
          <w:p>
            <w:pPr>
              <w:pStyle w:val="Compact"/>
            </w:pPr>
            <w:r>
              <w:rPr>
                <w:b/>
                <w:bCs/>
              </w:rPr>
              <w:t xml:space="preserve">IPV deptos</w:t>
            </w:r>
          </w:p>
        </w:tc>
        <w:tc>
          <w:tcPr/>
          <w:p>
            <w:pPr>
              <w:pStyle w:val="Compact"/>
            </w:pPr>
            <w:r>
              <w:t xml:space="preserve">+0.06</w:t>
            </w:r>
          </w:p>
        </w:tc>
        <w:tc>
          <w:tcPr/>
          <w:p>
            <w:pPr>
              <w:pStyle w:val="Compact"/>
            </w:pPr>
            <w:r>
              <w:t xml:space="preserve">−0.13</w:t>
            </w:r>
          </w:p>
        </w:tc>
        <w:tc>
          <w:tcPr/>
          <w:p>
            <w:pPr>
              <w:pStyle w:val="Compact"/>
            </w:pPr>
            <w:r>
              <w:t xml:space="preserve">−0.22</w:t>
            </w:r>
          </w:p>
        </w:tc>
        <w:tc>
          <w:tcPr/>
          <w:p>
            <w:pPr>
              <w:pStyle w:val="Compact"/>
            </w:pPr>
            <w:r>
              <w:t xml:space="preserve">1.00</w:t>
            </w:r>
          </w:p>
        </w:tc>
        <w:tc>
          <w:tcPr/>
          <w:p>
            <w:pPr>
              <w:pStyle w:val="Compact"/>
            </w:pPr>
            <w:r>
              <w:t xml:space="preserve">+0.65</w:t>
            </w:r>
          </w:p>
        </w:tc>
        <w:tc>
          <w:tcPr/>
          <w:p>
            <w:pPr>
              <w:pStyle w:val="Compact"/>
            </w:pPr>
            <w:r>
              <w:t xml:space="preserve">+0.10</w:t>
            </w:r>
          </w:p>
        </w:tc>
      </w:tr>
      <w:tr>
        <w:tc>
          <w:tcPr/>
          <w:p>
            <w:pPr>
              <w:pStyle w:val="Compact"/>
            </w:pPr>
            <w:r>
              <w:rPr>
                <w:b/>
                <w:bCs/>
              </w:rPr>
              <w:t xml:space="preserve">IPV casas</w:t>
            </w:r>
          </w:p>
        </w:tc>
        <w:tc>
          <w:tcPr/>
          <w:p>
            <w:pPr>
              <w:pStyle w:val="Compact"/>
            </w:pPr>
            <w:r>
              <w:t xml:space="preserve">+0.08</w:t>
            </w:r>
          </w:p>
        </w:tc>
        <w:tc>
          <w:tcPr/>
          <w:p>
            <w:pPr>
              <w:pStyle w:val="Compact"/>
            </w:pPr>
            <w:r>
              <w:t xml:space="preserve">−0.10</w:t>
            </w:r>
          </w:p>
        </w:tc>
        <w:tc>
          <w:tcPr/>
          <w:p>
            <w:pPr>
              <w:pStyle w:val="Compact"/>
            </w:pPr>
            <w:r>
              <w:t xml:space="preserve">−0.18</w:t>
            </w:r>
          </w:p>
        </w:tc>
        <w:tc>
          <w:tcPr/>
          <w:p>
            <w:pPr>
              <w:pStyle w:val="Compact"/>
            </w:pPr>
            <w:r>
              <w:t xml:space="preserve">+0.65</w:t>
            </w:r>
          </w:p>
        </w:tc>
        <w:tc>
          <w:tcPr/>
          <w:p>
            <w:pPr>
              <w:pStyle w:val="Compact"/>
            </w:pPr>
            <w:r>
              <w:t xml:space="preserve">1.00</w:t>
            </w:r>
          </w:p>
        </w:tc>
        <w:tc>
          <w:tcPr/>
          <w:p>
            <w:pPr>
              <w:pStyle w:val="Compact"/>
            </w:pPr>
            <w:r>
              <w:t xml:space="preserve">+0.12</w:t>
            </w:r>
          </w:p>
        </w:tc>
      </w:tr>
      <w:tr>
        <w:tc>
          <w:tcPr/>
          <w:p>
            <w:pPr>
              <w:pStyle w:val="Compact"/>
            </w:pPr>
            <w:r>
              <w:rPr>
                <w:b/>
                <w:bCs/>
              </w:rPr>
              <w:t xml:space="preserve">ICOI</w:t>
            </w:r>
          </w:p>
        </w:tc>
        <w:tc>
          <w:tcPr/>
          <w:p>
            <w:pPr>
              <w:pStyle w:val="Compact"/>
            </w:pPr>
            <w:r>
              <w:t xml:space="preserve">+0.05</w:t>
            </w:r>
          </w:p>
        </w:tc>
        <w:tc>
          <w:tcPr/>
          <w:p>
            <w:pPr>
              <w:pStyle w:val="Compact"/>
            </w:pPr>
            <w:r>
              <w:t xml:space="preserve">+0.02</w:t>
            </w:r>
          </w:p>
        </w:tc>
        <w:tc>
          <w:tcPr/>
          <w:p>
            <w:pPr>
              <w:pStyle w:val="Compact"/>
            </w:pPr>
            <w:r>
              <w:t xml:space="preserve">+0.04</w:t>
            </w:r>
          </w:p>
        </w:tc>
        <w:tc>
          <w:tcPr/>
          <w:p>
            <w:pPr>
              <w:pStyle w:val="Compact"/>
            </w:pPr>
            <w:r>
              <w:t xml:space="preserve">+0.10</w:t>
            </w:r>
          </w:p>
        </w:tc>
        <w:tc>
          <w:tcPr/>
          <w:p>
            <w:pPr>
              <w:pStyle w:val="Compact"/>
            </w:pPr>
            <w:r>
              <w:t xml:space="preserve">+0.12</w:t>
            </w:r>
          </w:p>
        </w:tc>
        <w:tc>
          <w:tcPr/>
          <w:p>
            <w:pPr>
              <w:pStyle w:val="Compact"/>
            </w:pPr>
            <w:r>
              <w:t xml:space="preserve">1.00</w:t>
            </w:r>
          </w:p>
        </w:tc>
      </w:tr>
    </w:tbl>
    <w:p>
      <w:pPr>
        <w:pStyle w:val="BodyText"/>
      </w:pPr>
      <w:r>
        <w:rPr>
          <w:b/>
          <w:bCs/>
        </w:rPr>
        <w:t xml:space="preserve">Validación de signos</w:t>
      </w:r>
      <w:r>
        <w:t xml:space="preserve"> </w:t>
      </w:r>
      <w:r>
        <w:t xml:space="preserve">— todos económicamente correctos:</w:t>
      </w:r>
    </w:p>
    <w:p>
      <w:pPr>
        <w:pStyle w:val="Compact"/>
        <w:numPr>
          <w:ilvl w:val="0"/>
          <w:numId w:val="1016"/>
        </w:numPr>
      </w:pPr>
      <w:r>
        <w:t xml:space="preserve">IMACEC ↔ desempleo:</w:t>
      </w:r>
      <w:r>
        <w:t xml:space="preserve"> </w:t>
      </w:r>
      <w:r>
        <w:rPr>
          <w:b/>
          <w:bCs/>
        </w:rPr>
        <w:t xml:space="preserve">−0.26</w:t>
      </w:r>
      <w:r>
        <w:t xml:space="preserve"> </w:t>
      </w:r>
      <w:r>
        <w:t xml:space="preserve">✓ (boom = menos desempleo)</w:t>
      </w:r>
    </w:p>
    <w:p>
      <w:pPr>
        <w:pStyle w:val="Compact"/>
        <w:numPr>
          <w:ilvl w:val="0"/>
          <w:numId w:val="1016"/>
        </w:numPr>
      </w:pPr>
      <w:r>
        <w:t xml:space="preserve">IMACEC ↔ tasa_hipo:</w:t>
      </w:r>
      <w:r>
        <w:t xml:space="preserve"> </w:t>
      </w:r>
      <w:r>
        <w:rPr>
          <w:b/>
          <w:bCs/>
        </w:rPr>
        <w:t xml:space="preserve">+0.20</w:t>
      </w:r>
      <w:r>
        <w:t xml:space="preserve"> </w:t>
      </w:r>
      <w:r>
        <w:t xml:space="preserve">✓ (BCCh sube tasas en boom para evitar inflación)</w:t>
      </w:r>
    </w:p>
    <w:p>
      <w:pPr>
        <w:pStyle w:val="Compact"/>
        <w:numPr>
          <w:ilvl w:val="0"/>
          <w:numId w:val="1016"/>
        </w:numPr>
      </w:pPr>
      <w:r>
        <w:t xml:space="preserve">desempleo ↔ tasa_hipo:</w:t>
      </w:r>
      <w:r>
        <w:t xml:space="preserve"> </w:t>
      </w:r>
      <w:r>
        <w:rPr>
          <w:b/>
          <w:bCs/>
        </w:rPr>
        <w:t xml:space="preserve">−0.29</w:t>
      </w:r>
      <w:r>
        <w:t xml:space="preserve"> </w:t>
      </w:r>
      <w:r>
        <w:t xml:space="preserve">✓ (recesión → tasas bajan, desempleo sube)</w:t>
      </w:r>
    </w:p>
    <w:p>
      <w:pPr>
        <w:pStyle w:val="Compact"/>
        <w:numPr>
          <w:ilvl w:val="0"/>
          <w:numId w:val="1016"/>
        </w:numPr>
      </w:pPr>
      <w:r>
        <w:t xml:space="preserve">IPV ↔ desempleo:</w:t>
      </w:r>
      <w:r>
        <w:t xml:space="preserve"> </w:t>
      </w:r>
      <w:r>
        <w:rPr>
          <w:b/>
          <w:bCs/>
        </w:rPr>
        <w:t xml:space="preserve">−0.22</w:t>
      </w:r>
      <w:r>
        <w:t xml:space="preserve"> </w:t>
      </w:r>
      <w:r>
        <w:t xml:space="preserve">✓ (boom inmobiliario coincide con baja desempleo)</w:t>
      </w:r>
    </w:p>
    <w:p>
      <w:pPr>
        <w:pStyle w:val="Compact"/>
        <w:numPr>
          <w:ilvl w:val="0"/>
          <w:numId w:val="1016"/>
        </w:numPr>
      </w:pPr>
      <w:r>
        <w:t xml:space="preserve">IPV deptos ↔ IPV casas:</w:t>
      </w:r>
      <w:r>
        <w:t xml:space="preserve"> </w:t>
      </w:r>
      <w:r>
        <w:rPr>
          <w:b/>
          <w:bCs/>
        </w:rPr>
        <w:t xml:space="preserve">+0.65</w:t>
      </w:r>
      <w:r>
        <w:t xml:space="preserve"> </w:t>
      </w:r>
      <w:r>
        <w:t xml:space="preserve">✓ (mismo mercado, alta covarianza)</w:t>
      </w:r>
    </w:p>
    <w:p>
      <w:pPr>
        <w:pStyle w:val="FirstParagraph"/>
      </w:pPr>
      <w:r>
        <w:rPr>
          <w:b/>
          <w:bCs/>
        </w:rPr>
        <w:t xml:space="preserve">Observación</w:t>
      </w:r>
      <w:r>
        <w:t xml:space="preserve">: la correlación de ICOI con todo lo demás es cercana a cero (+0.05, +0.02, +0.04). Esto es un dato real del mercado chileno: el ICOI fluctúa más por commodities globales (acero, cemento) y tipo de cambio que por la macro local.</w:t>
      </w:r>
    </w:p>
    <w:bookmarkEnd w:id="43"/>
    <w:bookmarkStart w:id="44" w:name="calibración-iman-conover"/>
    <w:p>
      <w:pPr>
        <w:pStyle w:val="Heading2"/>
      </w:pPr>
      <w:r>
        <w:t xml:space="preserve">4.4 Calibración Iman-Conover</w:t>
      </w:r>
    </w:p>
    <w:p>
      <w:pPr>
        <w:pStyle w:val="FirstParagraph"/>
      </w:pPr>
      <w:r>
        <w:t xml:space="preserve">La conversión Spearman → Pearson vía la fórmula del seno es</w:t>
      </w:r>
      <w:r>
        <w:t xml:space="preserve"> </w:t>
      </w:r>
      <w:r>
        <w:rPr>
          <w:b/>
          <w:bCs/>
        </w:rPr>
        <w:t xml:space="preserve">exacta para cópula Gaussiana</w:t>
      </w:r>
      <w:r>
        <w:t xml:space="preserve">. Para cópula t con ν=4, introduce un sesgo de aproximadamente ±5-10% en las correlaciones efectivas. La técnica</w:t>
      </w:r>
      <w:r>
        <w:t xml:space="preserve"> </w:t>
      </w:r>
      <w:r>
        <w:rPr>
          <w:b/>
          <w:bCs/>
        </w:rPr>
        <w:t xml:space="preserve">Iman-Conover</w:t>
      </w:r>
      <w:r>
        <w:t xml:space="preserve"> </w:t>
      </w:r>
      <w:r>
        <w:t xml:space="preserve">(1982) corrige este sesgo iterativamente:</w:t>
      </w:r>
    </w:p>
    <w:p>
      <w:pPr>
        <w:pStyle w:val="SourceCode"/>
      </w:pPr>
      <w:r>
        <w:rPr>
          <w:rStyle w:val="VerbatimChar"/>
        </w:rPr>
        <w:t xml:space="preserve">Algoritmo Iman-Conover:</w:t>
      </w:r>
      <w:r>
        <w:br/>
      </w:r>
      <w:r>
        <w:rPr>
          <w:rStyle w:val="VerbatimChar"/>
        </w:rPr>
        <w:t xml:space="preserve">1. Construir R_p inicial vía fórmula del seno desde Spearman target</w:t>
      </w:r>
      <w:r>
        <w:br/>
      </w:r>
      <w:r>
        <w:rPr>
          <w:rStyle w:val="VerbatimChar"/>
        </w:rPr>
        <w:t xml:space="preserve">2. Repetir hasta convergencia:</w:t>
      </w:r>
      <w:r>
        <w:br/>
      </w:r>
      <w:r>
        <w:rPr>
          <w:rStyle w:val="VerbatimChar"/>
        </w:rPr>
        <w:t xml:space="preserve">   a. Cholesky-decomponer R_p actual → L</w:t>
      </w:r>
      <w:r>
        <w:br/>
      </w:r>
      <w:r>
        <w:rPr>
          <w:rStyle w:val="VerbatimChar"/>
        </w:rPr>
        <w:t xml:space="preserve">   b. Samplear N draws con t-cópula(L, ν=4)</w:t>
      </w:r>
      <w:r>
        <w:br/>
      </w:r>
      <w:r>
        <w:rPr>
          <w:rStyle w:val="VerbatimChar"/>
        </w:rPr>
        <w:t xml:space="preserve">   c. Calcular Spearman observado en los N samples</w:t>
      </w:r>
      <w:r>
        <w:br/>
      </w:r>
      <w:r>
        <w:rPr>
          <w:rStyle w:val="VerbatimChar"/>
        </w:rPr>
        <w:t xml:space="preserve">   d. Actualizar: R_p ← R_p + α · (Spearman_target - Spearman_observado)</w:t>
      </w:r>
      <w:r>
        <w:br/>
      </w:r>
      <w:r>
        <w:rPr>
          <w:rStyle w:val="VerbatimChar"/>
        </w:rPr>
        <w:t xml:space="preserve">3. Devolver R_p calibrada</w:t>
      </w:r>
    </w:p>
    <w:p>
      <w:pPr>
        <w:pStyle w:val="FirstParagraph"/>
      </w:pPr>
      <w:r>
        <w:t xml:space="preserve">En la implementación del modelo: 4 iteraciones, α = 0.85, N = 3000 draws internos.</w:t>
      </w:r>
      <w:r>
        <w:t xml:space="preserve"> </w:t>
      </w:r>
      <w:r>
        <w:rPr>
          <w:b/>
          <w:bCs/>
        </w:rPr>
        <w:t xml:space="preserve">Error máximo de correlación post-calibración</w:t>
      </w:r>
      <w:r>
        <w:t xml:space="preserve">: &lt; 0.06 (vs. ~0.10 sin calibración).</w:t>
      </w:r>
    </w:p>
    <w:bookmarkEnd w:id="44"/>
    <w:bookmarkStart w:id="45" w:name="por-qué-t-cópula-vs.-otras-alternativas"/>
    <w:p>
      <w:pPr>
        <w:pStyle w:val="Heading2"/>
      </w:pPr>
      <w:r>
        <w:t xml:space="preserve">4.5 Por qué t-cópula vs. otras alternativas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Cópula</w:t>
            </w:r>
          </w:p>
        </w:tc>
        <w:tc>
          <w:tcPr/>
          <w:p>
            <w:pPr>
              <w:pStyle w:val="Compact"/>
            </w:pPr>
            <w:r>
              <w:t xml:space="preserve">Decisión</w:t>
            </w:r>
          </w:p>
        </w:tc>
        <w:tc>
          <w:tcPr/>
          <w:p>
            <w:pPr>
              <w:pStyle w:val="Compact"/>
            </w:pPr>
            <w:r>
              <w:t xml:space="preserve">Justificación</w:t>
            </w:r>
          </w:p>
        </w:tc>
      </w:tr>
      <w:tr>
        <w:tc>
          <w:tcPr/>
          <w:p>
            <w:pPr>
              <w:pStyle w:val="Compact"/>
            </w:pPr>
            <w:r>
              <w:rPr>
                <w:b/>
                <w:bCs/>
              </w:rPr>
              <w:t xml:space="preserve">Gaussiana</w:t>
            </w:r>
          </w:p>
        </w:tc>
        <w:tc>
          <w:tcPr/>
          <w:p>
            <w:pPr>
              <w:pStyle w:val="Compact"/>
            </w:pPr>
            <w:r>
              <w:t xml:space="preserve">✗ No</w:t>
            </w:r>
          </w:p>
        </w:tc>
        <w:tc>
          <w:tcPr/>
          <w:p>
            <w:pPr>
              <w:pStyle w:val="Compact"/>
            </w:pPr>
            <w:r>
              <w:t xml:space="preserve">Subestima tail dependence (factor que llevó a la subestimación del riesgo subprime)</w:t>
            </w:r>
          </w:p>
        </w:tc>
      </w:tr>
      <w:tr>
        <w:tc>
          <w:tcPr/>
          <w:p>
            <w:pPr>
              <w:pStyle w:val="Compact"/>
            </w:pPr>
            <w:r>
              <w:rPr>
                <w:b/>
                <w:bCs/>
              </w:rPr>
              <w:t xml:space="preserve">t (ν=4)</w:t>
            </w:r>
          </w:p>
        </w:tc>
        <w:tc>
          <w:tcPr/>
          <w:p>
            <w:pPr>
              <w:pStyle w:val="Compact"/>
            </w:pPr>
            <w:r>
              <w:t xml:space="preserve">✓</w:t>
            </w:r>
            <w:r>
              <w:t xml:space="preserve"> </w:t>
            </w:r>
            <w:r>
              <w:rPr>
                <w:b/>
                <w:bCs/>
              </w:rPr>
              <w:t xml:space="preserve">Elegida</w:t>
            </w:r>
          </w:p>
        </w:tc>
        <w:tc>
          <w:tcPr/>
          <w:p>
            <w:pPr>
              <w:pStyle w:val="Compact"/>
            </w:pPr>
            <w:r>
              <w:t xml:space="preserve">Sweet spot: tail dependence + simplicidad + estándar industria</w:t>
            </w:r>
          </w:p>
        </w:tc>
      </w:tr>
      <w:tr>
        <w:tc>
          <w:tcPr/>
          <w:p>
            <w:pPr>
              <w:pStyle w:val="Compact"/>
            </w:pPr>
            <w:r>
              <w:rPr>
                <w:b/>
                <w:bCs/>
              </w:rPr>
              <w:t xml:space="preserve">Skew-t</w:t>
            </w:r>
          </w:p>
        </w:tc>
        <w:tc>
          <w:tcPr/>
          <w:p>
            <w:pPr>
              <w:pStyle w:val="Compact"/>
            </w:pPr>
            <w:r>
              <w:t xml:space="preserve">✗ No</w:t>
            </w:r>
          </w:p>
        </w:tc>
        <w:tc>
          <w:tcPr/>
          <w:p>
            <w:pPr>
              <w:pStyle w:val="Compact"/>
            </w:pPr>
            <w:r>
              <w:t xml:space="preserve">Aporta marginales asimétricas, pero las marginales empíricas ya capturan asimetría</w:t>
            </w:r>
          </w:p>
        </w:tc>
      </w:tr>
      <w:tr>
        <w:tc>
          <w:tcPr/>
          <w:p>
            <w:pPr>
              <w:pStyle w:val="Compact"/>
            </w:pPr>
            <w:r>
              <w:rPr>
                <w:b/>
                <w:bCs/>
              </w:rPr>
              <w:t xml:space="preserve">Clayton</w:t>
            </w:r>
          </w:p>
        </w:tc>
        <w:tc>
          <w:tcPr/>
          <w:p>
            <w:pPr>
              <w:pStyle w:val="Compact"/>
            </w:pPr>
            <w:r>
              <w:t xml:space="preserve">✗ No</w:t>
            </w:r>
          </w:p>
        </w:tc>
        <w:tc>
          <w:tcPr/>
          <w:p>
            <w:pPr>
              <w:pStyle w:val="Compact"/>
            </w:pPr>
            <w:r>
              <w:t xml:space="preserve">Solo captura tail dependence en cola inferior, no superior</w:t>
            </w:r>
          </w:p>
        </w:tc>
      </w:tr>
      <w:tr>
        <w:tc>
          <w:tcPr/>
          <w:p>
            <w:pPr>
              <w:pStyle w:val="Compact"/>
            </w:pPr>
            <w:r>
              <w:rPr>
                <w:b/>
                <w:bCs/>
              </w:rPr>
              <w:t xml:space="preserve">Gumbel</w:t>
            </w:r>
          </w:p>
        </w:tc>
        <w:tc>
          <w:tcPr/>
          <w:p>
            <w:pPr>
              <w:pStyle w:val="Compact"/>
            </w:pPr>
            <w:r>
              <w:t xml:space="preserve">✗ No</w:t>
            </w:r>
          </w:p>
        </w:tc>
        <w:tc>
          <w:tcPr/>
          <w:p>
            <w:pPr>
              <w:pStyle w:val="Compact"/>
            </w:pPr>
            <w:r>
              <w:t xml:space="preserve">Solo en cola superior</w:t>
            </w:r>
          </w:p>
        </w:tc>
      </w:tr>
      <w:tr>
        <w:tc>
          <w:tcPr/>
          <w:p>
            <w:pPr>
              <w:pStyle w:val="Compact"/>
            </w:pPr>
            <w:r>
              <w:rPr>
                <w:b/>
                <w:bCs/>
              </w:rPr>
              <w:t xml:space="preserve">Frank</w:t>
            </w:r>
          </w:p>
        </w:tc>
        <w:tc>
          <w:tcPr/>
          <w:p>
            <w:pPr>
              <w:pStyle w:val="Compact"/>
            </w:pPr>
            <w:r>
              <w:t xml:space="preserve">✗ No</w:t>
            </w:r>
          </w:p>
        </w:tc>
        <w:tc>
          <w:tcPr/>
          <w:p>
            <w:pPr>
              <w:pStyle w:val="Compact"/>
            </w:pPr>
            <w:r>
              <w:t xml:space="preserve">Sin tail dependence (similar a Gaussiana en colas)</w:t>
            </w:r>
          </w:p>
        </w:tc>
      </w:tr>
      <w:tr>
        <w:tc>
          <w:tcPr/>
          <w:p>
            <w:pPr>
              <w:pStyle w:val="Compact"/>
            </w:pPr>
            <w:r>
              <w:rPr>
                <w:b/>
                <w:bCs/>
              </w:rPr>
              <w:t xml:space="preserve">Vine cópulas (D-vine, C-vine)</w:t>
            </w:r>
          </w:p>
        </w:tc>
        <w:tc>
          <w:tcPr/>
          <w:p>
            <w:pPr>
              <w:pStyle w:val="Compact"/>
            </w:pPr>
            <w:r>
              <w:t xml:space="preserve">✗ No</w:t>
            </w:r>
          </w:p>
        </w:tc>
        <w:tc>
          <w:tcPr/>
          <w:p>
            <w:pPr>
              <w:pStyle w:val="Compact"/>
            </w:pPr>
            <w:r>
              <w:t xml:space="preserve">Máxima flexibilidad pero requiere mucha data + sensible a estructura del vine</w:t>
            </w:r>
          </w:p>
        </w:tc>
      </w:tr>
      <w:tr>
        <w:tc>
          <w:tcPr/>
          <w:p>
            <w:pPr>
              <w:pStyle w:val="Compact"/>
            </w:pPr>
            <w:r>
              <w:rPr>
                <w:b/>
                <w:bCs/>
              </w:rPr>
              <w:t xml:space="preserve">Bootstrap empírico</w:t>
            </w:r>
          </w:p>
        </w:tc>
        <w:tc>
          <w:tcPr/>
          <w:p>
            <w:pPr>
              <w:pStyle w:val="Compact"/>
            </w:pPr>
            <w:r>
              <w:t xml:space="preserve">✗ No</w:t>
            </w:r>
          </w:p>
        </w:tc>
        <w:tc>
          <w:tcPr/>
          <w:p>
            <w:pPr>
              <w:pStyle w:val="Compact"/>
            </w:pPr>
            <w:r>
              <w:t xml:space="preserve">100% no-paramétrico pero solo da escenarios</w:t>
            </w:r>
            <w:r>
              <w:t xml:space="preserve"> </w:t>
            </w:r>
            <w:r>
              <w:t xml:space="preserve">“ya vistos”</w:t>
            </w:r>
            <w:r>
              <w:t xml:space="preserve"> </w:t>
            </w:r>
            <w:r>
              <w:t xml:space="preserve">sin extrapolar</w:t>
            </w:r>
          </w:p>
        </w:tc>
      </w:tr>
    </w:tbl>
    <w:bookmarkEnd w:id="45"/>
    <w:bookmarkStart w:id="46" w:name="cópula-adicional-en-modo-empírico-cidu"/>
    <w:p>
      <w:pPr>
        <w:pStyle w:val="Heading2"/>
      </w:pPr>
      <w:r>
        <w:t xml:space="preserve">4.6 Cópula adicional en modo Empírico CIDU</w:t>
      </w:r>
    </w:p>
    <w:p>
      <w:pPr>
        <w:pStyle w:val="FirstParagraph"/>
      </w:pPr>
      <w:r>
        <w:t xml:space="preserve">El modo Empírico CIDU (no Factor Macro) usa una</w:t>
      </w:r>
      <w:r>
        <w:t xml:space="preserve"> </w:t>
      </w:r>
      <w:r>
        <w:rPr>
          <w:b/>
          <w:bCs/>
        </w:rPr>
        <w:t xml:space="preserve">segunda t-cópula</w:t>
      </w:r>
      <w:r>
        <w:t xml:space="preserve"> </w:t>
      </w:r>
      <w:r>
        <w:t xml:space="preserve">sobre las 5 variables del producto en TINSA: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Fuente</w:t>
            </w:r>
          </w:p>
        </w:tc>
      </w:tr>
      <w:tr>
        <w:tc>
          <w:tcPr/>
          <w:p>
            <w:pPr>
              <w:pStyle w:val="Compact"/>
            </w:pPr>
            <w:r>
              <w:t xml:space="preserve">Precio UF/m²</w:t>
            </w:r>
          </w:p>
        </w:tc>
        <w:tc>
          <w:tcPr/>
          <w:p>
            <w:pPr>
              <w:pStyle w:val="Compact"/>
            </w:pPr>
            <w:r>
              <w:t xml:space="preserve">TINSA</w:t>
            </w:r>
          </w:p>
        </w:tc>
      </w:tr>
      <w:tr>
        <w:tc>
          <w:tcPr/>
          <w:p>
            <w:pPr>
              <w:pStyle w:val="Compact"/>
            </w:pPr>
            <w:r>
              <w:t xml:space="preserve">Velocidad uds/mes</w:t>
            </w:r>
          </w:p>
        </w:tc>
        <w:tc>
          <w:tcPr/>
          <w:p>
            <w:pPr>
              <w:pStyle w:val="Compact"/>
            </w:pPr>
            <w:r>
              <w:t xml:space="preserve">TINSA</w:t>
            </w:r>
          </w:p>
        </w:tc>
      </w:tr>
      <w:tr>
        <w:tc>
          <w:tcPr/>
          <w:p>
            <w:pPr>
              <w:pStyle w:val="Compact"/>
            </w:pPr>
            <w:r>
              <w:t xml:space="preserve">Plazo (lead time INI→FIN)</w:t>
            </w:r>
          </w:p>
        </w:tc>
        <w:tc>
          <w:tcPr/>
          <w:p>
            <w:pPr>
              <w:pStyle w:val="Compact"/>
            </w:pPr>
            <w:r>
              <w:t xml:space="preserve">TINSA</w:t>
            </w:r>
          </w:p>
        </w:tc>
      </w:tr>
      <w:tr>
        <w:tc>
          <w:tcPr/>
          <w:p>
            <w:pPr>
              <w:pStyle w:val="Compact"/>
            </w:pPr>
            <w:r>
              <w:t xml:space="preserve">Descuento %</w:t>
            </w:r>
          </w:p>
        </w:tc>
        <w:tc>
          <w:tcPr/>
          <w:p>
            <w:pPr>
              <w:pStyle w:val="Compact"/>
            </w:pPr>
            <w:r>
              <w:t xml:space="preserve">TINSA</w:t>
            </w:r>
          </w:p>
        </w:tc>
      </w:tr>
      <w:tr>
        <w:tc>
          <w:tcPr/>
          <w:p>
            <w:pPr>
              <w:pStyle w:val="Compact"/>
            </w:pPr>
            <w:r>
              <w:t xml:space="preserve">Superficie promedio</w:t>
            </w:r>
          </w:p>
        </w:tc>
        <w:tc>
          <w:tcPr/>
          <w:p>
            <w:pPr>
              <w:pStyle w:val="Compact"/>
            </w:pPr>
            <w:r>
              <w:t xml:space="preserve">TINSA</w:t>
            </w:r>
          </w:p>
        </w:tc>
      </w:tr>
    </w:tbl>
    <w:p>
      <w:pPr>
        <w:pStyle w:val="BodyText"/>
      </w:pPr>
      <w:r>
        <w:rPr>
          <w:b/>
          <w:bCs/>
        </w:rPr>
        <w:t xml:space="preserve">Calibración</w:t>
      </w:r>
      <w:r>
        <w:t xml:space="preserve">: Iman-Conover sobre 124.531 obs. Permite samplear conjuntamente las 5 variables preservando correlaciones empíricas:</w:t>
      </w:r>
    </w:p>
    <w:p>
      <w:pPr>
        <w:pStyle w:val="Compact"/>
        <w:numPr>
          <w:ilvl w:val="0"/>
          <w:numId w:val="1017"/>
        </w:numPr>
      </w:pPr>
      <w:r>
        <w:t xml:space="preserve">Precio ↔ Velocidad:</w:t>
      </w:r>
      <w:r>
        <w:t xml:space="preserve"> </w:t>
      </w:r>
      <w:r>
        <w:rPr>
          <w:b/>
          <w:bCs/>
        </w:rPr>
        <w:t xml:space="preserve">−0.38</w:t>
      </w:r>
      <w:r>
        <w:t xml:space="preserve"> </w:t>
      </w:r>
      <w:r>
        <w:t xml:space="preserve">(más caro = vende más lento)</w:t>
      </w:r>
    </w:p>
    <w:p>
      <w:pPr>
        <w:pStyle w:val="Compact"/>
        <w:numPr>
          <w:ilvl w:val="0"/>
          <w:numId w:val="1017"/>
        </w:numPr>
      </w:pPr>
      <w:r>
        <w:t xml:space="preserve">Precio ↔ Tamaño:</w:t>
      </w:r>
      <w:r>
        <w:t xml:space="preserve"> </w:t>
      </w:r>
      <w:r>
        <w:rPr>
          <w:b/>
          <w:bCs/>
        </w:rPr>
        <w:t xml:space="preserve">+0.55</w:t>
      </w:r>
      <w:r>
        <w:t xml:space="preserve"> </w:t>
      </w:r>
      <w:r>
        <w:t xml:space="preserve">en casas (productos más grandes son más caros)</w:t>
      </w:r>
    </w:p>
    <w:p>
      <w:pPr>
        <w:pStyle w:val="Compact"/>
        <w:numPr>
          <w:ilvl w:val="0"/>
          <w:numId w:val="1017"/>
        </w:numPr>
      </w:pPr>
      <w:r>
        <w:t xml:space="preserve">Velocidad ↔ Plazo:</w:t>
      </w:r>
      <w:r>
        <w:t xml:space="preserve"> </w:t>
      </w:r>
      <w:r>
        <w:rPr>
          <w:b/>
          <w:bCs/>
        </w:rPr>
        <w:t xml:space="preserve">−0.21</w:t>
      </w:r>
      <w:r>
        <w:t xml:space="preserve"> </w:t>
      </w:r>
      <w:r>
        <w:t xml:space="preserve">(proyectos rápidos tienen plazos cortos)</w:t>
      </w:r>
    </w:p>
    <w:bookmarkEnd w:id="46"/>
    <w:bookmarkEnd w:id="47"/>
    <w:bookmarkStart w:id="53" w:name="validación-empírica-del-modelo"/>
    <w:p>
      <w:pPr>
        <w:pStyle w:val="Heading1"/>
      </w:pPr>
      <w:r>
        <w:t xml:space="preserve">5. Validación empírica del modelo</w:t>
      </w:r>
    </w:p>
    <w:bookmarkStart w:id="48" w:name="test-de-respuesta-a-presets-históricos"/>
    <w:p>
      <w:pPr>
        <w:pStyle w:val="Heading2"/>
      </w:pPr>
      <w:r>
        <w:t xml:space="preserve">5.1 Test de respuesta a presets históricos</w:t>
      </w:r>
    </w:p>
    <w:p>
      <w:pPr>
        <w:pStyle w:val="FirstParagraph"/>
      </w:pPr>
      <w:r>
        <w:t xml:space="preserve">Para verificar que el factor model produce distribuciones distintas para distintos escenarios macro, se ejecutó un test integrado con 3.000 iteraciones por preset, familia Edificio 4-6 pisos, baseline incidencia 14.0%: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Preset</w:t>
            </w:r>
          </w:p>
        </w:tc>
        <w:tc>
          <w:tcPr/>
          <w:p>
            <w:pPr>
              <w:pStyle w:val="Compact"/>
            </w:pPr>
            <w:r>
              <w:t xml:space="preserve">Incidencia mean</w:t>
            </w:r>
          </w:p>
        </w:tc>
        <w:tc>
          <w:tcPr/>
          <w:p>
            <w:pPr>
              <w:pStyle w:val="Compact"/>
            </w:pPr>
            <w:r>
              <w:t xml:space="preserve">Δ vs base</w:t>
            </w:r>
          </w:p>
        </w:tc>
        <w:tc>
          <w:tcPr/>
          <w:p>
            <w:pPr>
              <w:pStyle w:val="Compact"/>
            </w:pPr>
            <w:r>
              <w:t xml:space="preserve">Interpretación económica</w:t>
            </w:r>
          </w:p>
        </w:tc>
      </w:tr>
      <w:tr>
        <w:tc>
          <w:tcPr/>
          <w:p>
            <w:pPr>
              <w:pStyle w:val="Compact"/>
            </w:pPr>
            <w:r>
              <w:t xml:space="preserve">base_esperado</w:t>
            </w:r>
          </w:p>
        </w:tc>
        <w:tc>
          <w:tcPr/>
          <w:p>
            <w:pPr>
              <w:pStyle w:val="Compact"/>
            </w:pPr>
            <w:r>
              <w:t xml:space="preserve">15.07%</w:t>
            </w:r>
          </w:p>
        </w:tc>
        <w:tc>
          <w:tcPr/>
          <w:p>
            <w:pPr>
              <w:pStyle w:val="Compact"/>
            </w:pPr>
            <w:r>
              <w:t xml:space="preserve">–</w:t>
            </w:r>
          </w:p>
        </w:tc>
        <w:tc>
          <w:tcPr/>
          <w:p>
            <w:pPr>
              <w:pStyle w:val="Compact"/>
            </w:pPr>
            <w:r>
              <w:t xml:space="preserve">Centro empírico 2010-2024</w:t>
            </w:r>
          </w:p>
        </w:tc>
      </w:tr>
      <w:tr>
        <w:tc>
          <w:tcPr/>
          <w:p>
            <w:pPr>
              <w:pStyle w:val="Compact"/>
            </w:pPr>
            <w:r>
              <w:t xml:space="preserve">subprime_2009</w:t>
            </w:r>
          </w:p>
        </w:tc>
        <w:tc>
          <w:tcPr/>
          <w:p>
            <w:pPr>
              <w:pStyle w:val="Compact"/>
            </w:pPr>
            <w:r>
              <w:t xml:space="preserve">13.58%</w:t>
            </w:r>
          </w:p>
        </w:tc>
        <w:tc>
          <w:tcPr/>
          <w:p>
            <w:pPr>
              <w:pStyle w:val="Compact"/>
            </w:pPr>
            <w:r>
              <w:t xml:space="preserve">−1.49 pp</w:t>
            </w:r>
          </w:p>
        </w:tc>
        <w:tc>
          <w:tcPr/>
          <w:p>
            <w:pPr>
              <w:pStyle w:val="Compact"/>
            </w:pPr>
            <w:r>
              <w:t xml:space="preserve">Crisis suave (Chile aguantó bien 2009)</w:t>
            </w:r>
          </w:p>
        </w:tc>
      </w:tr>
      <w:tr>
        <w:tc>
          <w:tcPr/>
          <w:p>
            <w:pPr>
              <w:pStyle w:val="Compact"/>
            </w:pPr>
            <w:r>
              <w:rPr>
                <w:b/>
                <w:bCs/>
              </w:rPr>
              <w:t xml:space="preserve">estallido_covid_2019_2020</w:t>
            </w:r>
          </w:p>
        </w:tc>
        <w:tc>
          <w:tcPr/>
          <w:p>
            <w:pPr>
              <w:pStyle w:val="Compact"/>
            </w:pPr>
            <w:r>
              <w:rPr>
                <w:b/>
                <w:bCs/>
              </w:rPr>
              <w:t xml:space="preserve">13.02%</w:t>
            </w:r>
          </w:p>
        </w:tc>
        <w:tc>
          <w:tcPr/>
          <w:p>
            <w:pPr>
              <w:pStyle w:val="Compact"/>
            </w:pPr>
            <w:r>
              <w:rPr>
                <w:b/>
                <w:bCs/>
              </w:rPr>
              <w:t xml:space="preserve">−2.05 pp</w:t>
            </w:r>
          </w:p>
        </w:tc>
        <w:tc>
          <w:tcPr/>
          <w:p>
            <w:pPr>
              <w:pStyle w:val="Compact"/>
            </w:pPr>
            <w:r>
              <w:rPr>
                <w:b/>
                <w:bCs/>
              </w:rPr>
              <w:t xml:space="preserve">Crisis con costos altos: margen comprime</w:t>
            </w:r>
          </w:p>
        </w:tc>
      </w:tr>
      <w:tr>
        <w:tc>
          <w:tcPr/>
          <w:p>
            <w:pPr>
              <w:pStyle w:val="Compact"/>
            </w:pPr>
            <w:r>
              <w:t xml:space="preserve">boom_post_covid_2021</w:t>
            </w:r>
          </w:p>
        </w:tc>
        <w:tc>
          <w:tcPr/>
          <w:p>
            <w:pPr>
              <w:pStyle w:val="Compact"/>
            </w:pPr>
            <w:r>
              <w:t xml:space="preserve">14.71%</w:t>
            </w:r>
          </w:p>
        </w:tc>
        <w:tc>
          <w:tcPr/>
          <w:p>
            <w:pPr>
              <w:pStyle w:val="Compact"/>
            </w:pPr>
            <w:r>
              <w:t xml:space="preserve">−0.36 pp</w:t>
            </w:r>
          </w:p>
        </w:tc>
        <w:tc>
          <w:tcPr/>
          <w:p>
            <w:pPr>
              <w:pStyle w:val="Compact"/>
            </w:pPr>
            <w:r>
              <w:t xml:space="preserve">Boom pero con poco impacto en costos</w:t>
            </w:r>
          </w:p>
        </w:tc>
      </w:tr>
      <w:tr>
        <w:tc>
          <w:tcPr/>
          <w:p>
            <w:pPr>
              <w:pStyle w:val="Compact"/>
            </w:pPr>
            <w:r>
              <w:rPr>
                <w:b/>
                <w:bCs/>
              </w:rPr>
              <w:t xml:space="preserve">slowdown_2023</w:t>
            </w:r>
          </w:p>
        </w:tc>
        <w:tc>
          <w:tcPr/>
          <w:p>
            <w:pPr>
              <w:pStyle w:val="Compact"/>
            </w:pPr>
            <w:r>
              <w:rPr>
                <w:b/>
                <w:bCs/>
              </w:rPr>
              <w:t xml:space="preserve">22.45%</w:t>
            </w:r>
          </w:p>
        </w:tc>
        <w:tc>
          <w:tcPr/>
          <w:p>
            <w:pPr>
              <w:pStyle w:val="Compact"/>
            </w:pPr>
            <w:r>
              <w:rPr>
                <w:b/>
                <w:bCs/>
              </w:rPr>
              <w:t xml:space="preserve">+7.38 pp</w:t>
            </w:r>
          </w:p>
        </w:tc>
        <w:tc>
          <w:tcPr/>
          <w:p>
            <w:pPr>
              <w:pStyle w:val="Compact"/>
            </w:pPr>
            <w:r>
              <w:rPr>
                <w:b/>
                <w:bCs/>
              </w:rPr>
              <w:t xml:space="preserve">ICOI cayó −16%: gran alivio de costos → mejor margen</w:t>
            </w:r>
          </w:p>
        </w:tc>
      </w:tr>
    </w:tbl>
    <w:p>
      <w:pPr>
        <w:pStyle w:val="BodyText"/>
      </w:pPr>
      <w:r>
        <w:rPr>
          <w:b/>
          <w:bCs/>
        </w:rPr>
        <w:t xml:space="preserve">Validación de signo económico</w:t>
      </w:r>
      <w:r>
        <w:t xml:space="preserve">:</w:t>
      </w:r>
    </w:p>
    <w:p>
      <w:pPr>
        <w:pStyle w:val="Compact"/>
        <w:numPr>
          <w:ilvl w:val="0"/>
          <w:numId w:val="1018"/>
        </w:numPr>
      </w:pPr>
      <w:r>
        <w:t xml:space="preserve">Crisis con shock de costo (+5.7% ICOI en COVID) → margen comprime → incidencia cae</w:t>
      </w:r>
      <w:r>
        <w:t xml:space="preserve"> </w:t>
      </w:r>
      <w:r>
        <w:rPr>
          <w:b/>
          <w:bCs/>
        </w:rPr>
        <w:t xml:space="preserve">−2 pp</w:t>
      </w:r>
      <w:r>
        <w:t xml:space="preserve"> </w:t>
      </w:r>
      <w:r>
        <w:t xml:space="preserve">→ land value cae ~14%.</w:t>
      </w:r>
    </w:p>
    <w:p>
      <w:pPr>
        <w:pStyle w:val="Compact"/>
        <w:numPr>
          <w:ilvl w:val="0"/>
          <w:numId w:val="1018"/>
        </w:numPr>
      </w:pPr>
      <w:r>
        <w:t xml:space="preserve">Slowdown con caída de costos (−16% ICOI en 2023) → margen alivia → incidencia sube</w:t>
      </w:r>
      <w:r>
        <w:t xml:space="preserve"> </w:t>
      </w:r>
      <w:r>
        <w:rPr>
          <w:b/>
          <w:bCs/>
        </w:rPr>
        <w:t xml:space="preserve">+7 pp</w:t>
      </w:r>
      <w:r>
        <w:t xml:space="preserve"> </w:t>
      </w:r>
      <w:r>
        <w:t xml:space="preserve">→ land value sube ~50%.</w:t>
      </w:r>
    </w:p>
    <w:p>
      <w:pPr>
        <w:pStyle w:val="FirstParagraph"/>
      </w:pPr>
      <w:r>
        <w:t xml:space="preserve">Ambos comportamientos son</w:t>
      </w:r>
      <w:r>
        <w:t xml:space="preserve"> </w:t>
      </w:r>
      <w:r>
        <w:rPr>
          <w:b/>
          <w:bCs/>
        </w:rPr>
        <w:t xml:space="preserve">económicamente correctos y robustos</w:t>
      </w:r>
      <w:r>
        <w:t xml:space="preserve">.</w:t>
      </w:r>
    </w:p>
    <w:bookmarkEnd w:id="48"/>
    <w:bookmarkStart w:id="50" w:name="test-de-marginales-empíricas"/>
    <w:p>
      <w:pPr>
        <w:pStyle w:val="Heading2"/>
      </w:pPr>
      <w:r>
        <w:t xml:space="preserve">5.2 Test de marginales empíricas</w:t>
      </w:r>
    </w:p>
    <w:p>
      <w:pPr>
        <w:pStyle w:val="FirstParagraph"/>
      </w:pPr>
      <w:r>
        <w:t xml:space="preserve">Validación de que las marginales sampleadas reproducen las observadas en TINSA (por familia, 5.000 draws):</w:t>
      </w:r>
    </w:p>
    <w:bookmarkStart w:id="49" w:name="edificio-4-6-pisos-n15.633-obs"/>
    <w:p>
      <w:pPr>
        <w:pStyle w:val="Heading3"/>
      </w:pPr>
      <w:r>
        <w:t xml:space="preserve">Edificio 4-6 pisos (n=15.633 obs)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Sampleado (mean / p10 / p50 / p90)</w:t>
            </w:r>
          </w:p>
        </w:tc>
        <w:tc>
          <w:tcPr/>
          <w:p>
            <w:pPr>
              <w:pStyle w:val="Compact"/>
            </w:pPr>
            <w:r>
              <w:t xml:space="preserve">Empírico TINSA</w:t>
            </w:r>
          </w:p>
        </w:tc>
        <w:tc>
          <w:tcPr/>
          <w:p>
            <w:pPr>
              <w:pStyle w:val="Compact"/>
            </w:pPr>
            <w:r>
              <w:t xml:space="preserve">Δ mean</w:t>
            </w:r>
          </w:p>
        </w:tc>
      </w:tr>
      <w:tr>
        <w:tc>
          <w:tcPr/>
          <w:p>
            <w:pPr>
              <w:pStyle w:val="Compact"/>
            </w:pPr>
            <w:r>
              <w:t xml:space="preserve">precio_uf_m2</w:t>
            </w:r>
          </w:p>
        </w:tc>
        <w:tc>
          <w:tcPr/>
          <w:p>
            <w:pPr>
              <w:pStyle w:val="Compact"/>
            </w:pPr>
            <w:r>
              <w:t xml:space="preserve">72.20 / 38.5 / 73.3 / 105.0</w:t>
            </w:r>
          </w:p>
        </w:tc>
        <w:tc>
          <w:tcPr/>
          <w:p>
            <w:pPr>
              <w:pStyle w:val="Compact"/>
            </w:pPr>
            <w:r>
              <w:t xml:space="preserve">72.26 / 37.0 / 72.9 / 105.0</w:t>
            </w:r>
          </w:p>
        </w:tc>
        <w:tc>
          <w:tcPr/>
          <w:p>
            <w:pPr>
              <w:pStyle w:val="Compact"/>
            </w:pPr>
            <w:r>
              <w:t xml:space="preserve">−0.1%</w:t>
            </w:r>
          </w:p>
        </w:tc>
      </w:tr>
      <w:tr>
        <w:tc>
          <w:tcPr/>
          <w:p>
            <w:pPr>
              <w:pStyle w:val="Compact"/>
            </w:pPr>
            <w:r>
              <w:t xml:space="preserve">velocidad_uds_mes</w:t>
            </w:r>
          </w:p>
        </w:tc>
        <w:tc>
          <w:tcPr/>
          <w:p>
            <w:pPr>
              <w:pStyle w:val="Compact"/>
            </w:pPr>
            <w:r>
              <w:t xml:space="preserve">0.82 / 0.30 / 0.40 / 1.70</w:t>
            </w:r>
          </w:p>
        </w:tc>
        <w:tc>
          <w:tcPr/>
          <w:p>
            <w:pPr>
              <w:pStyle w:val="Compact"/>
            </w:pPr>
            <w:r>
              <w:t xml:space="preserve">0.82 / 0.30 / 0.40 / 1.70</w:t>
            </w:r>
          </w:p>
        </w:tc>
        <w:tc>
          <w:tcPr/>
          <w:p>
            <w:pPr>
              <w:pStyle w:val="Compact"/>
            </w:pPr>
            <w:r>
              <w:t xml:space="preserve">−0.9%</w:t>
            </w:r>
          </w:p>
        </w:tc>
      </w:tr>
      <w:tr>
        <w:tc>
          <w:tcPr/>
          <w:p>
            <w:pPr>
              <w:pStyle w:val="Compact"/>
            </w:pPr>
            <w:r>
              <w:t xml:space="preserve">plazo_construccion_meses</w:t>
            </w:r>
          </w:p>
        </w:tc>
        <w:tc>
          <w:tcPr/>
          <w:p>
            <w:pPr>
              <w:pStyle w:val="Compact"/>
            </w:pPr>
            <w:r>
              <w:t xml:space="preserve">24.96 / 12.5 / 24.3 / 38.5</w:t>
            </w:r>
          </w:p>
        </w:tc>
        <w:tc>
          <w:tcPr/>
          <w:p>
            <w:pPr>
              <w:pStyle w:val="Compact"/>
            </w:pPr>
            <w:r>
              <w:t xml:space="preserve">24.76 / 12.5 / 23.8 / 38.5</w:t>
            </w:r>
          </w:p>
        </w:tc>
        <w:tc>
          <w:tcPr/>
          <w:p>
            <w:pPr>
              <w:pStyle w:val="Compact"/>
            </w:pPr>
            <w:r>
              <w:t xml:space="preserve">+0.8%</w:t>
            </w:r>
          </w:p>
        </w:tc>
      </w:tr>
      <w:tr>
        <w:tc>
          <w:tcPr/>
          <w:p>
            <w:pPr>
              <w:pStyle w:val="Compact"/>
            </w:pPr>
            <w:r>
              <w:t xml:space="preserve">descuento_pct</w:t>
            </w:r>
          </w:p>
        </w:tc>
        <w:tc>
          <w:tcPr/>
          <w:p>
            <w:pPr>
              <w:pStyle w:val="Compact"/>
            </w:pPr>
            <w:r>
              <w:t xml:space="preserve">0.02 / 0.0 / 0.0 / 0.08</w:t>
            </w:r>
          </w:p>
        </w:tc>
        <w:tc>
          <w:tcPr/>
          <w:p>
            <w:pPr>
              <w:pStyle w:val="Compact"/>
            </w:pPr>
            <w:r>
              <w:t xml:space="preserve">0.02 / 0.0 / 0.0 / 0.08</w:t>
            </w:r>
          </w:p>
        </w:tc>
        <w:tc>
          <w:tcPr/>
          <w:p>
            <w:pPr>
              <w:pStyle w:val="Compact"/>
            </w:pPr>
            <w:r>
              <w:t xml:space="preserve">−4.7%</w:t>
            </w:r>
          </w:p>
        </w:tc>
      </w:tr>
      <w:tr>
        <w:tc>
          <w:tcPr/>
          <w:p>
            <w:pPr>
              <w:pStyle w:val="Compact"/>
            </w:pPr>
            <w:r>
              <w:t xml:space="preserve">sup_promedio_m2</w:t>
            </w:r>
          </w:p>
        </w:tc>
        <w:tc>
          <w:tcPr/>
          <w:p>
            <w:pPr>
              <w:pStyle w:val="Compact"/>
            </w:pPr>
            <w:r>
              <w:t xml:space="preserve">105.4 / 47.9 / 80.5 / 187.6</w:t>
            </w:r>
          </w:p>
        </w:tc>
        <w:tc>
          <w:tcPr/>
          <w:p>
            <w:pPr>
              <w:pStyle w:val="Compact"/>
            </w:pPr>
            <w:r>
              <w:t xml:space="preserve">104.7 / 47.9 / 80.1 / 187.6</w:t>
            </w:r>
          </w:p>
        </w:tc>
        <w:tc>
          <w:tcPr/>
          <w:p>
            <w:pPr>
              <w:pStyle w:val="Compact"/>
            </w:pPr>
            <w:r>
              <w:t xml:space="preserve">+0.7%</w:t>
            </w:r>
          </w:p>
        </w:tc>
      </w:tr>
    </w:tbl>
    <w:p>
      <w:pPr>
        <w:pStyle w:val="BodyText"/>
      </w:pPr>
      <w:r>
        <w:t xml:space="preserve">Diferencias &lt; 1.5% en mean para todas las variables principales. La cópula reproduce fielmente las marginales empíricas.</w:t>
      </w:r>
    </w:p>
    <w:bookmarkEnd w:id="49"/>
    <w:bookmarkEnd w:id="50"/>
    <w:bookmarkStart w:id="51" w:name="X2f7baa5bda7b0a461abbce450aedb163605669d"/>
    <w:p>
      <w:pPr>
        <w:pStyle w:val="Heading2"/>
      </w:pPr>
      <w:r>
        <w:t xml:space="preserve">5.3 Test de correlaciones sampleadas vs. empíricas</w:t>
      </w:r>
    </w:p>
    <w:p>
      <w:pPr>
        <w:pStyle w:val="FirstParagraph"/>
      </w:pPr>
      <w:r>
        <w:t xml:space="preserve">Validación de que la cópula reproduce las correlaciones Spearman target (5.000 draws Edif 4-6p):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 de variables</w:t>
            </w:r>
          </w:p>
        </w:tc>
        <w:tc>
          <w:tcPr/>
          <w:p>
            <w:pPr>
              <w:pStyle w:val="Compact"/>
            </w:pPr>
            <w:r>
              <w:t xml:space="preserve">Empírica</w:t>
            </w:r>
          </w:p>
        </w:tc>
        <w:tc>
          <w:tcPr/>
          <w:p>
            <w:pPr>
              <w:pStyle w:val="Compact"/>
            </w:pPr>
            <w:r>
              <w:t xml:space="preserve">Sampleada</w:t>
            </w:r>
          </w:p>
        </w:tc>
        <w:tc>
          <w:tcPr/>
          <w:p>
            <w:pPr>
              <w:pStyle w:val="Compact"/>
            </w:pPr>
            <w:r>
              <w:t xml:space="preserve">Δ</w:t>
            </w:r>
          </w:p>
        </w:tc>
      </w:tr>
      <w:tr>
        <w:tc>
          <w:tcPr/>
          <w:p>
            <w:pPr>
              <w:pStyle w:val="Compact"/>
            </w:pPr>
            <w:r>
              <w:t xml:space="preserve">precio × velocidad</w:t>
            </w:r>
          </w:p>
        </w:tc>
        <w:tc>
          <w:tcPr/>
          <w:p>
            <w:pPr>
              <w:pStyle w:val="Compact"/>
            </w:pPr>
            <w:r>
              <w:t xml:space="preserve">−0.375</w:t>
            </w:r>
          </w:p>
        </w:tc>
        <w:tc>
          <w:tcPr/>
          <w:p>
            <w:pPr>
              <w:pStyle w:val="Compact"/>
            </w:pPr>
            <w:r>
              <w:t xml:space="preserve">−0.317</w:t>
            </w:r>
          </w:p>
        </w:tc>
        <w:tc>
          <w:tcPr/>
          <w:p>
            <w:pPr>
              <w:pStyle w:val="Compact"/>
            </w:pPr>
            <w:r>
              <w:t xml:space="preserve">+0.058</w:t>
            </w:r>
          </w:p>
        </w:tc>
      </w:tr>
      <w:tr>
        <w:tc>
          <w:tcPr/>
          <w:p>
            <w:pPr>
              <w:pStyle w:val="Compact"/>
            </w:pPr>
            <w:r>
              <w:t xml:space="preserve">precio × plazo</w:t>
            </w:r>
          </w:p>
        </w:tc>
        <w:tc>
          <w:tcPr/>
          <w:p>
            <w:pPr>
              <w:pStyle w:val="Compact"/>
            </w:pPr>
            <w:r>
              <w:t xml:space="preserve">+0.282</w:t>
            </w:r>
          </w:p>
        </w:tc>
        <w:tc>
          <w:tcPr/>
          <w:p>
            <w:pPr>
              <w:pStyle w:val="Compact"/>
            </w:pPr>
            <w:r>
              <w:t xml:space="preserve">+0.296</w:t>
            </w:r>
          </w:p>
        </w:tc>
        <w:tc>
          <w:tcPr/>
          <w:p>
            <w:pPr>
              <w:pStyle w:val="Compact"/>
            </w:pPr>
            <w:r>
              <w:t xml:space="preserve">+0.014</w:t>
            </w:r>
          </w:p>
        </w:tc>
      </w:tr>
      <w:tr>
        <w:tc>
          <w:tcPr/>
          <w:p>
            <w:pPr>
              <w:pStyle w:val="Compact"/>
            </w:pPr>
            <w:r>
              <w:t xml:space="preserve">precio × descuento</w:t>
            </w:r>
          </w:p>
        </w:tc>
        <w:tc>
          <w:tcPr/>
          <w:p>
            <w:pPr>
              <w:pStyle w:val="Compact"/>
            </w:pPr>
            <w:r>
              <w:t xml:space="preserve">−0.003</w:t>
            </w:r>
          </w:p>
        </w:tc>
        <w:tc>
          <w:tcPr/>
          <w:p>
            <w:pPr>
              <w:pStyle w:val="Compact"/>
            </w:pPr>
            <w:r>
              <w:t xml:space="preserve">+0.000</w:t>
            </w:r>
          </w:p>
        </w:tc>
        <w:tc>
          <w:tcPr/>
          <w:p>
            <w:pPr>
              <w:pStyle w:val="Compact"/>
            </w:pPr>
            <w:r>
              <w:t xml:space="preserve">+0.003</w:t>
            </w:r>
          </w:p>
        </w:tc>
      </w:tr>
      <w:tr>
        <w:tc>
          <w:tcPr/>
          <w:p>
            <w:pPr>
              <w:pStyle w:val="Compact"/>
            </w:pPr>
            <w:r>
              <w:t xml:space="preserve">precio × tamaño</w:t>
            </w:r>
          </w:p>
        </w:tc>
        <w:tc>
          <w:tcPr/>
          <w:p>
            <w:pPr>
              <w:pStyle w:val="Compact"/>
            </w:pPr>
            <w:r>
              <w:t xml:space="preserve">+0.383</w:t>
            </w:r>
          </w:p>
        </w:tc>
        <w:tc>
          <w:tcPr/>
          <w:p>
            <w:pPr>
              <w:pStyle w:val="Compact"/>
            </w:pPr>
            <w:r>
              <w:t xml:space="preserve">+0.420</w:t>
            </w:r>
          </w:p>
        </w:tc>
        <w:tc>
          <w:tcPr/>
          <w:p>
            <w:pPr>
              <w:pStyle w:val="Compact"/>
            </w:pPr>
            <w:r>
              <w:t xml:space="preserve">+0.037</w:t>
            </w:r>
          </w:p>
        </w:tc>
      </w:tr>
      <w:tr>
        <w:tc>
          <w:tcPr/>
          <w:p>
            <w:pPr>
              <w:pStyle w:val="Compact"/>
            </w:pPr>
            <w:r>
              <w:t xml:space="preserve">velocidad × plazo</w:t>
            </w:r>
          </w:p>
        </w:tc>
        <w:tc>
          <w:tcPr/>
          <w:p>
            <w:pPr>
              <w:pStyle w:val="Compact"/>
            </w:pPr>
            <w:r>
              <w:t xml:space="preserve">−0.211</w:t>
            </w:r>
          </w:p>
        </w:tc>
        <w:tc>
          <w:tcPr/>
          <w:p>
            <w:pPr>
              <w:pStyle w:val="Compact"/>
            </w:pPr>
            <w:r>
              <w:t xml:space="preserve">−0.200</w:t>
            </w:r>
          </w:p>
        </w:tc>
        <w:tc>
          <w:tcPr/>
          <w:p>
            <w:pPr>
              <w:pStyle w:val="Compact"/>
            </w:pPr>
            <w:r>
              <w:t xml:space="preserve">+0.011</w:t>
            </w:r>
          </w:p>
        </w:tc>
      </w:tr>
      <w:tr>
        <w:tc>
          <w:tcPr/>
          <w:p>
            <w:pPr>
              <w:pStyle w:val="Compact"/>
            </w:pPr>
            <w:r>
              <w:t xml:space="preserve">velocidad × tamaño</w:t>
            </w:r>
          </w:p>
        </w:tc>
        <w:tc>
          <w:tcPr/>
          <w:p>
            <w:pPr>
              <w:pStyle w:val="Compact"/>
            </w:pPr>
            <w:r>
              <w:t xml:space="preserve">−0.285</w:t>
            </w:r>
          </w:p>
        </w:tc>
        <w:tc>
          <w:tcPr/>
          <w:p>
            <w:pPr>
              <w:pStyle w:val="Compact"/>
            </w:pPr>
            <w:r>
              <w:t xml:space="preserve">−0.246</w:t>
            </w:r>
          </w:p>
        </w:tc>
        <w:tc>
          <w:tcPr/>
          <w:p>
            <w:pPr>
              <w:pStyle w:val="Compact"/>
            </w:pPr>
            <w:r>
              <w:t xml:space="preserve">+0.039</w:t>
            </w:r>
          </w:p>
        </w:tc>
      </w:tr>
      <w:tr>
        <w:tc>
          <w:tcPr/>
          <w:p>
            <w:pPr>
              <w:pStyle w:val="Compact"/>
            </w:pPr>
            <w:r>
              <w:t xml:space="preserve">plazo × tamaño</w:t>
            </w:r>
          </w:p>
        </w:tc>
        <w:tc>
          <w:tcPr/>
          <w:p>
            <w:pPr>
              <w:pStyle w:val="Compact"/>
            </w:pPr>
            <w:r>
              <w:t xml:space="preserve">+0.114</w:t>
            </w:r>
          </w:p>
        </w:tc>
        <w:tc>
          <w:tcPr/>
          <w:p>
            <w:pPr>
              <w:pStyle w:val="Compact"/>
            </w:pPr>
            <w:r>
              <w:t xml:space="preserve">+0.130</w:t>
            </w:r>
          </w:p>
        </w:tc>
        <w:tc>
          <w:tcPr/>
          <w:p>
            <w:pPr>
              <w:pStyle w:val="Compact"/>
            </w:pPr>
            <w:r>
              <w:t xml:space="preserve">+0.016</w:t>
            </w:r>
          </w:p>
        </w:tc>
      </w:tr>
    </w:tbl>
    <w:p>
      <w:pPr>
        <w:pStyle w:val="BodyText"/>
      </w:pPr>
      <w:r>
        <w:rPr>
          <w:b/>
          <w:bCs/>
        </w:rPr>
        <w:t xml:space="preserve">Error máximo: 0.058</w:t>
      </w:r>
      <w:r>
        <w:t xml:space="preserve">. La calibración Iman-Conover redujo el error desde ~0.10 (sin calibración) a &lt; 0.06 — aceptable para análisis de sensibilidad.</w:t>
      </w:r>
    </w:p>
    <w:bookmarkEnd w:id="51"/>
    <w:bookmarkStart w:id="52" w:name="Xc0766dbd855c1b2515b4f5a24e57103a56cd8f3"/>
    <w:p>
      <w:pPr>
        <w:pStyle w:val="Heading2"/>
      </w:pPr>
      <w:r>
        <w:t xml:space="preserve">5.4 Tornado de sensibilidades (modo Factor Macro, edif_4p, preset 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Coeficiente Spearman con VAN</w:t>
            </w:r>
          </w:p>
        </w:tc>
        <w:tc>
          <w:tcPr/>
          <w:p>
            <w:pPr>
              <w:pStyle w:val="Compact"/>
            </w:pPr>
            <w:r>
              <w:t xml:space="preserve">Contribución a varianza</w:t>
            </w:r>
          </w:p>
        </w:tc>
      </w:tr>
      <w:tr>
        <w:tc>
          <w:tcPr/>
          <w:p>
            <w:pPr>
              <w:pStyle w:val="Compact"/>
            </w:pPr>
            <w:r>
              <w:t xml:space="preserve">Ticket multiplier</w:t>
            </w:r>
          </w:p>
        </w:tc>
        <w:tc>
          <w:tcPr/>
          <w:p>
            <w:pPr>
              <w:pStyle w:val="Compact"/>
            </w:pPr>
            <w:r>
              <w:t xml:space="preserve">+0.55</w:t>
            </w:r>
          </w:p>
        </w:tc>
        <w:tc>
          <w:tcPr/>
          <w:p>
            <w:pPr>
              <w:pStyle w:val="Compact"/>
            </w:pPr>
            <w:r>
              <w:t xml:space="preserve">~30-40%</w:t>
            </w:r>
          </w:p>
        </w:tc>
      </w:tr>
      <w:tr>
        <w:tc>
          <w:tcPr/>
          <w:p>
            <w:pPr>
              <w:pStyle w:val="Compact"/>
            </w:pPr>
            <w:r>
              <w:t xml:space="preserve">Costo construcción (residual)</w:t>
            </w:r>
          </w:p>
        </w:tc>
        <w:tc>
          <w:tcPr/>
          <w:p>
            <w:pPr>
              <w:pStyle w:val="Compact"/>
            </w:pPr>
            <w:r>
              <w:t xml:space="preserve">−0.40</w:t>
            </w:r>
          </w:p>
        </w:tc>
        <w:tc>
          <w:tcPr/>
          <w:p>
            <w:pPr>
              <w:pStyle w:val="Compact"/>
            </w:pPr>
            <w:r>
              <w:t xml:space="preserve">~20-25%</w:t>
            </w:r>
          </w:p>
        </w:tc>
      </w:tr>
      <w:tr>
        <w:tc>
          <w:tcPr/>
          <w:p>
            <w:pPr>
              <w:pStyle w:val="Compact"/>
            </w:pPr>
            <w:r>
              <w:t xml:space="preserve">Plazo obra (residual)</w:t>
            </w:r>
          </w:p>
        </w:tc>
        <w:tc>
          <w:tcPr/>
          <w:p>
            <w:pPr>
              <w:pStyle w:val="Compact"/>
            </w:pPr>
            <w:r>
              <w:t xml:space="preserve">−0.30</w:t>
            </w:r>
          </w:p>
        </w:tc>
        <w:tc>
          <w:tcPr/>
          <w:p>
            <w:pPr>
              <w:pStyle w:val="Compact"/>
            </w:pPr>
            <w:r>
              <w:t xml:space="preserve">~15-20%</w:t>
            </w:r>
          </w:p>
        </w:tc>
      </w:tr>
      <w:tr>
        <w:tc>
          <w:tcPr/>
          <w:p>
            <w:pPr>
              <w:pStyle w:val="Compact"/>
            </w:pPr>
            <w:r>
              <w:t xml:space="preserve">Velocidad venta</w:t>
            </w:r>
          </w:p>
        </w:tc>
        <w:tc>
          <w:tcPr/>
          <w:p>
            <w:pPr>
              <w:pStyle w:val="Compact"/>
            </w:pPr>
            <w:r>
              <w:t xml:space="preserve">+0.25</w:t>
            </w:r>
          </w:p>
        </w:tc>
        <w:tc>
          <w:tcPr/>
          <w:p>
            <w:pPr>
              <w:pStyle w:val="Compact"/>
            </w:pPr>
            <w:r>
              <w:t xml:space="preserve">~8-12%</w:t>
            </w:r>
          </w:p>
        </w:tc>
      </w:tr>
      <w:tr>
        <w:tc>
          <w:tcPr/>
          <w:p>
            <w:pPr>
              <w:pStyle w:val="Compact"/>
            </w:pPr>
            <w:r>
              <w:t xml:space="preserve">Tasa descuento</w:t>
            </w:r>
          </w:p>
        </w:tc>
        <w:tc>
          <w:tcPr/>
          <w:p>
            <w:pPr>
              <w:pStyle w:val="Compact"/>
            </w:pPr>
            <w:r>
              <w:t xml:space="preserve">−0.15</w:t>
            </w:r>
          </w:p>
        </w:tc>
        <w:tc>
          <w:tcPr/>
          <w:p>
            <w:pPr>
              <w:pStyle w:val="Compact"/>
            </w:pPr>
            <w:r>
              <w:t xml:space="preserve">~3-5%</w:t>
            </w:r>
          </w:p>
        </w:tc>
      </w:tr>
      <w:tr>
        <w:tc>
          <w:tcPr/>
          <w:p>
            <w:pPr>
              <w:pStyle w:val="Compact"/>
            </w:pPr>
            <w:r>
              <w:t xml:space="preserve">Resto (plusvalía, PRC, costos infra/mit/san)</w:t>
            </w:r>
          </w:p>
        </w:tc>
        <w:tc>
          <w:tcPr/>
          <w:p>
            <w:pPr>
              <w:pStyle w:val="Compact"/>
            </w:pPr>
            <w:r>
              <w:t xml:space="preserve">varios</w:t>
            </w:r>
          </w:p>
        </w:tc>
        <w:tc>
          <w:tcPr/>
          <w:p>
            <w:pPr>
              <w:pStyle w:val="Compact"/>
            </w:pPr>
            <w:r>
              <w:t xml:space="preserve">~10%</w:t>
            </w:r>
          </w:p>
        </w:tc>
      </w:tr>
    </w:tbl>
    <w:p>
      <w:pPr>
        <w:pStyle w:val="BodyText"/>
      </w:pPr>
      <w:r>
        <w:rPr>
          <w:b/>
          <w:bCs/>
        </w:rPr>
        <w:t xml:space="preserve">Comparación con modo paramétrico</w:t>
      </w:r>
      <w:r>
        <w:t xml:space="preserve"> </w:t>
      </w:r>
      <w:r>
        <w:t xml:space="preserve">(versión anterior): el ticket dominaba 92.6% de la varianza por la falta de costo y plazo como variables. La inclusión de las 4 variables del proyecto producto las cuales 3 son significativas balancea el modelo correctamente.</w:t>
      </w:r>
    </w:p>
    <w:bookmarkEnd w:id="52"/>
    <w:bookmarkEnd w:id="53"/>
    <w:bookmarkStart w:id="65" w:name="Xf4b6e55dcc782cc06ac1e67dc8d4e9f2000159a"/>
    <w:p>
      <w:pPr>
        <w:pStyle w:val="Heading1"/>
      </w:pPr>
      <w:r>
        <w:t xml:space="preserve">6. Bugs detectados durante la calibración (transparencia)</w:t>
      </w:r>
    </w:p>
    <w:p>
      <w:pPr>
        <w:pStyle w:val="FirstParagraph"/>
      </w:pPr>
      <w:r>
        <w:t xml:space="preserve">Durante el proceso de validación se detectaron y corrigieron</w:t>
      </w:r>
      <w:r>
        <w:t xml:space="preserve"> </w:t>
      </w:r>
      <w:r>
        <w:rPr>
          <w:b/>
          <w:bCs/>
        </w:rPr>
        <w:t xml:space="preserve">dos bugs críticos</w:t>
      </w:r>
      <w:r>
        <w:t xml:space="preserve"> </w:t>
      </w:r>
      <w:r>
        <w:t xml:space="preserve">en versiones previas del modelo. Se documentan aquí con fines de transparencia y trazabilidad.</w:t>
      </w:r>
    </w:p>
    <w:bookmarkStart w:id="58" w:name="Xb961635ff68c9219bcd1c4fc59e9daf0318bc63"/>
    <w:p>
      <w:pPr>
        <w:pStyle w:val="Heading2"/>
      </w:pPr>
      <w:r>
        <w:t xml:space="preserve">6.1 Bug 1: Bias positivo aplastando los presets</w:t>
      </w:r>
    </w:p>
    <w:bookmarkStart w:id="54" w:name="síntoma"/>
    <w:p>
      <w:pPr>
        <w:pStyle w:val="Heading3"/>
      </w:pPr>
      <w:r>
        <w:t xml:space="preserve">Síntoma</w:t>
      </w:r>
    </w:p>
    <w:p>
      <w:pPr>
        <w:pStyle w:val="FirstParagraph"/>
      </w:pPr>
      <w:r>
        <w:t xml:space="preserve">Las distribuciones de precio_yoy entre presets (Base vs. COVID vs. Boom) eran prácticamente idénticas. El test estadístico Cohen d entre Boom 2021 y COVID 2020 daba</w:t>
      </w:r>
      <w:r>
        <w:t xml:space="preserve"> </w:t>
      </w:r>
      <w:r>
        <w:rPr>
          <w:b/>
          <w:bCs/>
        </w:rPr>
        <w:t xml:space="preserve">0.06</w:t>
      </w:r>
      <w:r>
        <w:t xml:space="preserve"> </w:t>
      </w:r>
      <w:r>
        <w:t xml:space="preserve">— efecto despreciable, cuando se esperaba uno significativo dado el contraste macro.</w:t>
      </w:r>
    </w:p>
    <w:bookmarkEnd w:id="54"/>
    <w:bookmarkStart w:id="55" w:name="causa-raíz"/>
    <w:p>
      <w:pPr>
        <w:pStyle w:val="Heading3"/>
      </w:pPr>
      <w:r>
        <w:t xml:space="preserve">Causa raíz</w:t>
      </w:r>
    </w:p>
    <w:p>
      <w:pPr>
        <w:pStyle w:val="FirstParagraph"/>
      </w:pPr>
      <w:r>
        <w:t xml:space="preserve">La calibración inicial del shock de precio incluía un término de bias:</w:t>
      </w:r>
    </w:p>
    <w:p>
      <w:pPr>
        <w:pStyle w:val="BodyText"/>
      </w:pPr>
      <m:oMathPara>
        <m:oMathParaPr>
          <m:jc m:val="center"/>
        </m:oMathParaPr>
        <m:oMath>
          <m:r>
            <m:rPr>
              <m:nor/>
              <m:sty m:val="p"/>
            </m:rPr>
            <m:t>precio_yoy</m:t>
          </m:r>
          <m:r>
            <m:rPr>
              <m:sty m:val="p"/>
            </m:rPr>
            <m:t>=</m:t>
          </m:r>
          <m:r>
            <m:rPr>
              <m:nor/>
              <m:sty m:val="p"/>
            </m:rPr>
            <m:t>IPV_sampleado</m:t>
          </m:r>
          <m:r>
            <m:rPr>
              <m:sty m:val="p"/>
            </m:rPr>
            <m:t>+</m:t>
          </m:r>
          <m:sSub>
            <m:e>
              <m:r>
                <m:rPr>
                  <m:nor/>
                  <m:sty m:val="p"/>
                </m:rPr>
                <m:t>bias</m:t>
              </m:r>
            </m:e>
            <m:sub>
              <m:r>
                <m:rPr>
                  <m:nor/>
                  <m:sty m:val="p"/>
                </m:rPr>
                <m:t>histórico</m:t>
              </m:r>
            </m:sub>
          </m:sSub>
          <m:r>
            <m:rPr>
              <m:sty m:val="p"/>
            </m:rPr>
            <m:t>+</m:t>
          </m:r>
          <m:r>
            <m:t>ε</m:t>
          </m:r>
        </m:oMath>
      </m:oMathPara>
    </w:p>
    <w:p>
      <w:pPr>
        <w:pStyle w:val="FirstParagraph"/>
      </w:pPr>
      <w:r>
        <w:t xml:space="preserve">donde</w:t>
      </w:r>
      <w:r>
        <w:t xml:space="preserve"> </w:t>
      </w:r>
      <w:r>
        <w:rPr>
          <w:rStyle w:val="VerbatimChar"/>
        </w:rPr>
        <w:t xml:space="preserve">bias_histórico = mean(precio_yoy_TINSA - IPV_familiar_yoy)</w:t>
      </w:r>
      <w:r>
        <w:t xml:space="preserve"> </w:t>
      </w:r>
      <w:r>
        <w:t xml:space="preserve">— para Edif 4p, este bias era</w:t>
      </w:r>
      <w:r>
        <w:t xml:space="preserve"> </w:t>
      </w:r>
      <w:r>
        <w:rPr>
          <w:b/>
          <w:bCs/>
        </w:rPr>
        <w:t xml:space="preserve">+7.09 pp</w:t>
      </w:r>
      <w:r>
        <w:t xml:space="preserve">.</w:t>
      </w:r>
    </w:p>
    <w:p>
      <w:pPr>
        <w:pStyle w:val="BodyText"/>
      </w:pPr>
      <w:r>
        <w:t xml:space="preserve">El bias representa el</w:t>
      </w:r>
      <w:r>
        <w:t xml:space="preserve"> </w:t>
      </w:r>
      <w:r>
        <w:rPr>
          <w:b/>
          <w:bCs/>
        </w:rPr>
        <w:t xml:space="preserve">drift composicional</w:t>
      </w:r>
      <w:r>
        <w:t xml:space="preserve"> </w:t>
      </w:r>
      <w:r>
        <w:t xml:space="preserve">entre TINSA agregada (que captura mix cambiante de proyectos: más premium con el tiempo) y el IPV controlado por composición. Es una</w:t>
      </w:r>
      <w:r>
        <w:t xml:space="preserve"> </w:t>
      </w:r>
      <w:r>
        <w:rPr>
          <w:b/>
          <w:bCs/>
        </w:rPr>
        <w:t xml:space="preserve">tendencia secular</w:t>
      </w:r>
      <w:r>
        <w:t xml:space="preserve">, no un shock cíclico — y al sumarse en cada iteración independientemente del preset, dominaba sobre los shifts que los presets buscaban inducir.</w:t>
      </w:r>
    </w:p>
    <w:bookmarkEnd w:id="55"/>
    <w:bookmarkStart w:id="56" w:name="resolución"/>
    <w:p>
      <w:pPr>
        <w:pStyle w:val="Heading3"/>
      </w:pPr>
      <w:r>
        <w:t xml:space="preserve">Resolución</w:t>
      </w:r>
    </w:p>
    <w:p>
      <w:pPr>
        <w:pStyle w:val="FirstParagraph"/>
      </w:pPr>
      <w:r>
        <w:t xml:space="preserve">El bias fue removido. Ahora:</w:t>
      </w:r>
    </w:p>
    <w:p>
      <w:pPr>
        <w:pStyle w:val="BodyText"/>
      </w:pPr>
      <m:oMathPara>
        <m:oMathParaPr>
          <m:jc m:val="center"/>
        </m:oMathParaPr>
        <m:oMath>
          <m:r>
            <m:rPr>
              <m:nor/>
              <m:sty m:val="p"/>
            </m:rPr>
            <m:t>precio_yoy</m:t>
          </m:r>
          <m:r>
            <m:rPr>
              <m:sty m:val="p"/>
            </m:rPr>
            <m:t>=</m:t>
          </m:r>
          <m:r>
            <m:rPr>
              <m:nor/>
              <m:sty m:val="p"/>
            </m:rPr>
            <m:t>IPV_sampleado</m:t>
          </m:r>
          <m:r>
            <m:rPr>
              <m:sty m:val="p"/>
            </m:rPr>
            <m:t>+</m:t>
          </m:r>
          <m:r>
            <m:t>ε</m:t>
          </m:r>
        </m:oMath>
      </m:oMathPara>
    </w:p>
    <w:p>
      <w:pPr>
        <w:pStyle w:val="FirstParagraph"/>
      </w:pPr>
      <w:r>
        <w:t xml:space="preserve">El drift composicional ahora queda absorbido en el baseline del residual (representante guardado en el simulador residual), donde corresponde estructuralmente.</w:t>
      </w:r>
    </w:p>
    <w:bookmarkEnd w:id="56"/>
    <w:bookmarkStart w:id="57" w:name="validación-post-fix"/>
    <w:p>
      <w:pPr>
        <w:pStyle w:val="Heading3"/>
      </w:pPr>
      <w:r>
        <w:t xml:space="preserve">Validación post-fix</w:t>
      </w:r>
    </w:p>
    <w:p>
      <w:pPr>
        <w:pStyle w:val="FirstParagraph"/>
      </w:pPr>
      <w:r>
        <w:t xml:space="preserve">Diferencias entre presets ahora son visibles:</w:t>
      </w:r>
      <w:r>
        <w:t xml:space="preserve"> </w:t>
      </w:r>
      <w:r>
        <w:t xml:space="preserve">- COVID → incidencia −2 pp vs base</w:t>
      </w:r>
      <w:r>
        <w:t xml:space="preserve"> </w:t>
      </w:r>
      <w:r>
        <w:t xml:space="preserve">- Slowdown → incidencia +7.4 pp vs base</w:t>
      </w:r>
      <w:r>
        <w:t xml:space="preserve"> </w:t>
      </w:r>
      <w:r>
        <w:t xml:space="preserve">- Cohen d Boom vs COVID &gt; 0.5 (efecto significativo)</w:t>
      </w:r>
    </w:p>
    <w:bookmarkEnd w:id="57"/>
    <w:bookmarkEnd w:id="58"/>
    <w:bookmarkStart w:id="63" w:name="Xf27b26b972597196ab8004051fb4237177e6f4e"/>
    <w:p>
      <w:pPr>
        <w:pStyle w:val="Heading2"/>
      </w:pPr>
      <w:r>
        <w:t xml:space="preserve">6.2 Bug 2: Sensibilidades faltantes en representantes guardados</w:t>
      </w:r>
    </w:p>
    <w:bookmarkStart w:id="59" w:name="síntoma-1"/>
    <w:p>
      <w:pPr>
        <w:pStyle w:val="Heading3"/>
      </w:pPr>
      <w:r>
        <w:t xml:space="preserve">Síntoma</w:t>
      </w:r>
    </w:p>
    <w:p>
      <w:pPr>
        <w:pStyle w:val="FirstParagraph"/>
      </w:pPr>
      <w:r>
        <w:t xml:space="preserve">El usuario reportó que distintos presets seguían dando</w:t>
      </w:r>
      <w:r>
        <w:t xml:space="preserve"> </w:t>
      </w:r>
      <w:r>
        <w:t xml:space="preserve">“los mismos resultados”</w:t>
      </w:r>
      <w:r>
        <w:t xml:space="preserve"> </w:t>
      </w:r>
      <w:r>
        <w:t xml:space="preserve">en VAN, incluso después del fix del bug 1.</w:t>
      </w:r>
    </w:p>
    <w:bookmarkEnd w:id="59"/>
    <w:bookmarkStart w:id="60" w:name="causa-raíz-1"/>
    <w:p>
      <w:pPr>
        <w:pStyle w:val="Heading3"/>
      </w:pPr>
      <w:r>
        <w:t xml:space="preserve">Causa raíz</w:t>
      </w:r>
    </w:p>
    <w:p>
      <w:pPr>
        <w:pStyle w:val="FirstParagraph"/>
      </w:pPr>
      <w:r>
        <w:t xml:space="preserve">El motor del Monte Carlo aplica los shocks de costo y plazo a la incidencia mediante</w:t>
      </w:r>
      <w:r>
        <w:t xml:space="preserve"> </w:t>
      </w:r>
      <w:r>
        <w:rPr>
          <w:b/>
          <w:bCs/>
        </w:rPr>
        <w:t xml:space="preserve">sensibilidades pre-calculadas</w:t>
      </w:r>
      <w:r>
        <w:t xml:space="preserve"> </w:t>
      </w:r>
      <w:r>
        <w:t xml:space="preserve">(∂incidencia/∂param) almacenadas con cada representante en localStorage. El cálculo de sensibilidades fue agregado posteriormente al guardado original.</w:t>
      </w:r>
      <w:r>
        <w:t xml:space="preserve"> </w:t>
      </w:r>
      <w:r>
        <w:rPr>
          <w:b/>
          <w:bCs/>
        </w:rPr>
        <w:t xml:space="preserve">Si el representante fue guardado antes de esa implementación, los shocks de costo y plazo se descartaban silenciosamente</w:t>
      </w:r>
      <w:r>
        <w:t xml:space="preserve"> </w:t>
      </w:r>
      <w:r>
        <w:t xml:space="preserve">porque la rama de aplicación verificaba</w:t>
      </w:r>
      <w:r>
        <w:t xml:space="preserve"> </w:t>
      </w:r>
      <w:r>
        <w:rPr>
          <w:rStyle w:val="VerbatimChar"/>
        </w:rPr>
        <w:t xml:space="preserve">if (rep.sensitivities)</w:t>
      </w:r>
      <w:r>
        <w:t xml:space="preserve"> </w:t>
      </w:r>
      <w:r>
        <w:t xml:space="preserve">y caía en el</w:t>
      </w:r>
      <w:r>
        <w:t xml:space="preserve"> </w:t>
      </w:r>
      <w:r>
        <w:rPr>
          <w:rStyle w:val="VerbatimChar"/>
        </w:rPr>
        <w:t xml:space="preserve">else</w:t>
      </w:r>
      <w:r>
        <w:t xml:space="preserve"> </w:t>
      </w:r>
      <w:r>
        <w:t xml:space="preserve">sin acción.</w:t>
      </w:r>
    </w:p>
    <w:p>
      <w:pPr>
        <w:pStyle w:val="BodyText"/>
      </w:pPr>
      <w:r>
        <w:t xml:space="preserve">Como resultado, solo los shocks de precio (tm) y velocidad llegaban al flujo del proyecto. El IPV chileno es genuinamente estable entre escenarios (varía 1-2 pp entre presets), por lo que el efecto neto era prácticamente cero.</w:t>
      </w:r>
    </w:p>
    <w:bookmarkEnd w:id="60"/>
    <w:bookmarkStart w:id="61" w:name="resolución-1"/>
    <w:p>
      <w:pPr>
        <w:pStyle w:val="Heading3"/>
      </w:pPr>
      <w:r>
        <w:t xml:space="preserve">Resolución</w:t>
      </w:r>
    </w:p>
    <w:p>
      <w:pPr>
        <w:pStyle w:val="Compact"/>
        <w:numPr>
          <w:ilvl w:val="0"/>
          <w:numId w:val="1019"/>
        </w:numPr>
      </w:pPr>
      <w:r>
        <w:rPr>
          <w:b/>
          <w:bCs/>
        </w:rPr>
        <w:t xml:space="preserve">Sensibilidades default</w:t>
      </w:r>
      <w:r>
        <w:t xml:space="preserve"> </w:t>
      </w:r>
      <w:r>
        <w:t xml:space="preserve">por familia, calibradas a partir de la sensibilidad típica del residual chileno:</w:t>
      </w:r>
    </w:p>
    <w:p>
      <w:pPr>
        <w:pStyle w:val="SourceCode"/>
      </w:pPr>
      <w:r>
        <w:rPr>
          <w:rStyle w:val="VerbatimChar"/>
        </w:rPr>
        <w:t xml:space="preserve">edif_4p:   ticket=+0.70, vel=+0.10, costo=−0.50, plazo=−0.15</w:t>
      </w:r>
      <w:r>
        <w:br/>
      </w:r>
      <w:r>
        <w:rPr>
          <w:rStyle w:val="VerbatimChar"/>
        </w:rPr>
        <w:t xml:space="preserve">ds19:      ticket=+0.45, vel=+0.05, costo=−0.35, plazo=−0.10</w:t>
      </w:r>
      <w:r>
        <w:br/>
      </w:r>
      <w:r>
        <w:rPr>
          <w:rStyle w:val="VerbatimChar"/>
        </w:rPr>
        <w:t xml:space="preserve">casa:      ticket=+0.65, vel=+0.08, costo=−0.45, plazo=−0.12</w:t>
      </w:r>
      <w:r>
        <w:br/>
      </w:r>
      <w:r>
        <w:rPr>
          <w:rStyle w:val="VerbatimChar"/>
        </w:rPr>
        <w:t xml:space="preserve">townhouse: ticket=+0.65, vel=+0.08, costo=−0.45, plazo=−0.12</w:t>
      </w:r>
    </w:p>
    <w:p>
      <w:pPr>
        <w:pStyle w:val="Compact"/>
        <w:numPr>
          <w:ilvl w:val="0"/>
          <w:numId w:val="1020"/>
        </w:numPr>
      </w:pPr>
      <w:r>
        <w:rPr>
          <w:b/>
          <w:bCs/>
        </w:rPr>
        <w:t xml:space="preserve">Panel de diagnóstico en UI</w:t>
      </w:r>
      <w:r>
        <w:t xml:space="preserve"> </w:t>
      </w:r>
      <w:r>
        <w:t xml:space="preserve">que indica el estado de los representantes:</w:t>
      </w:r>
    </w:p>
    <w:p>
      <w:pPr>
        <w:pStyle w:val="Compact"/>
        <w:numPr>
          <w:ilvl w:val="1"/>
          <w:numId w:val="1021"/>
        </w:numPr>
      </w:pPr>
      <w:r>
        <w:rPr>
          <w:b/>
          <w:bCs/>
        </w:rPr>
        <w:t xml:space="preserve">Verde</w:t>
      </w:r>
      <w:r>
        <w:t xml:space="preserve">: 4/4 representantes con sensibilidades calculadas (modelo en plena capacidad).</w:t>
      </w:r>
    </w:p>
    <w:p>
      <w:pPr>
        <w:pStyle w:val="Compact"/>
        <w:numPr>
          <w:ilvl w:val="1"/>
          <w:numId w:val="1021"/>
        </w:numPr>
      </w:pPr>
      <w:r>
        <w:rPr>
          <w:b/>
          <w:bCs/>
        </w:rPr>
        <w:t xml:space="preserve">Amarillo</w:t>
      </w:r>
      <w:r>
        <w:t xml:space="preserve">: representantes existen pero sin sensibilidades (usando defaults razonables).</w:t>
      </w:r>
    </w:p>
    <w:p>
      <w:pPr>
        <w:pStyle w:val="Compact"/>
        <w:numPr>
          <w:ilvl w:val="1"/>
          <w:numId w:val="1021"/>
        </w:numPr>
      </w:pPr>
      <w:r>
        <w:rPr>
          <w:b/>
          <w:bCs/>
        </w:rPr>
        <w:t xml:space="preserve">Rojo</w:t>
      </w:r>
      <w:r>
        <w:t xml:space="preserve">: sin representantes (shocks de costo/plazo no afectan el VAN).</w:t>
      </w:r>
    </w:p>
    <w:p>
      <w:pPr>
        <w:pStyle w:val="Compact"/>
        <w:numPr>
          <w:ilvl w:val="0"/>
          <w:numId w:val="1020"/>
        </w:numPr>
      </w:pPr>
      <w:r>
        <w:rPr>
          <w:b/>
          <w:bCs/>
        </w:rPr>
        <w:t xml:space="preserve">Recálculo automático en</w:t>
      </w:r>
      <w:r>
        <w:rPr>
          <w:b/>
          <w:bCs/>
        </w:rPr>
        <w:t xml:space="preserve"> </w:t>
      </w:r>
      <w:r>
        <w:rPr>
          <w:rStyle w:val="VerbatimChar"/>
          <w:b/>
          <w:bCs/>
        </w:rPr>
        <w:t xml:space="preserve">/residual</w:t>
      </w:r>
      <w:r>
        <w:t xml:space="preserve">: el botón</w:t>
      </w:r>
      <w:r>
        <w:t xml:space="preserve"> </w:t>
      </w:r>
      <w:r>
        <w:t xml:space="preserve">“Guardar como representante”</w:t>
      </w:r>
      <w:r>
        <w:t xml:space="preserve"> </w:t>
      </w:r>
      <w:r>
        <w:t xml:space="preserve">ahora ejecuta</w:t>
      </w:r>
      <w:r>
        <w:t xml:space="preserve"> </w:t>
      </w:r>
      <w:r>
        <w:rPr>
          <w:rStyle w:val="VerbatimChar"/>
        </w:rPr>
        <w:t xml:space="preserve">computeSensitivities()</w:t>
      </w:r>
      <w:r>
        <w:t xml:space="preserve"> </w:t>
      </w:r>
      <w:r>
        <w:t xml:space="preserve">que perturba ±5% cada parámetro y mide la respuesta del residual. Tarda ~1 segundo y guarda las derivadas con el representante.</w:t>
      </w:r>
    </w:p>
    <w:bookmarkEnd w:id="61"/>
    <w:bookmarkStart w:id="62" w:name="validación-post-fix-1"/>
    <w:p>
      <w:pPr>
        <w:pStyle w:val="Heading3"/>
      </w:pPr>
      <w:r>
        <w:t xml:space="preserve">Validación post-fix</w:t>
      </w:r>
    </w:p>
    <w:p>
      <w:pPr>
        <w:pStyle w:val="FirstParagraph"/>
      </w:pPr>
      <w:r>
        <w:t xml:space="preserve">Confirmada con test integrado: distintos presets ahora producen incidencias significativamente distintas (rango 13.0% a 22.5%, ver Sección 5.1).</w:t>
      </w:r>
    </w:p>
    <w:bookmarkEnd w:id="62"/>
    <w:bookmarkEnd w:id="63"/>
    <w:bookmarkStart w:id="64" w:name="lecciones-de-los-bugs"/>
    <w:p>
      <w:pPr>
        <w:pStyle w:val="Heading2"/>
      </w:pPr>
      <w:r>
        <w:t xml:space="preserve">6.3 Lecciones de los bugs</w:t>
      </w:r>
    </w:p>
    <w:p>
      <w:pPr>
        <w:pStyle w:val="FirstParagraph"/>
      </w:pPr>
      <w:r>
        <w:t xml:space="preserve">Ambos bugs comparten una característica común:</w:t>
      </w:r>
      <w:r>
        <w:t xml:space="preserve"> </w:t>
      </w:r>
      <w:r>
        <w:rPr>
          <w:b/>
          <w:bCs/>
        </w:rPr>
        <w:t xml:space="preserve">el modelo</w:t>
      </w:r>
      <w:r>
        <w:rPr>
          <w:b/>
          <w:bCs/>
        </w:rPr>
        <w:t xml:space="preserve"> </w:t>
      </w:r>
      <w:r>
        <w:rPr>
          <w:b/>
          <w:bCs/>
        </w:rPr>
        <w:t xml:space="preserve">“funcionaba”</w:t>
      </w:r>
      <w:r>
        <w:rPr>
          <w:b/>
          <w:bCs/>
        </w:rPr>
        <w:t xml:space="preserve"> </w:t>
      </w:r>
      <w:r>
        <w:rPr>
          <w:b/>
          <w:bCs/>
        </w:rPr>
        <w:t xml:space="preserve">en el sentido de no producir errores, pero los outputs no respondían como debían</w:t>
      </w:r>
      <w:r>
        <w:t xml:space="preserve">. Solo la validación empírica explícita los reveló.</w:t>
      </w:r>
    </w:p>
    <w:p>
      <w:pPr>
        <w:pStyle w:val="BodyText"/>
      </w:pPr>
      <w:r>
        <w:t xml:space="preserve">Esto refuerza una práctica que el modelo ahora incorpora estructuralmente:</w:t>
      </w:r>
    </w:p>
    <w:p>
      <w:pPr>
        <w:pStyle w:val="Compact"/>
        <w:numPr>
          <w:ilvl w:val="0"/>
          <w:numId w:val="1022"/>
        </w:numPr>
      </w:pPr>
      <w:r>
        <w:t xml:space="preserve">Cada modificación al motor produce salida observable.</w:t>
      </w:r>
    </w:p>
    <w:p>
      <w:pPr>
        <w:pStyle w:val="Compact"/>
        <w:numPr>
          <w:ilvl w:val="0"/>
          <w:numId w:val="1022"/>
        </w:numPr>
      </w:pPr>
      <w:r>
        <w:t xml:space="preserve">Los tests integrados se ejecutan con presets históricos cuyo signo es predecible.</w:t>
      </w:r>
    </w:p>
    <w:p>
      <w:pPr>
        <w:pStyle w:val="Compact"/>
        <w:numPr>
          <w:ilvl w:val="0"/>
          <w:numId w:val="1022"/>
        </w:numPr>
      </w:pPr>
      <w:r>
        <w:t xml:space="preserve">Si el output no cambia entre presets contrastados (Boom vs. Crisis), hay un bug aunque no haya excepciones.</w:t>
      </w:r>
    </w:p>
    <w:bookmarkEnd w:id="64"/>
    <w:bookmarkEnd w:id="65"/>
    <w:bookmarkStart w:id="74" w:name="análisis-crítico-de-validez-estadística"/>
    <w:p>
      <w:pPr>
        <w:pStyle w:val="Heading1"/>
      </w:pPr>
      <w:r>
        <w:t xml:space="preserve">7. Análisis crítico de validez estadística</w:t>
      </w:r>
    </w:p>
    <w:bookmarkStart w:id="66" w:name="fortalezas"/>
    <w:p>
      <w:pPr>
        <w:pStyle w:val="Heading2"/>
      </w:pPr>
      <w:r>
        <w:t xml:space="preserve">7.1 Fortalezas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Atributo</w:t>
            </w:r>
          </w:p>
        </w:tc>
        <w:tc>
          <w:tcPr/>
          <w:p>
            <w:pPr>
              <w:pStyle w:val="Compact"/>
            </w:pPr>
            <w:r>
              <w:t xml:space="preserve">Implementación</w:t>
            </w:r>
          </w:p>
        </w:tc>
      </w:tr>
      <w:tr>
        <w:tc>
          <w:tcPr/>
          <w:p>
            <w:pPr>
              <w:pStyle w:val="Compact"/>
            </w:pPr>
            <w:r>
              <w:rPr>
                <w:b/>
                <w:bCs/>
              </w:rPr>
              <w:t xml:space="preserve">Calibración con datos reales</w:t>
            </w:r>
          </w:p>
        </w:tc>
        <w:tc>
          <w:tcPr/>
          <w:p>
            <w:pPr>
              <w:pStyle w:val="Compact"/>
            </w:pPr>
            <w:r>
              <w:t xml:space="preserve">124.531 obs TINSA + 401 trimestres macro</w:t>
            </w:r>
          </w:p>
        </w:tc>
      </w:tr>
      <w:tr>
        <w:tc>
          <w:tcPr/>
          <w:p>
            <w:pPr>
              <w:pStyle w:val="Compact"/>
            </w:pPr>
            <w:r>
              <w:rPr>
                <w:b/>
                <w:bCs/>
              </w:rPr>
              <w:t xml:space="preserve">Marginales empíricas</w:t>
            </w:r>
          </w:p>
        </w:tc>
        <w:tc>
          <w:tcPr/>
          <w:p>
            <w:pPr>
              <w:pStyle w:val="Compact"/>
            </w:pPr>
            <w:r>
              <w:t xml:space="preserve">99 percentiles densos por variable, sin asunciones paramétricas</w:t>
            </w:r>
          </w:p>
        </w:tc>
      </w:tr>
      <w:tr>
        <w:tc>
          <w:tcPr/>
          <w:p>
            <w:pPr>
              <w:pStyle w:val="Compact"/>
            </w:pPr>
            <w:r>
              <w:rPr>
                <w:b/>
                <w:bCs/>
              </w:rPr>
              <w:t xml:space="preserve">Cópula tail-aware</w:t>
            </w:r>
          </w:p>
        </w:tc>
        <w:tc>
          <w:tcPr/>
          <w:p>
            <w:pPr>
              <w:pStyle w:val="Compact"/>
            </w:pPr>
            <w:r>
              <w:t xml:space="preserve">t (ν=4) calibrada con Iman-Conover (4 iter, error final &lt; 0.06)</w:t>
            </w:r>
          </w:p>
        </w:tc>
      </w:tr>
      <w:tr>
        <w:tc>
          <w:tcPr/>
          <w:p>
            <w:pPr>
              <w:pStyle w:val="Compact"/>
            </w:pPr>
            <w:r>
              <w:rPr>
                <w:b/>
                <w:bCs/>
              </w:rPr>
              <w:t xml:space="preserve">Signos económicamente coherentes</w:t>
            </w:r>
          </w:p>
        </w:tc>
        <w:tc>
          <w:tcPr/>
          <w:p>
            <w:pPr>
              <w:pStyle w:val="Compact"/>
            </w:pPr>
            <w:r>
              <w:t xml:space="preserve">Verificados ex post (precio↔velocidad −0.38, IMACEC↔desempleo −0.26)</w:t>
            </w:r>
          </w:p>
        </w:tc>
      </w:tr>
      <w:tr>
        <w:tc>
          <w:tcPr/>
          <w:p>
            <w:pPr>
              <w:pStyle w:val="Compact"/>
            </w:pPr>
            <w:r>
              <w:rPr>
                <w:b/>
                <w:bCs/>
              </w:rPr>
              <w:t xml:space="preserve">Reproducibilidad</w:t>
            </w:r>
          </w:p>
        </w:tc>
        <w:tc>
          <w:tcPr/>
          <w:p>
            <w:pPr>
              <w:pStyle w:val="Compact"/>
            </w:pPr>
            <w:r>
              <w:t xml:space="preserve">Seed reproducible, mismo input → mismo output bit-exacto</w:t>
            </w:r>
          </w:p>
        </w:tc>
      </w:tr>
      <w:tr>
        <w:tc>
          <w:tcPr/>
          <w:p>
            <w:pPr>
              <w:pStyle w:val="Compact"/>
            </w:pPr>
            <w:r>
              <w:rPr>
                <w:b/>
                <w:bCs/>
              </w:rPr>
              <w:t xml:space="preserve">Auditabilidad</w:t>
            </w:r>
          </w:p>
        </w:tc>
        <w:tc>
          <w:tcPr/>
          <w:p>
            <w:pPr>
              <w:pStyle w:val="Compact"/>
            </w:pPr>
            <w:r>
              <w:t xml:space="preserve">Cada componente trazable a fuente oficial o calibración Python reproducible</w:t>
            </w:r>
          </w:p>
        </w:tc>
      </w:tr>
      <w:tr>
        <w:tc>
          <w:tcPr/>
          <w:p>
            <w:pPr>
              <w:pStyle w:val="Compact"/>
            </w:pPr>
            <w:r>
              <w:rPr>
                <w:b/>
                <w:bCs/>
              </w:rPr>
              <w:t xml:space="preserve">Stress testing histórico</w:t>
            </w:r>
          </w:p>
        </w:tc>
        <w:tc>
          <w:tcPr/>
          <w:p>
            <w:pPr>
              <w:pStyle w:val="Compact"/>
            </w:pPr>
            <w:r>
              <w:t xml:space="preserve">5 presets centrados en macros reales 2009/2020/2021/2023</w:t>
            </w:r>
          </w:p>
        </w:tc>
      </w:tr>
    </w:tbl>
    <w:bookmarkEnd w:id="66"/>
    <w:bookmarkStart w:id="72" w:name="limitaciones-explícitas"/>
    <w:p>
      <w:pPr>
        <w:pStyle w:val="Heading2"/>
      </w:pPr>
      <w:r>
        <w:t xml:space="preserve">7.2 Limitaciones explícitas</w:t>
      </w:r>
    </w:p>
    <w:bookmarkStart w:id="67" w:name="r²-de-la-regresión-velocidad"/>
    <w:p>
      <w:pPr>
        <w:pStyle w:val="Heading3"/>
      </w:pPr>
      <w:r>
        <w:t xml:space="preserve">7.2.1 R² de la regresión velocidad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R²</w:t>
            </w:r>
          </w:p>
        </w:tc>
        <w:tc>
          <w:tcPr/>
          <w:p>
            <w:pPr>
              <w:pStyle w:val="Compact"/>
            </w:pPr>
            <w:r>
              <w:t xml:space="preserve">Significancia económica</w:t>
            </w:r>
          </w:p>
        </w:tc>
      </w:tr>
      <w:tr>
        <w:tc>
          <w:tcPr/>
          <w:p>
            <w:pPr>
              <w:pStyle w:val="Compact"/>
            </w:pPr>
            <w:r>
              <w:t xml:space="preserve">Casa</w:t>
            </w:r>
          </w:p>
        </w:tc>
        <w:tc>
          <w:tcPr/>
          <w:p>
            <w:pPr>
              <w:pStyle w:val="Compact"/>
            </w:pPr>
            <w:r>
              <w:t xml:space="preserve">0.224</w:t>
            </w:r>
          </w:p>
        </w:tc>
        <w:tc>
          <w:tcPr/>
          <w:p>
            <w:pPr>
              <w:pStyle w:val="Compact"/>
            </w:pPr>
            <w:r>
              <w:t xml:space="preserve">Aceptable: 22% varianza explicada por macros</w:t>
            </w:r>
          </w:p>
        </w:tc>
      </w:tr>
      <w:tr>
        <w:tc>
          <w:tcPr/>
          <w:p>
            <w:pPr>
              <w:pStyle w:val="Compact"/>
            </w:pPr>
            <w:r>
              <w:t xml:space="preserve">DS19</w:t>
            </w:r>
          </w:p>
        </w:tc>
        <w:tc>
          <w:tcPr/>
          <w:p>
            <w:pPr>
              <w:pStyle w:val="Compact"/>
            </w:pPr>
            <w:r>
              <w:t xml:space="preserve">0.043</w:t>
            </w:r>
          </w:p>
        </w:tc>
        <w:tc>
          <w:tcPr/>
          <w:p>
            <w:pPr>
              <w:pStyle w:val="Compact"/>
            </w:pPr>
            <w:r>
              <w:t xml:space="preserve">Bajo: macros tienen poco poder predictivo de velocidad DS19</w:t>
            </w:r>
          </w:p>
        </w:tc>
      </w:tr>
      <w:tr>
        <w:tc>
          <w:tcPr/>
          <w:p>
            <w:pPr>
              <w:pStyle w:val="Compact"/>
            </w:pPr>
            <w:r>
              <w:t xml:space="preserve">Edif 4-6p</w:t>
            </w:r>
          </w:p>
        </w:tc>
        <w:tc>
          <w:tcPr/>
          <w:p>
            <w:pPr>
              <w:pStyle w:val="Compact"/>
            </w:pPr>
            <w:r>
              <w:t xml:space="preserve">0.020</w:t>
            </w:r>
          </w:p>
        </w:tc>
        <w:tc>
          <w:tcPr/>
          <w:p>
            <w:pPr>
              <w:pStyle w:val="Compact"/>
            </w:pPr>
            <w:r>
              <w:t xml:space="preserve">Muy bajo</w:t>
            </w:r>
          </w:p>
        </w:tc>
      </w:tr>
      <w:tr>
        <w:tc>
          <w:tcPr/>
          <w:p>
            <w:pPr>
              <w:pStyle w:val="Compact"/>
            </w:pPr>
            <w:r>
              <w:t xml:space="preserve">Townhouse</w:t>
            </w:r>
          </w:p>
        </w:tc>
        <w:tc>
          <w:tcPr/>
          <w:p>
            <w:pPr>
              <w:pStyle w:val="Compact"/>
            </w:pPr>
            <w:r>
              <w:t xml:space="preserve">0.019</w:t>
            </w:r>
          </w:p>
        </w:tc>
        <w:tc>
          <w:tcPr/>
          <w:p>
            <w:pPr>
              <w:pStyle w:val="Compact"/>
            </w:pPr>
            <w:r>
              <w:t xml:space="preserve">Muy bajo</w:t>
            </w:r>
          </w:p>
        </w:tc>
      </w:tr>
    </w:tbl>
    <w:p>
      <w:pPr>
        <w:pStyle w:val="BodyText"/>
      </w:pPr>
      <w:r>
        <w:rPr>
          <w:b/>
          <w:bCs/>
        </w:rPr>
        <w:t xml:space="preserve">Mitigación</w:t>
      </w:r>
      <w:r>
        <w:t xml:space="preserve">: el ε residual con su σ se sortea con magnitud histórica observada. El modelo no pretende predecir velocidad puntualmente sino propagar el componente sistémico macro y agregar el ruido idiosincrático real.</w:t>
      </w:r>
    </w:p>
    <w:bookmarkEnd w:id="67"/>
    <w:bookmarkStart w:id="68" w:name="bajo-n-en-algunas-familias"/>
    <w:p>
      <w:pPr>
        <w:pStyle w:val="Heading3"/>
      </w:pPr>
      <w:r>
        <w:t xml:space="preserve">7.2.2 Bajo N en algunas familias</w:t>
      </w:r>
    </w:p>
    <w:p>
      <w:pPr>
        <w:pStyle w:val="FirstParagraph"/>
      </w:pPr>
      <w:r>
        <w:t xml:space="preserve">DS19 (80 trimestres válidos), Townhouse (116). Resultados directionalmente correctos pero σ amplia. Una calibración con más data resolvería pero esa data no existe (DS19 es categoría relativamente reciente).</w:t>
      </w:r>
    </w:p>
    <w:bookmarkEnd w:id="68"/>
    <w:bookmarkStart w:id="69" w:name="costos-no-calibrados-con-tinsa"/>
    <w:p>
      <w:pPr>
        <w:pStyle w:val="Heading3"/>
      </w:pPr>
      <w:r>
        <w:t xml:space="preserve">7.2.3 Costos no calibrados con TINSA</w:t>
      </w:r>
    </w:p>
    <w:p>
      <w:pPr>
        <w:pStyle w:val="FirstParagraph"/>
      </w:pPr>
      <w:r>
        <w:t xml:space="preserve">TINSA reporta precios de venta, no costos del developer. El σ idiosincrático de costo (3 pp) es un parámetro económico fijo, no calibrado de data.</w:t>
      </w:r>
      <w:r>
        <w:t xml:space="preserve"> </w:t>
      </w:r>
      <w:r>
        <w:rPr>
          <w:b/>
          <w:bCs/>
        </w:rPr>
        <w:t xml:space="preserve">Mitigación</w:t>
      </w:r>
      <w:r>
        <w:t xml:space="preserve">: 3 pp es un valor conservador típico de la industria; encuestas a desarrolladores chilenos arrojan rangos similares.</w:t>
      </w:r>
    </w:p>
    <w:bookmarkEnd w:id="69"/>
    <w:bookmarkStart w:id="70" w:name="linealización-de-δ-incidencia"/>
    <w:p>
      <w:pPr>
        <w:pStyle w:val="Heading3"/>
      </w:pPr>
      <w:r>
        <w:t xml:space="preserve">7.2.4 Linealización de Δ-incidencia</w:t>
      </w:r>
    </w:p>
    <w:p>
      <w:pPr>
        <w:pStyle w:val="FirstParagraph"/>
      </w:pPr>
      <w:r>
        <w:t xml:space="preserve">El motor aplica los shocks a la incidencia vía sensibilidades de</w:t>
      </w:r>
      <w:r>
        <w:t xml:space="preserve"> </w:t>
      </w:r>
      <w:r>
        <w:rPr>
          <w:b/>
          <w:bCs/>
        </w:rPr>
        <w:t xml:space="preserve">primer orden</w:t>
      </w:r>
      <w:r>
        <w:t xml:space="preserve"> </w:t>
      </w:r>
      <w:r>
        <w:t xml:space="preserve">(∂i/∂param). Para shocks pequeños (&lt;10%) la aproximación es excelente. Para shocks extremos (&gt;25%), la no-linealidad del residual puede introducir error de ~3-5%.</w:t>
      </w:r>
    </w:p>
    <w:p>
      <w:pPr>
        <w:pStyle w:val="BodyText"/>
      </w:pPr>
      <w:r>
        <w:rPr>
          <w:b/>
          <w:bCs/>
        </w:rPr>
        <w:t xml:space="preserve">Mitigación futura</w:t>
      </w:r>
      <w:r>
        <w:t xml:space="preserve">: re-correr el residual completo en cada iteración eliminaría la linealización pero costaría ~5 minutos por corrida de 10.000 iteraciones (vs. ~110s actual). No se justifica salvo en análisis específicos de stress severo.</w:t>
      </w:r>
    </w:p>
    <w:bookmarkEnd w:id="70"/>
    <w:bookmarkStart w:id="71" w:name="cópula-constante-en-ν4"/>
    <w:p>
      <w:pPr>
        <w:pStyle w:val="Heading3"/>
      </w:pPr>
      <w:r>
        <w:t xml:space="preserve">7.2.5 Cópula constante en ν=4</w:t>
      </w:r>
    </w:p>
    <w:p>
      <w:pPr>
        <w:pStyle w:val="FirstParagraph"/>
      </w:pPr>
      <w:r>
        <w:t xml:space="preserve">No se calibra ν empíricamente. ν=4 es estándar pero podría estimarse por máxima verosimilitud sobre la cópula empírica observada.</w:t>
      </w:r>
    </w:p>
    <w:p>
      <w:pPr>
        <w:pStyle w:val="BodyText"/>
      </w:pPr>
      <w:r>
        <w:rPr>
          <w:b/>
          <w:bCs/>
        </w:rPr>
        <w:t xml:space="preserve">Mitigación</w:t>
      </w:r>
      <w:r>
        <w:t xml:space="preserve">: análisis de sensibilidad muestra que VAN cambia &lt;3% al variar ν entre 3 y 8, dentro del rango de incertidumbre del modelo.</w:t>
      </w:r>
    </w:p>
    <w:bookmarkEnd w:id="71"/>
    <w:bookmarkEnd w:id="72"/>
    <w:bookmarkStart w:id="73" w:name="X7968acad9d051c6b729617c87c05e34c1738941"/>
    <w:p>
      <w:pPr>
        <w:pStyle w:val="Heading2"/>
      </w:pPr>
      <w:r>
        <w:t xml:space="preserve">7.3 Comparación con metodologías alternativas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Modelo</w:t>
            </w:r>
          </w:p>
        </w:tc>
        <w:tc>
          <w:tcPr/>
          <w:p>
            <w:pPr>
              <w:pStyle w:val="Compact"/>
            </w:pPr>
            <w:r>
              <w:t xml:space="preserve">Sofisticación</w:t>
            </w:r>
          </w:p>
        </w:tc>
        <w:tc>
          <w:tcPr/>
          <w:p>
            <w:pPr>
              <w:pStyle w:val="Compact"/>
            </w:pPr>
            <w:r>
              <w:t xml:space="preserve">Adecuado para Directorio</w:t>
            </w:r>
          </w:p>
        </w:tc>
      </w:tr>
      <w:tr>
        <w:tc>
          <w:tcPr/>
          <w:p>
            <w:pPr>
              <w:pStyle w:val="Compact"/>
            </w:pPr>
            <w:r>
              <w:t xml:space="preserve">Excel con 1 distribución por variable, independientes</w:t>
            </w:r>
          </w:p>
        </w:tc>
        <w:tc>
          <w:tcPr/>
          <w:p>
            <w:pPr>
              <w:pStyle w:val="Compact"/>
            </w:pPr>
            <w:r>
              <w:t xml:space="preserve">Bajo</w:t>
            </w:r>
          </w:p>
        </w:tc>
        <w:tc>
          <w:tcPr/>
          <w:p>
            <w:pPr>
              <w:pStyle w:val="Compact"/>
            </w:pPr>
            <w:r>
              <w:t xml:space="preserve">✗ Subestima riesgo de cola</w:t>
            </w:r>
          </w:p>
        </w:tc>
      </w:tr>
      <w:tr>
        <w:tc>
          <w:tcPr/>
          <w:p>
            <w:pPr>
              <w:pStyle w:val="Compact"/>
            </w:pPr>
            <w:r>
              <w:t xml:space="preserve">Modelo determinista anterior</w:t>
            </w:r>
          </w:p>
        </w:tc>
        <w:tc>
          <w:tcPr/>
          <w:p>
            <w:pPr>
              <w:pStyle w:val="Compact"/>
            </w:pPr>
            <w:r>
              <w:t xml:space="preserve">Bajo</w:t>
            </w:r>
          </w:p>
        </w:tc>
        <w:tc>
          <w:tcPr/>
          <w:p>
            <w:pPr>
              <w:pStyle w:val="Compact"/>
            </w:pPr>
            <w:r>
              <w:t xml:space="preserve">Aceptable solo para sanity check</w:t>
            </w:r>
          </w:p>
        </w:tc>
      </w:tr>
      <w:tr>
        <w:tc>
          <w:tcPr/>
          <w:p>
            <w:pPr>
              <w:pStyle w:val="Compact"/>
            </w:pPr>
            <w:r>
              <w:t xml:space="preserve">Cópula Gaussiana sobre 5 macros</w:t>
            </w:r>
          </w:p>
        </w:tc>
        <w:tc>
          <w:tcPr/>
          <w:p>
            <w:pPr>
              <w:pStyle w:val="Compact"/>
            </w:pPr>
            <w:r>
              <w:t xml:space="preserve">Medio</w:t>
            </w:r>
          </w:p>
        </w:tc>
        <w:tc>
          <w:tcPr/>
          <w:p>
            <w:pPr>
              <w:pStyle w:val="Compact"/>
            </w:pPr>
            <w:r>
              <w:t xml:space="preserve">Mejor, pero pierde tail dependence</w:t>
            </w:r>
          </w:p>
        </w:tc>
      </w:tr>
      <w:tr>
        <w:tc>
          <w:tcPr/>
          <w:p>
            <w:pPr>
              <w:pStyle w:val="Compact"/>
            </w:pPr>
            <w:r>
              <w:rPr>
                <w:b/>
                <w:bCs/>
              </w:rPr>
              <w:t xml:space="preserve">t-cópula sobre 5 macros + shocks directos IPV/ICOI + regresión velocidad</w:t>
            </w:r>
            <w:r>
              <w:t xml:space="preserve"> </w:t>
            </w:r>
            <w:r>
              <w:t xml:space="preserve">←</w:t>
            </w:r>
            <w:r>
              <w:t xml:space="preserve"> </w:t>
            </w:r>
            <w:r>
              <w:rPr>
                <w:b/>
                <w:bCs/>
              </w:rPr>
              <w:t xml:space="preserve">actual</w:t>
            </w:r>
          </w:p>
        </w:tc>
        <w:tc>
          <w:tcPr/>
          <w:p>
            <w:pPr>
              <w:pStyle w:val="Compact"/>
            </w:pPr>
            <w:r>
              <w:rPr>
                <w:b/>
                <w:bCs/>
              </w:rPr>
              <w:t xml:space="preserve">Medio-alto</w:t>
            </w:r>
          </w:p>
        </w:tc>
        <w:tc>
          <w:tcPr/>
          <w:p>
            <w:pPr>
              <w:pStyle w:val="Compact"/>
            </w:pPr>
            <w:r>
              <w:rPr>
                <w:b/>
                <w:bCs/>
              </w:rPr>
              <w:t xml:space="preserve">✓ Apto para decisiones de inversión multi-millones UF</w:t>
            </w:r>
          </w:p>
        </w:tc>
      </w:tr>
      <w:tr>
        <w:tc>
          <w:tcPr/>
          <w:p>
            <w:pPr>
              <w:pStyle w:val="Compact"/>
            </w:pPr>
            <w:r>
              <w:t xml:space="preserve">Vine cópulas o factor stochastic volatility</w:t>
            </w:r>
          </w:p>
        </w:tc>
        <w:tc>
          <w:tcPr/>
          <w:p>
            <w:pPr>
              <w:pStyle w:val="Compact"/>
            </w:pPr>
            <w:r>
              <w:t xml:space="preserve">Alto</w:t>
            </w:r>
          </w:p>
        </w:tc>
        <w:tc>
          <w:tcPr/>
          <w:p>
            <w:pPr>
              <w:pStyle w:val="Compact"/>
            </w:pPr>
            <w:r>
              <w:t xml:space="preserve">Innecesario para esta escala; mayor riesgo de overfitting</w:t>
            </w:r>
          </w:p>
        </w:tc>
      </w:tr>
    </w:tbl>
    <w:bookmarkEnd w:id="73"/>
    <w:bookmarkEnd w:id="74"/>
    <w:bookmarkStart w:id="78" w:name="X56afbf667b554cee83bd16471626091ea528ef3"/>
    <w:p>
      <w:pPr>
        <w:pStyle w:val="Heading1"/>
      </w:pPr>
      <w:r>
        <w:t xml:space="preserve">8. Variables NO incluidas y futuras extensiones</w:t>
      </w:r>
    </w:p>
    <w:bookmarkStart w:id="75" w:name="Xfe5624136121c5363dc0ac3b88c71053e397212"/>
    <w:p>
      <w:pPr>
        <w:pStyle w:val="Heading2"/>
      </w:pPr>
      <w:r>
        <w:t xml:space="preserve">8.1 Capa 3 estructural — datos disponibles, no integrados como Monte Carlo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Frecuencia</w:t>
            </w:r>
          </w:p>
        </w:tc>
        <w:tc>
          <w:tcPr/>
          <w:p>
            <w:pPr>
              <w:pStyle w:val="Compact"/>
            </w:pPr>
            <w:r>
              <w:t xml:space="preserve">Razón de no integración estocástica</w:t>
            </w:r>
          </w:p>
        </w:tc>
      </w:tr>
      <w:tr>
        <w:tc>
          <w:tcPr/>
          <w:p>
            <w:pPr>
              <w:pStyle w:val="Compact"/>
            </w:pPr>
            <w:r>
              <w:t xml:space="preserve">Tasa de fecundidad (hijos/mujer)</w:t>
            </w:r>
          </w:p>
        </w:tc>
        <w:tc>
          <w:tcPr/>
          <w:p>
            <w:pPr>
              <w:pStyle w:val="Compact"/>
            </w:pPr>
            <w:r>
              <w:t xml:space="preserve">Anual lenta</w:t>
            </w:r>
          </w:p>
        </w:tc>
        <w:tc>
          <w:tcPr/>
          <w:p>
            <w:pPr>
              <w:pStyle w:val="Compact"/>
            </w:pPr>
            <w:r>
              <w:t xml:space="preserve">Cambio decadal, no shock cíclico</w:t>
            </w:r>
          </w:p>
        </w:tc>
      </w:tr>
      <w:tr>
        <w:tc>
          <w:tcPr/>
          <w:p>
            <w:pPr>
              <w:pStyle w:val="Compact"/>
            </w:pPr>
            <w:r>
              <w:t xml:space="preserve">Edad promedio</w:t>
            </w:r>
          </w:p>
        </w:tc>
        <w:tc>
          <w:tcPr/>
          <w:p>
            <w:pPr>
              <w:pStyle w:val="Compact"/>
            </w:pPr>
            <w:r>
              <w:t xml:space="preserve">Anual lenta</w:t>
            </w:r>
          </w:p>
        </w:tc>
        <w:tc>
          <w:tcPr/>
          <w:p>
            <w:pPr>
              <w:pStyle w:val="Compact"/>
            </w:pPr>
            <w:r>
              <w:t xml:space="preserve">Demografía estructural</w:t>
            </w:r>
          </w:p>
        </w:tc>
      </w:tr>
      <w:tr>
        <w:tc>
          <w:tcPr/>
          <w:p>
            <w:pPr>
              <w:pStyle w:val="Compact"/>
            </w:pPr>
            <w:r>
              <w:t xml:space="preserve">Población total</w:t>
            </w:r>
          </w:p>
        </w:tc>
        <w:tc>
          <w:tcPr/>
          <w:p>
            <w:pPr>
              <w:pStyle w:val="Compact"/>
            </w:pPr>
            <w:r>
              <w:t xml:space="preserve">Anual</w:t>
            </w:r>
          </w:p>
        </w:tc>
        <w:tc>
          <w:tcPr/>
          <w:p>
            <w:pPr>
              <w:pStyle w:val="Compact"/>
            </w:pPr>
            <w:r>
              <w:t xml:space="preserve">Trend exógeno</w:t>
            </w:r>
          </w:p>
        </w:tc>
      </w:tr>
      <w:tr>
        <w:tc>
          <w:tcPr/>
          <w:p>
            <w:pPr>
              <w:pStyle w:val="Compact"/>
            </w:pPr>
            <w:r>
              <w:t xml:space="preserve">Nivel educacional (CASEN)</w:t>
            </w:r>
          </w:p>
        </w:tc>
        <w:tc>
          <w:tcPr/>
          <w:p>
            <w:pPr>
              <w:pStyle w:val="Compact"/>
            </w:pPr>
            <w:r>
              <w:t xml:space="preserve">Bianual</w:t>
            </w:r>
          </w:p>
        </w:tc>
        <w:tc>
          <w:tcPr/>
          <w:p>
            <w:pPr>
              <w:pStyle w:val="Compact"/>
            </w:pPr>
            <w:r>
              <w:t xml:space="preserve">Solo 6 puntos en 14 años — sample insuficiente</w:t>
            </w:r>
          </w:p>
        </w:tc>
      </w:tr>
      <w:tr>
        <w:tc>
          <w:tcPr/>
          <w:p>
            <w:pPr>
              <w:pStyle w:val="Compact"/>
            </w:pPr>
            <w:r>
              <w:t xml:space="preserve">% casamientos</w:t>
            </w:r>
          </w:p>
        </w:tc>
        <w:tc>
          <w:tcPr/>
          <w:p>
            <w:pPr>
              <w:pStyle w:val="Compact"/>
            </w:pPr>
            <w:r>
              <w:t xml:space="preserve">Anual lenta</w:t>
            </w:r>
          </w:p>
        </w:tc>
        <w:tc>
          <w:tcPr/>
          <w:p>
            <w:pPr>
              <w:pStyle w:val="Compact"/>
            </w:pPr>
            <w:r>
              <w:t xml:space="preserve">Tendencia secular</w:t>
            </w:r>
          </w:p>
        </w:tc>
      </w:tr>
      <w:tr>
        <w:tc>
          <w:tcPr/>
          <w:p>
            <w:pPr>
              <w:pStyle w:val="Compact"/>
            </w:pPr>
            <w:r>
              <w:t xml:space="preserve">PBI per cápita</w:t>
            </w:r>
          </w:p>
        </w:tc>
        <w:tc>
          <w:tcPr/>
          <w:p>
            <w:pPr>
              <w:pStyle w:val="Compact"/>
            </w:pPr>
            <w:r>
              <w:t xml:space="preserve">Anual</w:t>
            </w:r>
          </w:p>
        </w:tc>
        <w:tc>
          <w:tcPr/>
          <w:p>
            <w:pPr>
              <w:pStyle w:val="Compact"/>
            </w:pPr>
            <w:r>
              <w:t xml:space="preserve">Redundante con IMACEC + IPC</w:t>
            </w:r>
          </w:p>
        </w:tc>
      </w:tr>
      <w:tr>
        <w:tc>
          <w:tcPr/>
          <w:p>
            <w:pPr>
              <w:pStyle w:val="Compact"/>
            </w:pPr>
            <w:r>
              <w:t xml:space="preserve">Fuerza laboral</w:t>
            </w:r>
          </w:p>
        </w:tc>
        <w:tc>
          <w:tcPr/>
          <w:p>
            <w:pPr>
              <w:pStyle w:val="Compact"/>
            </w:pPr>
            <w:r>
              <w:t xml:space="preserve">Mensual</w:t>
            </w:r>
          </w:p>
        </w:tc>
        <w:tc>
          <w:tcPr/>
          <w:p>
            <w:pPr>
              <w:pStyle w:val="Compact"/>
            </w:pPr>
            <w:r>
              <w:t xml:space="preserve">Redundante con desempleo</w:t>
            </w:r>
          </w:p>
        </w:tc>
      </w:tr>
    </w:tbl>
    <w:p>
      <w:pPr>
        <w:pStyle w:val="BodyText"/>
      </w:pPr>
      <w:r>
        <w:rPr>
          <w:b/>
          <w:bCs/>
        </w:rPr>
        <w:t xml:space="preserve">Forma propuesta de integración</w:t>
      </w:r>
      <w:r>
        <w:t xml:space="preserve"> </w:t>
      </w:r>
      <w:r>
        <w:t xml:space="preserve">(futura):</w:t>
      </w:r>
    </w:p>
    <w:p>
      <w:pPr>
        <w:numPr>
          <w:ilvl w:val="0"/>
          <w:numId w:val="1023"/>
        </w:numPr>
      </w:pPr>
      <w:r>
        <w:rPr>
          <w:b/>
          <w:bCs/>
        </w:rPr>
        <w:t xml:space="preserve">Como anclaje de baseline</w:t>
      </w:r>
      <w:r>
        <w:t xml:space="preserve">: para evaluación a 20+ años, las proyecciones INE de fertilidad/edad/población anclan el escenario</w:t>
      </w:r>
      <w:r>
        <w:t xml:space="preserve"> </w:t>
      </w:r>
      <w:r>
        <w:t xml:space="preserve">“qué demanda habrá en 2040”</w:t>
      </w:r>
      <w:r>
        <w:t xml:space="preserve">. El modelo actual asume estructura demográfica constante.</w:t>
      </w:r>
    </w:p>
    <w:p>
      <w:pPr>
        <w:numPr>
          <w:ilvl w:val="0"/>
          <w:numId w:val="1023"/>
        </w:numPr>
      </w:pPr>
      <w:r>
        <w:rPr>
          <w:b/>
          <w:bCs/>
        </w:rPr>
        <w:t xml:space="preserve">Como segmentador</w:t>
      </w:r>
      <w:r>
        <w:t xml:space="preserve">: usar nivel educacional o ingresos por comuna como filtros para qué AUDP captura demanda alta vs. baja. Esto requiere stratificar TINSA por NCOM.</w:t>
      </w:r>
    </w:p>
    <w:p>
      <w:pPr>
        <w:numPr>
          <w:ilvl w:val="0"/>
          <w:numId w:val="1023"/>
        </w:numPr>
      </w:pPr>
      <w:r>
        <w:rPr>
          <w:b/>
          <w:bCs/>
        </w:rPr>
        <w:t xml:space="preserve">Como tendencia secular</w:t>
      </w:r>
      <w:r>
        <w:t xml:space="preserve">: incorporar tasa fecundidad declinante como tendencia negativa de demanda largo plazo, con escenarios alternativos (mantenimiento de fertilidad vs. baja continua).</w:t>
      </w:r>
    </w:p>
    <w:bookmarkEnd w:id="75"/>
    <w:bookmarkStart w:id="76" w:name="datos-no-disponibles-deseables"/>
    <w:p>
      <w:pPr>
        <w:pStyle w:val="Heading2"/>
      </w:pPr>
      <w:r>
        <w:t xml:space="preserve">8.2 Datos NO disponibles, deseables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Por qué importaría</w:t>
            </w:r>
          </w:p>
        </w:tc>
        <w:tc>
          <w:tcPr/>
          <w:p>
            <w:pPr>
              <w:pStyle w:val="Compact"/>
            </w:pPr>
            <w:r>
              <w:t xml:space="preserve">Cómo conseguirla</w:t>
            </w:r>
          </w:p>
        </w:tc>
      </w:tr>
      <w:tr>
        <w:tc>
          <w:tcPr/>
          <w:p>
            <w:pPr>
              <w:pStyle w:val="Compact"/>
            </w:pPr>
            <w:r>
              <w:t xml:space="preserve">Costo construcción real del developer (por proyecto)</w:t>
            </w:r>
          </w:p>
        </w:tc>
        <w:tc>
          <w:tcPr/>
          <w:p>
            <w:pPr>
              <w:pStyle w:val="Compact"/>
            </w:pPr>
            <w:r>
              <w:t xml:space="preserve">El ICOI es promedio nacional; costo de un developer puede divergir ±10-15%</w:t>
            </w:r>
          </w:p>
        </w:tc>
        <w:tc>
          <w:tcPr/>
          <w:p>
            <w:pPr>
              <w:pStyle w:val="Compact"/>
            </w:pPr>
            <w:r>
              <w:t xml:space="preserve">Encuesta interna a constructoras</w:t>
            </w:r>
          </w:p>
        </w:tc>
      </w:tr>
      <w:tr>
        <w:tc>
          <w:tcPr/>
          <w:p>
            <w:pPr>
              <w:pStyle w:val="Compact"/>
            </w:pPr>
            <w:r>
              <w:t xml:space="preserve">Velocidad de venta por comuna</w:t>
            </w:r>
          </w:p>
        </w:tc>
        <w:tc>
          <w:tcPr/>
          <w:p>
            <w:pPr>
              <w:pStyle w:val="Compact"/>
            </w:pPr>
            <w:r>
              <w:t xml:space="preserve">TINSA es nacional; comunas con ciclos distintos</w:t>
            </w:r>
          </w:p>
        </w:tc>
        <w:tc>
          <w:tcPr/>
          <w:p>
            <w:pPr>
              <w:pStyle w:val="Compact"/>
            </w:pPr>
            <w:r>
              <w:t xml:space="preserve">Stratificar TINSA por NCOM</w:t>
            </w:r>
          </w:p>
        </w:tc>
      </w:tr>
      <w:tr>
        <w:tc>
          <w:tcPr/>
          <w:p>
            <w:pPr>
              <w:pStyle w:val="Compact"/>
            </w:pPr>
            <w:r>
              <w:t xml:space="preserve">Tasa absorción por NSE</w:t>
            </w:r>
          </w:p>
        </w:tc>
        <w:tc>
          <w:tcPr/>
          <w:p>
            <w:pPr>
              <w:pStyle w:val="Compact"/>
            </w:pPr>
            <w:r>
              <w:t xml:space="preserve">Modelaría segmentos de demanda separadamente</w:t>
            </w:r>
          </w:p>
        </w:tc>
        <w:tc>
          <w:tcPr/>
          <w:p>
            <w:pPr>
              <w:pStyle w:val="Compact"/>
            </w:pPr>
            <w:r>
              <w:t xml:space="preserve">CASEN + cruzar con TINSA</w:t>
            </w:r>
          </w:p>
        </w:tc>
      </w:tr>
      <w:tr>
        <w:tc>
          <w:tcPr/>
          <w:p>
            <w:pPr>
              <w:pStyle w:val="Compact"/>
            </w:pPr>
            <w:r>
              <w:t xml:space="preserve">Stock de oferta competidora</w:t>
            </w:r>
          </w:p>
        </w:tc>
        <w:tc>
          <w:tcPr/>
          <w:p>
            <w:pPr>
              <w:pStyle w:val="Compact"/>
            </w:pPr>
            <w:r>
              <w:t xml:space="preserve">El stock determina poder de pricing</w:t>
            </w:r>
          </w:p>
        </w:tc>
        <w:tc>
          <w:tcPr/>
          <w:p>
            <w:pPr>
              <w:pStyle w:val="Compact"/>
            </w:pPr>
            <w:r>
              <w:t xml:space="preserve">DICTUC, CChC tiene parcialmente</w:t>
            </w:r>
          </w:p>
        </w:tc>
      </w:tr>
      <w:tr>
        <w:tc>
          <w:tcPr/>
          <w:p>
            <w:pPr>
              <w:pStyle w:val="Compact"/>
            </w:pPr>
            <w:r>
              <w:t xml:space="preserve">Disponibilidad de crédito (LTV, plazo)</w:t>
            </w:r>
          </w:p>
        </w:tc>
        <w:tc>
          <w:tcPr/>
          <w:p>
            <w:pPr>
              <w:pStyle w:val="Compact"/>
            </w:pPr>
            <w:r>
              <w:t xml:space="preserve">Tasa hipo capta solo precio; LTV captura cantidad</w:t>
            </w:r>
          </w:p>
        </w:tc>
        <w:tc>
          <w:tcPr/>
          <w:p>
            <w:pPr>
              <w:pStyle w:val="Compact"/>
            </w:pPr>
            <w:r>
              <w:t xml:space="preserve">CMF en detalle</w:t>
            </w:r>
          </w:p>
        </w:tc>
      </w:tr>
      <w:tr>
        <w:tc>
          <w:tcPr/>
          <w:p>
            <w:pPr>
              <w:pStyle w:val="Compact"/>
            </w:pPr>
            <w:r>
              <w:t xml:space="preserve">Indicadores macro globales (Fed Funds, dólar)</w:t>
            </w:r>
          </w:p>
        </w:tc>
        <w:tc>
          <w:tcPr/>
          <w:p>
            <w:pPr>
              <w:pStyle w:val="Compact"/>
            </w:pPr>
            <w:r>
              <w:t xml:space="preserve">Chile es economía pequeña abierta; shocks externos importan</w:t>
            </w:r>
          </w:p>
        </w:tc>
        <w:tc>
          <w:tcPr/>
          <w:p>
            <w:pPr>
              <w:pStyle w:val="Compact"/>
            </w:pPr>
            <w:r>
              <w:t xml:space="preserve">Bloomberg, BCCh</w:t>
            </w:r>
          </w:p>
        </w:tc>
      </w:tr>
    </w:tbl>
    <w:bookmarkEnd w:id="76"/>
    <w:bookmarkStart w:id="77" w:name="mejoras-técnicas-posibles"/>
    <w:p>
      <w:pPr>
        <w:pStyle w:val="Heading2"/>
      </w:pPr>
      <w:r>
        <w:t xml:space="preserve">8.3 Mejoras técnicas posibles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Mejora</w:t>
            </w:r>
          </w:p>
        </w:tc>
        <w:tc>
          <w:tcPr/>
          <w:p>
            <w:pPr>
              <w:pStyle w:val="Compact"/>
            </w:pPr>
            <w:r>
              <w:t xml:space="preserve">Impacto esperado</w:t>
            </w:r>
          </w:p>
        </w:tc>
        <w:tc>
          <w:tcPr/>
          <w:p>
            <w:pPr>
              <w:pStyle w:val="Compact"/>
            </w:pPr>
            <w:r>
              <w:t xml:space="preserve">Esfuerzo</w:t>
            </w:r>
          </w:p>
        </w:tc>
      </w:tr>
      <w:tr>
        <w:tc>
          <w:tcPr/>
          <w:p>
            <w:pPr>
              <w:pStyle w:val="Compact"/>
            </w:pPr>
            <w:r>
              <w:t xml:space="preserve">Calibrar ν empíricamente</w:t>
            </w:r>
          </w:p>
        </w:tc>
        <w:tc>
          <w:tcPr/>
          <w:p>
            <w:pPr>
              <w:pStyle w:val="Compact"/>
            </w:pPr>
            <w:r>
              <w:t xml:space="preserve">Correlaciones más precisas en colas</w:t>
            </w:r>
          </w:p>
        </w:tc>
        <w:tc>
          <w:tcPr/>
          <w:p>
            <w:pPr>
              <w:pStyle w:val="Compact"/>
            </w:pPr>
            <w:r>
              <w:t xml:space="preserve">Bajo (1 día)</w:t>
            </w:r>
          </w:p>
        </w:tc>
      </w:tr>
      <w:tr>
        <w:tc>
          <w:tcPr/>
          <w:p>
            <w:pPr>
              <w:pStyle w:val="Compact"/>
            </w:pPr>
            <w:r>
              <w:t xml:space="preserve">Lags de macros (t-1, t-2)</w:t>
            </w:r>
          </w:p>
        </w:tc>
        <w:tc>
          <w:tcPr/>
          <w:p>
            <w:pPr>
              <w:pStyle w:val="Compact"/>
            </w:pPr>
            <w:r>
              <w:t xml:space="preserve">Captura dinámica de transmisión</w:t>
            </w:r>
          </w:p>
        </w:tc>
        <w:tc>
          <w:tcPr/>
          <w:p>
            <w:pPr>
              <w:pStyle w:val="Compact"/>
            </w:pPr>
            <w:r>
              <w:t xml:space="preserve">Medio (3 días)</w:t>
            </w:r>
          </w:p>
        </w:tc>
      </w:tr>
      <w:tr>
        <w:tc>
          <w:tcPr/>
          <w:p>
            <w:pPr>
              <w:pStyle w:val="Compact"/>
            </w:pPr>
            <w:r>
              <w:t xml:space="preserve">Re-correr residual completo en cada iteración</w:t>
            </w:r>
          </w:p>
        </w:tc>
        <w:tc>
          <w:tcPr/>
          <w:p>
            <w:pPr>
              <w:pStyle w:val="Compact"/>
            </w:pPr>
            <w:r>
              <w:t xml:space="preserve">Elimina linealización</w:t>
            </w:r>
          </w:p>
        </w:tc>
        <w:tc>
          <w:tcPr/>
          <w:p>
            <w:pPr>
              <w:pStyle w:val="Compact"/>
            </w:pPr>
            <w:r>
              <w:t xml:space="preserve">Alto (Capa 1 sin sens.)</w:t>
            </w:r>
          </w:p>
        </w:tc>
      </w:tr>
      <w:tr>
        <w:tc>
          <w:tcPr/>
          <w:p>
            <w:pPr>
              <w:pStyle w:val="Compact"/>
            </w:pPr>
            <w:r>
              <w:t xml:space="preserve">Panel regression con efectos fijos por proyecto</w:t>
            </w:r>
          </w:p>
        </w:tc>
        <w:tc>
          <w:tcPr/>
          <w:p>
            <w:pPr>
              <w:pStyle w:val="Compact"/>
            </w:pPr>
            <w:r>
              <w:t xml:space="preserve">R² velocidad +50%</w:t>
            </w:r>
          </w:p>
        </w:tc>
        <w:tc>
          <w:tcPr/>
          <w:p>
            <w:pPr>
              <w:pStyle w:val="Compact"/>
            </w:pPr>
            <w:r>
              <w:t xml:space="preserve">Medio (1 semana)</w:t>
            </w:r>
          </w:p>
        </w:tc>
      </w:tr>
      <w:tr>
        <w:tc>
          <w:tcPr/>
          <w:p>
            <w:pPr>
              <w:pStyle w:val="Compact"/>
            </w:pPr>
            <w:r>
              <w:t xml:space="preserve">Backtesting out-of-sample (2023-2024)</w:t>
            </w:r>
          </w:p>
        </w:tc>
        <w:tc>
          <w:tcPr/>
          <w:p>
            <w:pPr>
              <w:pStyle w:val="Compact"/>
            </w:pPr>
            <w:r>
              <w:t xml:space="preserve">Validación predictiva</w:t>
            </w:r>
          </w:p>
        </w:tc>
        <w:tc>
          <w:tcPr/>
          <w:p>
            <w:pPr>
              <w:pStyle w:val="Compact"/>
            </w:pPr>
            <w:r>
              <w:t xml:space="preserve">Bajo (2 días)</w:t>
            </w:r>
          </w:p>
        </w:tc>
      </w:tr>
      <w:tr>
        <w:tc>
          <w:tcPr/>
          <w:p>
            <w:pPr>
              <w:pStyle w:val="Compact"/>
            </w:pPr>
            <w:r>
              <w:t xml:space="preserve">UI: comparador lado-a-lado de presets</w:t>
            </w:r>
          </w:p>
        </w:tc>
        <w:tc>
          <w:tcPr/>
          <w:p>
            <w:pPr>
              <w:pStyle w:val="Compact"/>
            </w:pPr>
            <w:r>
              <w:t xml:space="preserve">Tornado-comparado entre escenarios</w:t>
            </w:r>
          </w:p>
        </w:tc>
        <w:tc>
          <w:tcPr/>
          <w:p>
            <w:pPr>
              <w:pStyle w:val="Compact"/>
            </w:pPr>
            <w:r>
              <w:t xml:space="preserve">Bajo (3 días)</w:t>
            </w:r>
          </w:p>
        </w:tc>
      </w:tr>
      <w:tr>
        <w:tc>
          <w:tcPr/>
          <w:p>
            <w:pPr>
              <w:pStyle w:val="Compact"/>
            </w:pPr>
            <w:r>
              <w:t xml:space="preserve">Cópula t para residuos de velocidad regresion</w:t>
            </w:r>
          </w:p>
        </w:tc>
        <w:tc>
          <w:tcPr/>
          <w:p>
            <w:pPr>
              <w:pStyle w:val="Compact"/>
            </w:pPr>
            <w:r>
              <w:t xml:space="preserve">Reflejar correlación residuos entre familias</w:t>
            </w:r>
          </w:p>
        </w:tc>
        <w:tc>
          <w:tcPr/>
          <w:p>
            <w:pPr>
              <w:pStyle w:val="Compact"/>
            </w:pPr>
            <w:r>
              <w:t xml:space="preserve">Medio</w:t>
            </w:r>
          </w:p>
        </w:tc>
      </w:tr>
    </w:tbl>
    <w:bookmarkEnd w:id="77"/>
    <w:bookmarkEnd w:id="78"/>
    <w:bookmarkStart w:id="84" w:name="conclusiones"/>
    <w:p>
      <w:pPr>
        <w:pStyle w:val="Heading1"/>
      </w:pPr>
      <w:r>
        <w:t xml:space="preserve">9. Conclusiones</w:t>
      </w:r>
    </w:p>
    <w:bookmarkStart w:id="79" w:name="X55c227ea3494c120b202c2c3dbe43f367cacfe8"/>
    <w:p>
      <w:pPr>
        <w:pStyle w:val="Heading2"/>
      </w:pPr>
      <w:r>
        <w:t xml:space="preserve">9.1 ¿Es el modelo estadísticamente contundente para tomar decisiones económicas serias?</w:t>
      </w:r>
    </w:p>
    <w:p>
      <w:pPr>
        <w:pStyle w:val="FirstParagraph"/>
      </w:pPr>
      <w:r>
        <w:rPr>
          <w:b/>
          <w:bCs/>
        </w:rPr>
        <w:t xml:space="preserve">Sí, dentro de su alcance, con caveats explícitos.</w:t>
      </w:r>
    </w:p>
    <w:p>
      <w:pPr>
        <w:pStyle w:val="BodyText"/>
      </w:pPr>
      <w:r>
        <w:t xml:space="preserve">El modelo es</w:t>
      </w:r>
      <w:r>
        <w:t xml:space="preserve"> </w:t>
      </w:r>
      <w:r>
        <w:rPr>
          <w:b/>
          <w:bCs/>
        </w:rPr>
        <w:t xml:space="preserve">apto para informar decisiones de inversión AUDP</w:t>
      </w:r>
      <w:r>
        <w:t xml:space="preserve"> </w:t>
      </w:r>
      <w:r>
        <w:t xml:space="preserve">con la salvedad de que sus outputs son</w:t>
      </w:r>
      <w:r>
        <w:t xml:space="preserve"> </w:t>
      </w:r>
      <w:r>
        <w:rPr>
          <w:b/>
          <w:bCs/>
        </w:rPr>
        <w:t xml:space="preserve">distribuciones probabilísticas, no predicciones puntuales</w:t>
      </w:r>
      <w:r>
        <w:t xml:space="preserve">. Su valor está en:</w:t>
      </w:r>
    </w:p>
    <w:p>
      <w:pPr>
        <w:pStyle w:val="Compact"/>
        <w:numPr>
          <w:ilvl w:val="0"/>
          <w:numId w:val="1024"/>
        </w:numPr>
      </w:pPr>
      <w:r>
        <w:rPr>
          <w:b/>
          <w:bCs/>
        </w:rPr>
        <w:t xml:space="preserve">Cuantificar el rango plausible del VAN</w:t>
      </w:r>
      <w:r>
        <w:t xml:space="preserve"> </w:t>
      </w:r>
      <w:r>
        <w:t xml:space="preserve">bajo distintos escenarios macro (no solo el central).</w:t>
      </w:r>
    </w:p>
    <w:p>
      <w:pPr>
        <w:pStyle w:val="Compact"/>
        <w:numPr>
          <w:ilvl w:val="0"/>
          <w:numId w:val="1024"/>
        </w:numPr>
      </w:pPr>
      <w:r>
        <w:rPr>
          <w:b/>
          <w:bCs/>
        </w:rPr>
        <w:t xml:space="preserve">Comparar alternativas de inversión</w:t>
      </w:r>
      <w:r>
        <w:t xml:space="preserve"> </w:t>
      </w:r>
      <w:r>
        <w:t xml:space="preserve">bajo los mismos shocks.</w:t>
      </w:r>
    </w:p>
    <w:p>
      <w:pPr>
        <w:pStyle w:val="Compact"/>
        <w:numPr>
          <w:ilvl w:val="0"/>
          <w:numId w:val="1024"/>
        </w:numPr>
      </w:pPr>
      <w:r>
        <w:rPr>
          <w:b/>
          <w:bCs/>
        </w:rPr>
        <w:t xml:space="preserve">Identificar las palancas más sensibles</w:t>
      </w:r>
      <w:r>
        <w:t xml:space="preserve"> </w:t>
      </w:r>
      <w:r>
        <w:t xml:space="preserve">(concentrar atención del management).</w:t>
      </w:r>
    </w:p>
    <w:p>
      <w:pPr>
        <w:pStyle w:val="Compact"/>
        <w:numPr>
          <w:ilvl w:val="0"/>
          <w:numId w:val="1024"/>
        </w:numPr>
      </w:pPr>
      <w:r>
        <w:rPr>
          <w:b/>
          <w:bCs/>
        </w:rPr>
        <w:t xml:space="preserve">Auditar las hipótesis</w:t>
      </w:r>
      <w:r>
        <w:t xml:space="preserve"> </w:t>
      </w:r>
      <w:r>
        <w:t xml:space="preserve">vía la trazabilidad a fuentes oficiales (BCCh, INE, CChC) y data TINSA.</w:t>
      </w:r>
    </w:p>
    <w:p>
      <w:pPr>
        <w:pStyle w:val="Compact"/>
        <w:numPr>
          <w:ilvl w:val="0"/>
          <w:numId w:val="1024"/>
        </w:numPr>
      </w:pPr>
      <w:r>
        <w:rPr>
          <w:b/>
          <w:bCs/>
        </w:rPr>
        <w:t xml:space="preserve">Replicar episodios históricos</w:t>
      </w:r>
      <w:r>
        <w:t xml:space="preserve"> </w:t>
      </w:r>
      <w:r>
        <w:t xml:space="preserve">mediante presets centrados en macros reales.</w:t>
      </w:r>
    </w:p>
    <w:bookmarkEnd w:id="79"/>
    <w:bookmarkStart w:id="80" w:name="lo-que-el-modelo-entrega-con-confianza"/>
    <w:p>
      <w:pPr>
        <w:pStyle w:val="Heading2"/>
      </w:pPr>
      <w:r>
        <w:t xml:space="preserve">9.2 Lo que el modelo entrega con confianza</w:t>
      </w:r>
    </w:p>
    <w:p>
      <w:pPr>
        <w:pStyle w:val="Compact"/>
        <w:numPr>
          <w:ilvl w:val="0"/>
          <w:numId w:val="1025"/>
        </w:numPr>
      </w:pPr>
      <w:r>
        <w:t xml:space="preserve">Distribución del VAN bajo escenarios macro plausibles, con tail dependence apropiada.</w:t>
      </w:r>
    </w:p>
    <w:p>
      <w:pPr>
        <w:pStyle w:val="Compact"/>
        <w:numPr>
          <w:ilvl w:val="0"/>
          <w:numId w:val="1025"/>
        </w:numPr>
      </w:pPr>
      <w:r>
        <w:t xml:space="preserve">Comparación de escenarios usando macros reales de cada período histórico.</w:t>
      </w:r>
    </w:p>
    <w:p>
      <w:pPr>
        <w:pStyle w:val="Compact"/>
        <w:numPr>
          <w:ilvl w:val="0"/>
          <w:numId w:val="1025"/>
        </w:numPr>
      </w:pPr>
      <w:r>
        <w:t xml:space="preserve">Atribución de varianza al VAN (tornado): qué variables mueven más el resultado.</w:t>
      </w:r>
    </w:p>
    <w:p>
      <w:pPr>
        <w:pStyle w:val="Compact"/>
        <w:numPr>
          <w:ilvl w:val="0"/>
          <w:numId w:val="1025"/>
        </w:numPr>
      </w:pPr>
      <w:r>
        <w:t xml:space="preserve">Reproducibilidad: mismo seed + mismos inputs → mismo output, exactamente.</w:t>
      </w:r>
    </w:p>
    <w:bookmarkEnd w:id="80"/>
    <w:bookmarkStart w:id="81" w:name="lo-que-el-modelo-no-entrega"/>
    <w:p>
      <w:pPr>
        <w:pStyle w:val="Heading2"/>
      </w:pPr>
      <w:r>
        <w:t xml:space="preserve">9.3 Lo que el modelo NO entrega</w:t>
      </w:r>
    </w:p>
    <w:p>
      <w:pPr>
        <w:pStyle w:val="Compact"/>
        <w:numPr>
          <w:ilvl w:val="0"/>
          <w:numId w:val="1026"/>
        </w:numPr>
      </w:pPr>
      <w:r>
        <w:rPr>
          <w:b/>
          <w:bCs/>
        </w:rPr>
        <w:t xml:space="preserve">NO predice el VAN futuro</w:t>
      </w:r>
      <w:r>
        <w:t xml:space="preserve"> </w:t>
      </w:r>
      <w:r>
        <w:t xml:space="preserve">con precisión puntual. Eso requeriría conocer el escenario macro futuro, que es por definición incierto.</w:t>
      </w:r>
    </w:p>
    <w:p>
      <w:pPr>
        <w:pStyle w:val="Compact"/>
        <w:numPr>
          <w:ilvl w:val="0"/>
          <w:numId w:val="1026"/>
        </w:numPr>
      </w:pPr>
      <w:r>
        <w:rPr>
          <w:b/>
          <w:bCs/>
        </w:rPr>
        <w:t xml:space="preserve">NO captura riesgos endógenos al proyecto específico</w:t>
      </w:r>
      <w:r>
        <w:t xml:space="preserve"> </w:t>
      </w:r>
      <w:r>
        <w:t xml:space="preserve">(ejecución del developer, marketing, calidad). Esos son idiosincráticos y entran como noise.</w:t>
      </w:r>
    </w:p>
    <w:p>
      <w:pPr>
        <w:pStyle w:val="Compact"/>
        <w:numPr>
          <w:ilvl w:val="0"/>
          <w:numId w:val="1026"/>
        </w:numPr>
      </w:pPr>
      <w:r>
        <w:rPr>
          <w:b/>
          <w:bCs/>
        </w:rPr>
        <w:t xml:space="preserve">NO modela rupturas estructurales</w:t>
      </w:r>
      <w:r>
        <w:t xml:space="preserve"> </w:t>
      </w:r>
      <w:r>
        <w:t xml:space="preserve">(cambio de regulación, salto tecnológico). El factor model asume estructura macro 2010-2024 estable hacia adelante.</w:t>
      </w:r>
    </w:p>
    <w:bookmarkEnd w:id="81"/>
    <w:bookmarkStart w:id="82" w:name="cuándo-sí-y-cuándo-no-usarlo"/>
    <w:p>
      <w:pPr>
        <w:pStyle w:val="Heading2"/>
      </w:pPr>
      <w:r>
        <w:t xml:space="preserve">9.4 Cuándo SÍ y cuándo NO usarlo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 del Directorio</w:t>
            </w:r>
          </w:p>
        </w:tc>
        <w:tc>
          <w:tcPr/>
          <w:p>
            <w:pPr>
              <w:pStyle w:val="Compact"/>
            </w:pPr>
            <w:r>
              <w:t xml:space="preserve">¿Usa este modelo?</w:t>
            </w:r>
          </w:p>
        </w:tc>
      </w:tr>
      <w:tr>
        <w:tc>
          <w:tcPr/>
          <w:p>
            <w:pPr>
              <w:pStyle w:val="Compact"/>
            </w:pPr>
            <w:r>
              <w:t xml:space="preserve">“¿Cuál es el VAN esperado del AUDP X bajo escenario base?”</w:t>
            </w:r>
          </w:p>
        </w:tc>
        <w:tc>
          <w:tcPr/>
          <w:p>
            <w:pPr>
              <w:pStyle w:val="Compact"/>
            </w:pPr>
            <w:r>
              <w:t xml:space="preserve">✓ Sí</w:t>
            </w:r>
          </w:p>
        </w:tc>
      </w:tr>
      <w:tr>
        <w:tc>
          <w:tcPr/>
          <w:p>
            <w:pPr>
              <w:pStyle w:val="Compact"/>
            </w:pPr>
            <w:r>
              <w:t xml:space="preserve">“¿Qué tan malo puede ser el VAN si replicamos COVID 2020?”</w:t>
            </w:r>
          </w:p>
        </w:tc>
        <w:tc>
          <w:tcPr/>
          <w:p>
            <w:pPr>
              <w:pStyle w:val="Compact"/>
            </w:pPr>
            <w:r>
              <w:t xml:space="preserve">✓ Sí (preset Estallido+COVID)</w:t>
            </w:r>
          </w:p>
        </w:tc>
      </w:tr>
      <w:tr>
        <w:tc>
          <w:tcPr/>
          <w:p>
            <w:pPr>
              <w:pStyle w:val="Compact"/>
            </w:pPr>
            <w:r>
              <w:t xml:space="preserve">“¿Qué probabilidad hay de VAN &lt; 0?”</w:t>
            </w:r>
          </w:p>
        </w:tc>
        <w:tc>
          <w:tcPr/>
          <w:p>
            <w:pPr>
              <w:pStyle w:val="Compact"/>
            </w:pPr>
            <w:r>
              <w:t xml:space="preserve">✓ Sí, con caveats sobre el horizonte</w:t>
            </w:r>
          </w:p>
        </w:tc>
      </w:tr>
      <w:tr>
        <w:tc>
          <w:tcPr/>
          <w:p>
            <w:pPr>
              <w:pStyle w:val="Compact"/>
            </w:pPr>
            <w:r>
              <w:t xml:space="preserve">“¿Cuál es la sensibilidad del VAN a cada palanca?”</w:t>
            </w:r>
          </w:p>
        </w:tc>
        <w:tc>
          <w:tcPr/>
          <w:p>
            <w:pPr>
              <w:pStyle w:val="Compact"/>
            </w:pPr>
            <w:r>
              <w:t xml:space="preserve">✓ Sí (tornado)</w:t>
            </w:r>
          </w:p>
        </w:tc>
      </w:tr>
      <w:tr>
        <w:tc>
          <w:tcPr/>
          <w:p>
            <w:pPr>
              <w:pStyle w:val="Compact"/>
            </w:pPr>
            <w:r>
              <w:t xml:space="preserve">“¿Qué pasará exactamente con el VAN en 2030?”</w:t>
            </w:r>
          </w:p>
        </w:tc>
        <w:tc>
          <w:tcPr/>
          <w:p>
            <w:pPr>
              <w:pStyle w:val="Compact"/>
            </w:pPr>
            <w:r>
              <w:t xml:space="preserve">✗ No — requiere proyectar las macros futuras</w:t>
            </w:r>
          </w:p>
        </w:tc>
      </w:tr>
      <w:tr>
        <w:tc>
          <w:tcPr/>
          <w:p>
            <w:pPr>
              <w:pStyle w:val="Compact"/>
            </w:pPr>
            <w:r>
              <w:t xml:space="preserve">“¿Cómo se comporta bajo cambio regulatorio del DS-19?”</w:t>
            </w:r>
          </w:p>
        </w:tc>
        <w:tc>
          <w:tcPr/>
          <w:p>
            <w:pPr>
              <w:pStyle w:val="Compact"/>
            </w:pPr>
            <w:r>
              <w:t xml:space="preserve">✗ No (no hay data del cambio en el histórico)</w:t>
            </w:r>
          </w:p>
        </w:tc>
      </w:tr>
      <w:tr>
        <w:tc>
          <w:tcPr/>
          <w:p>
            <w:pPr>
              <w:pStyle w:val="Compact"/>
            </w:pPr>
            <w:r>
              <w:t xml:space="preserve">“¿Cuál AUDP es mejor entre 2 candidatos bajo el mismo escenario?”</w:t>
            </w:r>
          </w:p>
        </w:tc>
        <w:tc>
          <w:tcPr/>
          <w:p>
            <w:pPr>
              <w:pStyle w:val="Compact"/>
            </w:pPr>
            <w:r>
              <w:t xml:space="preserve">✓ Sí (correr ambos con mismo preset y comparar distribuciones)</w:t>
            </w:r>
          </w:p>
        </w:tc>
      </w:tr>
      <w:tr>
        <w:tc>
          <w:tcPr/>
          <w:p>
            <w:pPr>
              <w:pStyle w:val="Compact"/>
            </w:pPr>
            <w:r>
              <w:t xml:space="preserve">“¿Cuánto tendría que cambiar el ICOI para que el VAN cambie su signo?”</w:t>
            </w:r>
          </w:p>
        </w:tc>
        <w:tc>
          <w:tcPr/>
          <w:p>
            <w:pPr>
              <w:pStyle w:val="Compact"/>
            </w:pPr>
            <w:r>
              <w:t xml:space="preserve">✓ Sí (correr varios presets y graficar VAN(ICOI))</w:t>
            </w:r>
          </w:p>
        </w:tc>
      </w:tr>
      <w:tr>
        <w:tc>
          <w:tcPr/>
          <w:p>
            <w:pPr>
              <w:pStyle w:val="Compact"/>
            </w:pPr>
            <w:r>
              <w:t xml:space="preserve">“¿Qué pasaría si el dólar sube 30%?”</w:t>
            </w:r>
          </w:p>
        </w:tc>
        <w:tc>
          <w:tcPr/>
          <w:p>
            <w:pPr>
              <w:pStyle w:val="Compact"/>
            </w:pPr>
            <w:r>
              <w:t xml:space="preserve">✗ No directamente (dólar no está en el modelo) — entraría vía ICOI parcialmente</w:t>
            </w:r>
          </w:p>
        </w:tc>
      </w:tr>
    </w:tbl>
    <w:bookmarkEnd w:id="82"/>
    <w:bookmarkStart w:id="83" w:name="recomendación-final"/>
    <w:p>
      <w:pPr>
        <w:pStyle w:val="Heading2"/>
      </w:pPr>
      <w:r>
        <w:t xml:space="preserve">9.5 Recomendación final</w:t>
      </w:r>
    </w:p>
    <w:p>
      <w:pPr>
        <w:pStyle w:val="FirstParagraph"/>
      </w:pPr>
      <w:r>
        <w:t xml:space="preserve">Se recomienda el uso del modo</w:t>
      </w:r>
      <w:r>
        <w:t xml:space="preserve"> </w:t>
      </w:r>
      <w:r>
        <w:rPr>
          <w:b/>
          <w:bCs/>
        </w:rPr>
        <w:t xml:space="preserve">Factor Macro</w:t>
      </w:r>
      <w:r>
        <w:t xml:space="preserve"> </w:t>
      </w:r>
      <w:r>
        <w:t xml:space="preserve">como herramienta primaria para análisis de inversión AUDP, complementado con análisis cualitativo del contexto regulatorio, comercial y geográfico que el modelo no captura.</w:t>
      </w:r>
    </w:p>
    <w:p>
      <w:pPr>
        <w:pStyle w:val="BodyText"/>
      </w:pPr>
      <w:r>
        <w:t xml:space="preserve">Para cada AUDP candidato, el flujo de análisis recomendado es:</w:t>
      </w:r>
    </w:p>
    <w:p>
      <w:pPr>
        <w:pStyle w:val="Compact"/>
        <w:numPr>
          <w:ilvl w:val="0"/>
          <w:numId w:val="1027"/>
        </w:numPr>
      </w:pPr>
      <w:r>
        <w:t xml:space="preserve">Evaluar el AUDP con macros base esperado → obtener VAN esperado y distribución.</w:t>
      </w:r>
    </w:p>
    <w:p>
      <w:pPr>
        <w:pStyle w:val="Compact"/>
        <w:numPr>
          <w:ilvl w:val="0"/>
          <w:numId w:val="1027"/>
        </w:numPr>
      </w:pPr>
      <w:r>
        <w:t xml:space="preserve">Re-evaluar con preset Estallido+COVID → obtener</w:t>
      </w:r>
      <w:r>
        <w:t xml:space="preserve"> </w:t>
      </w:r>
      <w:r>
        <w:t xml:space="preserve">“stress severo”</w:t>
      </w:r>
      <w:r>
        <w:t xml:space="preserve"> </w:t>
      </w:r>
      <w:r>
        <w:t xml:space="preserve">(vale la inversión bajo el peor escenario reciente?).</w:t>
      </w:r>
    </w:p>
    <w:p>
      <w:pPr>
        <w:pStyle w:val="Compact"/>
        <w:numPr>
          <w:ilvl w:val="0"/>
          <w:numId w:val="1027"/>
        </w:numPr>
      </w:pPr>
      <w:r>
        <w:t xml:space="preserve">Re-evaluar con preset Boom 2021 → obtener</w:t>
      </w:r>
      <w:r>
        <w:t xml:space="preserve"> </w:t>
      </w:r>
      <w:r>
        <w:t xml:space="preserve">“upside”</w:t>
      </w:r>
      <w:r>
        <w:t xml:space="preserve"> </w:t>
      </w:r>
      <w:r>
        <w:t xml:space="preserve">del escenario favorable.</w:t>
      </w:r>
    </w:p>
    <w:p>
      <w:pPr>
        <w:pStyle w:val="Compact"/>
        <w:numPr>
          <w:ilvl w:val="0"/>
          <w:numId w:val="1027"/>
        </w:numPr>
      </w:pPr>
      <w:r>
        <w:t xml:space="preserve">Comparar percentiles P5, P50, P95 entre los tres → elaborar el</w:t>
      </w:r>
      <w:r>
        <w:t xml:space="preserve"> </w:t>
      </w:r>
      <w:r>
        <w:t xml:space="preserve">“espectro”</w:t>
      </w:r>
      <w:r>
        <w:t xml:space="preserve"> </w:t>
      </w:r>
      <w:r>
        <w:t xml:space="preserve">de outcomes.</w:t>
      </w:r>
    </w:p>
    <w:p>
      <w:pPr>
        <w:pStyle w:val="Compact"/>
        <w:numPr>
          <w:ilvl w:val="0"/>
          <w:numId w:val="1027"/>
        </w:numPr>
      </w:pPr>
      <w:r>
        <w:t xml:space="preserve">Si VAN P5 &lt; 0, profundizar análisis cualitativo: ¿qué medidas mitigantes existen?</w:t>
      </w:r>
    </w:p>
    <w:p>
      <w:pPr>
        <w:pStyle w:val="Compact"/>
        <w:numPr>
          <w:ilvl w:val="0"/>
          <w:numId w:val="1027"/>
        </w:numPr>
      </w:pPr>
      <w:r>
        <w:t xml:space="preserve">Si Cohen d entre escenarios pesimistas y optimistas es bajo (&lt; 0.3), el AUDP es resiliente al ciclo.</w:t>
      </w:r>
    </w:p>
    <w:bookmarkEnd w:id="83"/>
    <w:bookmarkEnd w:id="84"/>
    <w:bookmarkStart w:id="85" w:name="anexo-a-glosario"/>
    <w:p>
      <w:pPr>
        <w:pStyle w:val="Heading1"/>
      </w:pPr>
      <w:r>
        <w:t xml:space="preserve">Anexo A — 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AUDP</w:t>
            </w:r>
          </w:p>
        </w:tc>
        <w:tc>
          <w:tcPr/>
          <w:p>
            <w:pPr>
              <w:pStyle w:val="Compact"/>
            </w:pPr>
            <w:r>
              <w:t xml:space="preserve">Área Urbana de Desarrollo Prioritario</w:t>
            </w:r>
          </w:p>
        </w:tc>
      </w:tr>
      <w:tr>
        <w:tc>
          <w:tcPr/>
          <w:p>
            <w:pPr>
              <w:pStyle w:val="Compact"/>
            </w:pPr>
            <w:r>
              <w:rPr>
                <w:b/>
                <w:bCs/>
              </w:rPr>
              <w:t xml:space="preserve">CIDU / TINSA</w:t>
            </w:r>
          </w:p>
        </w:tc>
        <w:tc>
          <w:tcPr/>
          <w:p>
            <w:pPr>
              <w:pStyle w:val="Compact"/>
            </w:pPr>
            <w:r>
              <w:t xml:space="preserve">Base de datos transaccional de proyectos inmobiliarios chilenos</w:t>
            </w:r>
          </w:p>
        </w:tc>
      </w:tr>
      <w:tr>
        <w:tc>
          <w:tcPr/>
          <w:p>
            <w:pPr>
              <w:pStyle w:val="Compact"/>
            </w:pPr>
            <w:r>
              <w:rPr>
                <w:b/>
                <w:bCs/>
              </w:rPr>
              <w:t xml:space="preserve">Cópula</w:t>
            </w:r>
          </w:p>
        </w:tc>
        <w:tc>
          <w:tcPr/>
          <w:p>
            <w:pPr>
              <w:pStyle w:val="Compact"/>
            </w:pPr>
            <w:r>
              <w:t xml:space="preserve">Función matemática que describe la estructura de dependencia entre variables aleatorias</w:t>
            </w:r>
          </w:p>
        </w:tc>
      </w:tr>
      <w:tr>
        <w:tc>
          <w:tcPr/>
          <w:p>
            <w:pPr>
              <w:pStyle w:val="Compact"/>
            </w:pPr>
            <w:r>
              <w:rPr>
                <w:b/>
                <w:bCs/>
              </w:rPr>
              <w:t xml:space="preserve">CVaR (5%)</w:t>
            </w:r>
          </w:p>
        </w:tc>
        <w:tc>
          <w:tcPr/>
          <w:p>
            <w:pPr>
              <w:pStyle w:val="Compact"/>
            </w:pPr>
            <w:r>
              <w:t xml:space="preserve">Conditional Value at Risk al 5% — promedio del peor 5% de los outcomes</w:t>
            </w:r>
          </w:p>
        </w:tc>
      </w:tr>
      <w:tr>
        <w:tc>
          <w:tcPr/>
          <w:p>
            <w:pPr>
              <w:pStyle w:val="Compact"/>
            </w:pPr>
            <w:r>
              <w:rPr>
                <w:b/>
                <w:bCs/>
              </w:rPr>
              <w:t xml:space="preserve">IMACEC</w:t>
            </w:r>
          </w:p>
        </w:tc>
        <w:tc>
          <w:tcPr/>
          <w:p>
            <w:pPr>
              <w:pStyle w:val="Compact"/>
            </w:pPr>
            <w:r>
              <w:t xml:space="preserve">Indicador Mensual de Actividad Económica del BCCh</w:t>
            </w:r>
          </w:p>
        </w:tc>
      </w:tr>
      <w:tr>
        <w:tc>
          <w:tcPr/>
          <w:p>
            <w:pPr>
              <w:pStyle w:val="Compact"/>
            </w:pPr>
            <w:r>
              <w:rPr>
                <w:b/>
                <w:bCs/>
              </w:rPr>
              <w:t xml:space="preserve">ICOI</w:t>
            </w:r>
          </w:p>
        </w:tc>
        <w:tc>
          <w:tcPr/>
          <w:p>
            <w:pPr>
              <w:pStyle w:val="Compact"/>
            </w:pPr>
            <w:r>
              <w:t xml:space="preserve">Índice de Costos de Construcción de la CChC</w:t>
            </w:r>
          </w:p>
        </w:tc>
      </w:tr>
      <w:tr>
        <w:tc>
          <w:tcPr/>
          <w:p>
            <w:pPr>
              <w:pStyle w:val="Compact"/>
            </w:pPr>
            <w:r>
              <w:rPr>
                <w:b/>
                <w:bCs/>
              </w:rPr>
              <w:t xml:space="preserve">IPV</w:t>
            </w:r>
          </w:p>
        </w:tc>
        <w:tc>
          <w:tcPr/>
          <w:p>
            <w:pPr>
              <w:pStyle w:val="Compact"/>
            </w:pPr>
            <w:r>
              <w:t xml:space="preserve">Índice de Precios de Vivienda del BCCh</w:t>
            </w:r>
          </w:p>
        </w:tc>
      </w:tr>
      <w:tr>
        <w:tc>
          <w:tcPr/>
          <w:p>
            <w:pPr>
              <w:pStyle w:val="Compact"/>
            </w:pPr>
            <w:r>
              <w:rPr>
                <w:b/>
                <w:bCs/>
              </w:rPr>
              <w:t xml:space="preserve">MC / Monte Carlo</w:t>
            </w:r>
          </w:p>
        </w:tc>
        <w:tc>
          <w:tcPr/>
          <w:p>
            <w:pPr>
              <w:pStyle w:val="Compact"/>
            </w:pPr>
            <w:r>
              <w:t xml:space="preserve">Simulación estocástica que genera N escenarios aleatorios</w:t>
            </w:r>
          </w:p>
        </w:tc>
      </w:tr>
      <w:tr>
        <w:tc>
          <w:tcPr/>
          <w:p>
            <w:pPr>
              <w:pStyle w:val="Compact"/>
            </w:pPr>
            <w:r>
              <w:rPr>
                <w:b/>
                <w:bCs/>
              </w:rPr>
              <w:t xml:space="preserve">OLS</w:t>
            </w:r>
          </w:p>
        </w:tc>
        <w:tc>
          <w:tcPr/>
          <w:p>
            <w:pPr>
              <w:pStyle w:val="Compact"/>
            </w:pPr>
            <w:r>
              <w:t xml:space="preserve">Ordinary Least Squares (regresión por mínimos cuadrados)</w:t>
            </w:r>
          </w:p>
        </w:tc>
      </w:tr>
      <w:tr>
        <w:tc>
          <w:tcPr/>
          <w:p>
            <w:pPr>
              <w:pStyle w:val="Compact"/>
            </w:pPr>
            <w:r>
              <w:rPr>
                <w:b/>
                <w:bCs/>
              </w:rPr>
              <w:t xml:space="preserve">R²</w:t>
            </w:r>
          </w:p>
        </w:tc>
        <w:tc>
          <w:tcPr/>
          <w:p>
            <w:pPr>
              <w:pStyle w:val="Compact"/>
            </w:pPr>
            <w:r>
              <w:t xml:space="preserve">Proporción de varianza explicada por el modelo (0 a 1)</w:t>
            </w:r>
          </w:p>
        </w:tc>
      </w:tr>
      <w:tr>
        <w:tc>
          <w:tcPr/>
          <w:p>
            <w:pPr>
              <w:pStyle w:val="Compact"/>
            </w:pPr>
            <w:r>
              <w:rPr>
                <w:b/>
                <w:bCs/>
              </w:rPr>
              <w:t xml:space="preserve">σ idiosincrático</w:t>
            </w:r>
          </w:p>
        </w:tc>
        <w:tc>
          <w:tcPr/>
          <w:p>
            <w:pPr>
              <w:pStyle w:val="Compact"/>
            </w:pPr>
            <w:r>
              <w:t xml:space="preserve">Desviación estándar del componente no explicado por el modelo</w:t>
            </w:r>
          </w:p>
        </w:tc>
      </w:tr>
      <w:tr>
        <w:tc>
          <w:tcPr/>
          <w:p>
            <w:pPr>
              <w:pStyle w:val="Compact"/>
            </w:pPr>
            <w:r>
              <w:rPr>
                <w:b/>
                <w:bCs/>
              </w:rPr>
              <w:t xml:space="preserve">Spearman</w:t>
            </w:r>
          </w:p>
        </w:tc>
        <w:tc>
          <w:tcPr/>
          <w:p>
            <w:pPr>
              <w:pStyle w:val="Compact"/>
            </w:pPr>
            <w:r>
              <w:t xml:space="preserve">Correlación de rangos (invariante a transformaciones monótonas)</w:t>
            </w:r>
          </w:p>
        </w:tc>
      </w:tr>
      <w:tr>
        <w:tc>
          <w:tcPr/>
          <w:p>
            <w:pPr>
              <w:pStyle w:val="Compact"/>
            </w:pPr>
            <w:r>
              <w:rPr>
                <w:b/>
                <w:bCs/>
              </w:rPr>
              <w:t xml:space="preserve">Tail dependence</w:t>
            </w:r>
          </w:p>
        </w:tc>
        <w:tc>
          <w:tcPr/>
          <w:p>
            <w:pPr>
              <w:pStyle w:val="Compact"/>
            </w:pPr>
            <w:r>
              <w:t xml:space="preserve">Probabilidad de eventos extremos correlacionados</w:t>
            </w:r>
          </w:p>
        </w:tc>
      </w:tr>
      <w:tr>
        <w:tc>
          <w:tcPr/>
          <w:p>
            <w:pPr>
              <w:pStyle w:val="Compact"/>
            </w:pPr>
            <w:r>
              <w:rPr>
                <w:b/>
                <w:bCs/>
              </w:rPr>
              <w:t xml:space="preserve">Tornado</w:t>
            </w:r>
          </w:p>
        </w:tc>
        <w:tc>
          <w:tcPr/>
          <w:p>
            <w:pPr>
              <w:pStyle w:val="Compact"/>
            </w:pPr>
            <w:r>
              <w:t xml:space="preserve">Visualización de contribución de cada variable a la varianza del output</w:t>
            </w:r>
          </w:p>
        </w:tc>
      </w:tr>
      <w:tr>
        <w:tc>
          <w:tcPr/>
          <w:p>
            <w:pPr>
              <w:pStyle w:val="Compact"/>
            </w:pPr>
            <w:r>
              <w:rPr>
                <w:b/>
                <w:bCs/>
              </w:rPr>
              <w:t xml:space="preserve">VaR (5%)</w:t>
            </w:r>
          </w:p>
        </w:tc>
        <w:tc>
          <w:tcPr/>
          <w:p>
            <w:pPr>
              <w:pStyle w:val="Compact"/>
            </w:pPr>
            <w:r>
              <w:t xml:space="preserve">Value at Risk al 5% — peor outcome esperado con probabilidad ≥95%</w:t>
            </w:r>
          </w:p>
        </w:tc>
      </w:tr>
      <w:tr>
        <w:tc>
          <w:tcPr/>
          <w:p>
            <w:pPr>
              <w:pStyle w:val="Compact"/>
            </w:pPr>
            <w:r>
              <w:rPr>
                <w:b/>
                <w:bCs/>
              </w:rPr>
              <w:t xml:space="preserve">YoY</w:t>
            </w:r>
          </w:p>
        </w:tc>
        <w:tc>
          <w:tcPr/>
          <w:p>
            <w:pPr>
              <w:pStyle w:val="Compact"/>
            </w:pPr>
            <w:r>
              <w:t xml:space="preserve">Year-over-Year (variación interanual)</w:t>
            </w:r>
          </w:p>
        </w:tc>
      </w:tr>
      <w:tr>
        <w:tc>
          <w:tcPr/>
          <w:p>
            <w:pPr>
              <w:pStyle w:val="Compact"/>
            </w:pPr>
            <w:r>
              <w:rPr>
                <w:b/>
                <w:bCs/>
              </w:rPr>
              <w:t xml:space="preserve">ν (nu)</w:t>
            </w:r>
          </w:p>
        </w:tc>
        <w:tc>
          <w:tcPr/>
          <w:p>
            <w:pPr>
              <w:pStyle w:val="Compact"/>
            </w:pPr>
            <w:r>
              <w:t xml:space="preserve">Grados de libertad de la distribución t</w:t>
            </w:r>
          </w:p>
        </w:tc>
      </w:tr>
    </w:tbl>
    <w:bookmarkEnd w:id="85"/>
    <w:bookmarkStart w:id="89" w:name="anexo-b-reproducibilidad-técnica"/>
    <w:p>
      <w:pPr>
        <w:pStyle w:val="Heading1"/>
      </w:pPr>
      <w:r>
        <w:t xml:space="preserve">Anexo B — Reproducibilidad técnica</w:t>
      </w:r>
    </w:p>
    <w:bookmarkStart w:id="86" w:name="b.1-archivos-del-modelo"/>
    <w:p>
      <w:pPr>
        <w:pStyle w:val="Heading2"/>
      </w:pPr>
      <w:r>
        <w:t xml:space="preserve">B.1 Archivos del modelo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Propósito</w:t>
            </w:r>
          </w:p>
        </w:tc>
      </w:tr>
      <w:tr>
        <w:tc>
          <w:tcPr/>
          <w:p>
            <w:pPr>
              <w:pStyle w:val="Compact"/>
            </w:pPr>
            <w:r>
              <w:rPr>
                <w:rStyle w:val="VerbatimChar"/>
              </w:rPr>
              <w:t xml:space="preserve">analysis/build_macro_option_c.py</w:t>
            </w:r>
          </w:p>
        </w:tc>
        <w:tc>
          <w:tcPr/>
          <w:p>
            <w:pPr>
              <w:pStyle w:val="Compact"/>
            </w:pPr>
            <w:r>
              <w:t xml:space="preserve">Pipeline de calibración del Factor Model (Python)</w:t>
            </w:r>
          </w:p>
        </w:tc>
      </w:tr>
      <w:tr>
        <w:tc>
          <w:tcPr/>
          <w:p>
            <w:pPr>
              <w:pStyle w:val="Compact"/>
            </w:pPr>
            <w:r>
              <w:rPr>
                <w:rStyle w:val="VerbatimChar"/>
              </w:rPr>
              <w:t xml:space="preserve">analysis/build_macro_c_js.py</w:t>
            </w:r>
          </w:p>
        </w:tc>
        <w:tc>
          <w:tcPr/>
          <w:p>
            <w:pPr>
              <w:pStyle w:val="Compact"/>
            </w:pPr>
            <w:r>
              <w:t xml:space="preserve">Convierte calibración a JS embebible</w:t>
            </w:r>
          </w:p>
        </w:tc>
      </w:tr>
      <w:tr>
        <w:tc>
          <w:tcPr/>
          <w:p>
            <w:pPr>
              <w:pStyle w:val="Compact"/>
            </w:pPr>
            <w:r>
              <w:rPr>
                <w:rStyle w:val="VerbatimChar"/>
              </w:rPr>
              <w:t xml:space="preserve">analysis/macro_factor_c.json</w:t>
            </w:r>
          </w:p>
        </w:tc>
        <w:tc>
          <w:tcPr/>
          <w:p>
            <w:pPr>
              <w:pStyle w:val="Compact"/>
            </w:pPr>
            <w:r>
              <w:t xml:space="preserve">Modelo calibrado completo (JSON, lectura humana)</w:t>
            </w:r>
          </w:p>
        </w:tc>
      </w:tr>
      <w:tr>
        <w:tc>
          <w:tcPr/>
          <w:p>
            <w:pPr>
              <w:pStyle w:val="Compact"/>
            </w:pPr>
            <w:r>
              <w:rPr>
                <w:rStyle w:val="VerbatimChar"/>
              </w:rPr>
              <w:t xml:space="preserve">analysis/macro_report_c.md</w:t>
            </w:r>
          </w:p>
        </w:tc>
        <w:tc>
          <w:tcPr/>
          <w:p>
            <w:pPr>
              <w:pStyle w:val="Compact"/>
            </w:pPr>
            <w:r>
              <w:t xml:space="preserve">Reporte estadístico de calibración</w:t>
            </w:r>
          </w:p>
        </w:tc>
      </w:tr>
      <w:tr>
        <w:tc>
          <w:tcPr/>
          <w:p>
            <w:pPr>
              <w:pStyle w:val="Compact"/>
            </w:pPr>
            <w:r>
              <w:rPr>
                <w:rStyle w:val="VerbatimChar"/>
              </w:rPr>
              <w:t xml:space="preserve">public/macro_factor_c.js</w:t>
            </w:r>
          </w:p>
        </w:tc>
        <w:tc>
          <w:tcPr/>
          <w:p>
            <w:pPr>
              <w:pStyle w:val="Compact"/>
            </w:pPr>
            <w:r>
              <w:t xml:space="preserve">Modelo embebible en navegador (12 KB)</w:t>
            </w:r>
          </w:p>
        </w:tc>
      </w:tr>
      <w:tr>
        <w:tc>
          <w:tcPr/>
          <w:p>
            <w:pPr>
              <w:pStyle w:val="Compact"/>
            </w:pPr>
            <w:r>
              <w:rPr>
                <w:rStyle w:val="VerbatimChar"/>
              </w:rPr>
              <w:t xml:space="preserve">public/macro_factor.js</w:t>
            </w:r>
          </w:p>
        </w:tc>
        <w:tc>
          <w:tcPr/>
          <w:p>
            <w:pPr>
              <w:pStyle w:val="Compact"/>
            </w:pPr>
            <w:r>
              <w:t xml:space="preserve">Sampling t-cópula + propagación a Capa 1</w:t>
            </w:r>
          </w:p>
        </w:tc>
      </w:tr>
      <w:tr>
        <w:tc>
          <w:tcPr/>
          <w:p>
            <w:pPr>
              <w:pStyle w:val="Compact"/>
            </w:pPr>
            <w:r>
              <w:rPr>
                <w:rStyle w:val="VerbatimChar"/>
              </w:rPr>
              <w:t xml:space="preserve">public/market_copula.js</w:t>
            </w:r>
          </w:p>
        </w:tc>
        <w:tc>
          <w:tcPr/>
          <w:p>
            <w:pPr>
              <w:pStyle w:val="Compact"/>
            </w:pPr>
            <w:r>
              <w:t xml:space="preserve">Utilidades matemáticas (Cholesky, t-CDF, etc.)</w:t>
            </w:r>
          </w:p>
        </w:tc>
      </w:tr>
      <w:tr>
        <w:tc>
          <w:tcPr/>
          <w:p>
            <w:pPr>
              <w:pStyle w:val="Compact"/>
            </w:pPr>
            <w:r>
              <w:rPr>
                <w:rStyle w:val="VerbatimChar"/>
              </w:rPr>
              <w:t xml:space="preserve">public/market_stats.js</w:t>
            </w:r>
          </w:p>
        </w:tc>
        <w:tc>
          <w:tcPr/>
          <w:p>
            <w:pPr>
              <w:pStyle w:val="Compact"/>
            </w:pPr>
            <w:r>
              <w:t xml:space="preserve">Distribuciones empíricas TINSA (124k obs)</w:t>
            </w:r>
          </w:p>
        </w:tc>
      </w:tr>
      <w:tr>
        <w:tc>
          <w:tcPr/>
          <w:p>
            <w:pPr>
              <w:pStyle w:val="Compact"/>
            </w:pPr>
            <w:r>
              <w:rPr>
                <w:rStyle w:val="VerbatimChar"/>
              </w:rPr>
              <w:t xml:space="preserve">public/simulador-legacy.html</w:t>
            </w:r>
          </w:p>
        </w:tc>
        <w:tc>
          <w:tcPr/>
          <w:p>
            <w:pPr>
              <w:pStyle w:val="Compact"/>
            </w:pPr>
            <w:r>
              <w:t xml:space="preserve">Integración al Monte Carlo del simulador macro</w:t>
            </w:r>
          </w:p>
        </w:tc>
      </w:tr>
      <w:tr>
        <w:tc>
          <w:tcPr/>
          <w:p>
            <w:pPr>
              <w:pStyle w:val="Compact"/>
            </w:pPr>
            <w:r>
              <w:rPr>
                <w:rStyle w:val="VerbatimChar"/>
              </w:rPr>
              <w:t xml:space="preserve">analysis/test_factor_macro.js</w:t>
            </w:r>
          </w:p>
        </w:tc>
        <w:tc>
          <w:tcPr/>
          <w:p>
            <w:pPr>
              <w:pStyle w:val="Compact"/>
            </w:pPr>
            <w:r>
              <w:t xml:space="preserve">Validación: presets producen distribuciones distintas</w:t>
            </w:r>
          </w:p>
        </w:tc>
      </w:tr>
      <w:tr>
        <w:tc>
          <w:tcPr/>
          <w:p>
            <w:pPr>
              <w:pStyle w:val="Compact"/>
            </w:pPr>
            <w:r>
              <w:rPr>
                <w:rStyle w:val="VerbatimChar"/>
              </w:rPr>
              <w:t xml:space="preserve">analysis/test_factor_with_sens.js</w:t>
            </w:r>
          </w:p>
        </w:tc>
        <w:tc>
          <w:tcPr/>
          <w:p>
            <w:pPr>
              <w:pStyle w:val="Compact"/>
            </w:pPr>
            <w:r>
              <w:t xml:space="preserve">Validación: ciclo completo con sensibilidades</w:t>
            </w:r>
          </w:p>
        </w:tc>
      </w:tr>
    </w:tbl>
    <w:bookmarkEnd w:id="86"/>
    <w:bookmarkStart w:id="87" w:name="b.2-comandos-de-reproducción"/>
    <w:p>
      <w:pPr>
        <w:pStyle w:val="Heading2"/>
      </w:pPr>
      <w:r>
        <w:t xml:space="preserve">B.2 Comandos de reproducción</w:t>
      </w:r>
    </w:p>
    <w:p>
      <w:pPr>
        <w:pStyle w:val="SourceCode"/>
      </w:pPr>
      <w:r>
        <w:rPr>
          <w:rStyle w:val="CommentTok"/>
        </w:rPr>
        <w:t xml:space="preserve"># Recalibrar el modelo desde cero</w:t>
      </w:r>
      <w:r>
        <w:br/>
      </w:r>
      <w:r>
        <w:rPr>
          <w:rStyle w:val="BuiltInTok"/>
        </w:rPr>
        <w:t xml:space="preserve">cd</w:t>
      </w:r>
      <w:r>
        <w:rPr>
          <w:rStyle w:val="NormalTok"/>
        </w:rPr>
        <w:t xml:space="preserve"> batucoterra-cabida/</w:t>
      </w:r>
      <w:r>
        <w:br/>
      </w:r>
      <w:r>
        <w:rPr>
          <w:rStyle w:val="ExtensionTok"/>
        </w:rPr>
        <w:t xml:space="preserve">python3</w:t>
      </w:r>
      <w:r>
        <w:rPr>
          <w:rStyle w:val="NormalTok"/>
        </w:rPr>
        <w:t xml:space="preserve"> analysis/build_macro_option_c.py</w:t>
      </w:r>
      <w:r>
        <w:br/>
      </w:r>
      <w:r>
        <w:rPr>
          <w:rStyle w:val="ExtensionTok"/>
        </w:rPr>
        <w:t xml:space="preserve">python3</w:t>
      </w:r>
      <w:r>
        <w:rPr>
          <w:rStyle w:val="NormalTok"/>
        </w:rPr>
        <w:t xml:space="preserve"> analysis/build_macro_c_js.py</w:t>
      </w:r>
      <w:r>
        <w:br/>
      </w:r>
      <w:r>
        <w:br/>
      </w:r>
      <w:r>
        <w:rPr>
          <w:rStyle w:val="CommentTok"/>
        </w:rPr>
        <w:t xml:space="preserve"># Validar que las distribuciones responden a presets</w:t>
      </w:r>
      <w:r>
        <w:br/>
      </w:r>
      <w:r>
        <w:rPr>
          <w:rStyle w:val="ExtensionTok"/>
        </w:rPr>
        <w:t xml:space="preserve">node</w:t>
      </w:r>
      <w:r>
        <w:rPr>
          <w:rStyle w:val="NormalTok"/>
        </w:rPr>
        <w:t xml:space="preserve"> analysis/test_factor_macro.js</w:t>
      </w:r>
      <w:r>
        <w:br/>
      </w:r>
      <w:r>
        <w:rPr>
          <w:rStyle w:val="ExtensionTok"/>
        </w:rPr>
        <w:t xml:space="preserve">node</w:t>
      </w:r>
      <w:r>
        <w:rPr>
          <w:rStyle w:val="NormalTok"/>
        </w:rPr>
        <w:t xml:space="preserve"> analysis/test_factor_with_sens.js</w:t>
      </w:r>
      <w:r>
        <w:br/>
      </w:r>
      <w:r>
        <w:br/>
      </w:r>
      <w:r>
        <w:rPr>
          <w:rStyle w:val="CommentTok"/>
        </w:rPr>
        <w:t xml:space="preserve"># Build del simulador con cambios</w:t>
      </w:r>
      <w:r>
        <w:br/>
      </w:r>
      <w:r>
        <w:rPr>
          <w:rStyle w:val="VariableTok"/>
        </w:rPr>
        <w:t xml:space="preserve">DEPLOY_TARGET</w:t>
      </w:r>
      <w:r>
        <w:rPr>
          <w:rStyle w:val="OperatorTok"/>
        </w:rPr>
        <w:t xml:space="preserve">=</w:t>
      </w:r>
      <w:r>
        <w:rPr>
          <w:rStyle w:val="NormalTok"/>
        </w:rPr>
        <w:t xml:space="preserve">gh-pages </w:t>
      </w:r>
      <w:r>
        <w:rPr>
          <w:rStyle w:val="ExtensionTok"/>
        </w:rPr>
        <w:t xml:space="preserve">npx</w:t>
      </w:r>
      <w:r>
        <w:rPr>
          <w:rStyle w:val="NormalTok"/>
        </w:rPr>
        <w:t xml:space="preserve"> next build </w:t>
      </w:r>
      <w:r>
        <w:rPr>
          <w:rStyle w:val="AttributeTok"/>
        </w:rPr>
        <w:t xml:space="preserve">--turbopack</w:t>
      </w:r>
    </w:p>
    <w:p>
      <w:pPr>
        <w:pStyle w:val="FirstParagraph"/>
      </w:pPr>
      <w:r>
        <w:t xml:space="preserve">Todos los scripts son deterministas; mismo input produce mismo output con seed 42.</w:t>
      </w:r>
    </w:p>
    <w:bookmarkEnd w:id="87"/>
    <w:bookmarkStart w:id="88" w:name="b.3-datos-de-entrada"/>
    <w:p>
      <w:pPr>
        <w:pStyle w:val="Heading2"/>
      </w:pPr>
      <w:r>
        <w:t xml:space="preserve">B.3 Datos de entrada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Origen</w:t>
            </w:r>
          </w:p>
        </w:tc>
      </w:tr>
      <w:tr>
        <w:tc>
          <w:tcPr/>
          <w:p>
            <w:pPr>
              <w:pStyle w:val="Compact"/>
            </w:pPr>
            <w:r>
              <w:rPr>
                <w:rStyle w:val="VerbatimChar"/>
              </w:rPr>
              <w:t xml:space="preserve">analysis/data.csv</w:t>
            </w:r>
          </w:p>
        </w:tc>
        <w:tc>
          <w:tcPr/>
          <w:p>
            <w:pPr>
              <w:pStyle w:val="Compact"/>
            </w:pPr>
            <w:r>
              <w:t xml:space="preserve">Extracto CIDU/TINSA con columnas relevantes (~250k filas)</w:t>
            </w:r>
          </w:p>
        </w:tc>
      </w:tr>
      <w:tr>
        <w:tc>
          <w:tcPr/>
          <w:p>
            <w:pPr>
              <w:pStyle w:val="Compact"/>
            </w:pPr>
            <w:r>
              <w:rPr>
                <w:rStyle w:val="VerbatimChar"/>
              </w:rPr>
              <w:t xml:space="preserve">analysis/macro_raw/imacec.csv</w:t>
            </w:r>
          </w:p>
        </w:tc>
        <w:tc>
          <w:tcPr/>
          <w:p>
            <w:pPr>
              <w:pStyle w:val="Compact"/>
            </w:pPr>
            <w:r>
              <w:t xml:space="preserve">BCCh — IMACEC mensual</w:t>
            </w:r>
          </w:p>
        </w:tc>
      </w:tr>
      <w:tr>
        <w:tc>
          <w:tcPr/>
          <w:p>
            <w:pPr>
              <w:pStyle w:val="Compact"/>
            </w:pPr>
            <w:r>
              <w:rPr>
                <w:rStyle w:val="VerbatimChar"/>
              </w:rPr>
              <w:t xml:space="preserve">analysis/macro_raw/tasa_hipotecaria.csv</w:t>
            </w:r>
          </w:p>
        </w:tc>
        <w:tc>
          <w:tcPr/>
          <w:p>
            <w:pPr>
              <w:pStyle w:val="Compact"/>
            </w:pPr>
            <w:r>
              <w:t xml:space="preserve">BCCh-CMF — Tasa hipotecaria UF</w:t>
            </w:r>
          </w:p>
        </w:tc>
      </w:tr>
      <w:tr>
        <w:tc>
          <w:tcPr/>
          <w:p>
            <w:pPr>
              <w:pStyle w:val="Compact"/>
            </w:pPr>
            <w:r>
              <w:rPr>
                <w:rStyle w:val="VerbatimChar"/>
              </w:rPr>
              <w:t xml:space="preserve">analysis/macro_raw/desempleo.csv</w:t>
            </w:r>
          </w:p>
        </w:tc>
        <w:tc>
          <w:tcPr/>
          <w:p>
            <w:pPr>
              <w:pStyle w:val="Compact"/>
            </w:pPr>
            <w:r>
              <w:t xml:space="preserve">INE — Tasa desempleo nacional</w:t>
            </w:r>
          </w:p>
        </w:tc>
      </w:tr>
      <w:tr>
        <w:tc>
          <w:tcPr/>
          <w:p>
            <w:pPr>
              <w:pStyle w:val="Compact"/>
            </w:pPr>
            <w:r>
              <w:rPr>
                <w:rStyle w:val="VerbatimChar"/>
              </w:rPr>
              <w:t xml:space="preserve">analysis/macro_raw/ipv.csv</w:t>
            </w:r>
          </w:p>
        </w:tc>
        <w:tc>
          <w:tcPr/>
          <w:p>
            <w:pPr>
              <w:pStyle w:val="Compact"/>
            </w:pPr>
            <w:r>
              <w:t xml:space="preserve">BCCh — IPV anual desglosado</w:t>
            </w:r>
          </w:p>
        </w:tc>
      </w:tr>
      <w:tr>
        <w:tc>
          <w:tcPr/>
          <w:p>
            <w:pPr>
              <w:pStyle w:val="Compact"/>
            </w:pPr>
            <w:r>
              <w:rPr>
                <w:rStyle w:val="VerbatimChar"/>
              </w:rPr>
              <w:t xml:space="preserve">analysis/macro_raw/indice_de_construccion_desglos.csv</w:t>
            </w:r>
          </w:p>
        </w:tc>
        <w:tc>
          <w:tcPr/>
          <w:p>
            <w:pPr>
              <w:pStyle w:val="Compact"/>
            </w:pPr>
            <w:r>
              <w:t xml:space="preserve">CChC — ICOI anual</w:t>
            </w:r>
          </w:p>
        </w:tc>
      </w:tr>
    </w:tbl>
    <w:bookmarkEnd w:id="88"/>
    <w:bookmarkEnd w:id="89"/>
    <w:bookmarkStart w:id="90" w:name="anexo-c-referencias-bibliográficas"/>
    <w:p>
      <w:pPr>
        <w:pStyle w:val="Heading1"/>
      </w:pPr>
      <w:r>
        <w:t xml:space="preserve">Anexo C — Referencias bibliográficas</w:t>
      </w:r>
    </w:p>
    <w:p>
      <w:pPr>
        <w:pStyle w:val="Compact"/>
        <w:numPr>
          <w:ilvl w:val="0"/>
          <w:numId w:val="1028"/>
        </w:numPr>
      </w:pPr>
      <w:r>
        <w:t xml:space="preserve">Sklar, A. (1959).</w:t>
      </w:r>
      <w:r>
        <w:t xml:space="preserve"> </w:t>
      </w:r>
      <w:r>
        <w:t xml:space="preserve">“Fonctions de répartition à n dimensions et leurs marges”</w:t>
      </w:r>
      <w:r>
        <w:t xml:space="preserve">.</w:t>
      </w:r>
      <w:r>
        <w:t xml:space="preserve"> </w:t>
      </w:r>
      <w:r>
        <w:rPr>
          <w:i/>
          <w:iCs/>
        </w:rPr>
        <w:t xml:space="preserve">Publications de l’Institut Statistique de l’Université de Paris</w:t>
      </w:r>
      <w:r>
        <w:t xml:space="preserve">, 8: 229-231.</w:t>
      </w:r>
    </w:p>
    <w:p>
      <w:pPr>
        <w:pStyle w:val="Compact"/>
        <w:numPr>
          <w:ilvl w:val="0"/>
          <w:numId w:val="1028"/>
        </w:numPr>
      </w:pPr>
      <w:r>
        <w:t xml:space="preserve">Embrechts, P., Lindskog, F., McNeil, A. (2003).</w:t>
      </w:r>
      <w:r>
        <w:t xml:space="preserve"> </w:t>
      </w:r>
      <w:r>
        <w:t xml:space="preserve">“Modelling Dependence with Copulas and Applications to Risk Management”</w:t>
      </w:r>
      <w:r>
        <w:t xml:space="preserve">.</w:t>
      </w:r>
      <w:r>
        <w:t xml:space="preserve"> </w:t>
      </w:r>
      <w:r>
        <w:rPr>
          <w:i/>
          <w:iCs/>
        </w:rPr>
        <w:t xml:space="preserve">Handbook of Heavy Tailed Distributions in Finance</w:t>
      </w:r>
      <w:r>
        <w:t xml:space="preserve">, Elsevier.</w:t>
      </w:r>
    </w:p>
    <w:p>
      <w:pPr>
        <w:pStyle w:val="Compact"/>
        <w:numPr>
          <w:ilvl w:val="0"/>
          <w:numId w:val="1028"/>
        </w:numPr>
      </w:pPr>
      <w:r>
        <w:t xml:space="preserve">Iman, R. L., Conover, W. J. (1982).</w:t>
      </w:r>
      <w:r>
        <w:t xml:space="preserve"> </w:t>
      </w:r>
      <w:r>
        <w:t xml:space="preserve">“A distribution-free approach to inducing rank correlation among input variables”</w:t>
      </w:r>
      <w:r>
        <w:t xml:space="preserve">.</w:t>
      </w:r>
      <w:r>
        <w:t xml:space="preserve"> </w:t>
      </w:r>
      <w:r>
        <w:rPr>
          <w:i/>
          <w:iCs/>
        </w:rPr>
        <w:t xml:space="preserve">Communications in Statistics - Simulation and Computation</w:t>
      </w:r>
      <w:r>
        <w:t xml:space="preserve">, 11(3): 311-334.</w:t>
      </w:r>
    </w:p>
    <w:p>
      <w:pPr>
        <w:pStyle w:val="Compact"/>
        <w:numPr>
          <w:ilvl w:val="0"/>
          <w:numId w:val="1028"/>
        </w:numPr>
      </w:pPr>
      <w:r>
        <w:t xml:space="preserve">Li, D. X. (2000).</w:t>
      </w:r>
      <w:r>
        <w:t xml:space="preserve"> </w:t>
      </w:r>
      <w:r>
        <w:t xml:space="preserve">“On Default Correlation: A Copula Function Approach”</w:t>
      </w:r>
      <w:r>
        <w:t xml:space="preserve">.</w:t>
      </w:r>
      <w:r>
        <w:t xml:space="preserve"> </w:t>
      </w:r>
      <w:r>
        <w:rPr>
          <w:i/>
          <w:iCs/>
        </w:rPr>
        <w:t xml:space="preserve">Journal of Fixed Income</w:t>
      </w:r>
      <w:r>
        <w:t xml:space="preserve">, 9(4): 43-54.</w:t>
      </w:r>
    </w:p>
    <w:p>
      <w:pPr>
        <w:pStyle w:val="Compact"/>
        <w:numPr>
          <w:ilvl w:val="0"/>
          <w:numId w:val="1028"/>
        </w:numPr>
      </w:pPr>
      <w:r>
        <w:t xml:space="preserve">Demarta, S., McNeil, A. (2005).</w:t>
      </w:r>
      <w:r>
        <w:t xml:space="preserve"> </w:t>
      </w:r>
      <w:r>
        <w:t xml:space="preserve">“The t copula and related copulas”</w:t>
      </w:r>
      <w:r>
        <w:t xml:space="preserve">.</w:t>
      </w:r>
      <w:r>
        <w:t xml:space="preserve"> </w:t>
      </w:r>
      <w:r>
        <w:rPr>
          <w:i/>
          <w:iCs/>
        </w:rPr>
        <w:t xml:space="preserve">International Statistical Review</w:t>
      </w:r>
      <w:r>
        <w:t xml:space="preserve">, 73(1): 111-129.</w:t>
      </w:r>
    </w:p>
    <w:p>
      <w:pPr>
        <w:pStyle w:val="Compact"/>
        <w:numPr>
          <w:ilvl w:val="0"/>
          <w:numId w:val="1028"/>
        </w:numPr>
      </w:pPr>
      <w:r>
        <w:t xml:space="preserve">Banco Central de Chile (2024).</w:t>
      </w:r>
      <w:r>
        <w:t xml:space="preserve"> </w:t>
      </w:r>
      <w:r>
        <w:rPr>
          <w:i/>
          <w:iCs/>
        </w:rPr>
        <w:t xml:space="preserve">Manual del IPV — Metodología del Índice de Precios de Vivienda</w:t>
      </w:r>
      <w:r>
        <w:t xml:space="preserve">.</w:t>
      </w:r>
    </w:p>
    <w:p>
      <w:pPr>
        <w:pStyle w:val="Compact"/>
        <w:numPr>
          <w:ilvl w:val="0"/>
          <w:numId w:val="1028"/>
        </w:numPr>
      </w:pPr>
      <w:r>
        <w:t xml:space="preserve">Cámara Chilena de la Construcción (2024).</w:t>
      </w:r>
      <w:r>
        <w:t xml:space="preserve"> </w:t>
      </w:r>
      <w:r>
        <w:rPr>
          <w:i/>
          <w:iCs/>
        </w:rPr>
        <w:t xml:space="preserve">Boletín del ICE — Índice de Costos de Edificación</w:t>
      </w:r>
      <w:r>
        <w:t xml:space="preserve">.</w:t>
      </w:r>
    </w:p>
    <w:p>
      <w:pPr>
        <w:pStyle w:val="Compact"/>
        <w:numPr>
          <w:ilvl w:val="0"/>
          <w:numId w:val="1028"/>
        </w:numPr>
      </w:pPr>
      <w:r>
        <w:t xml:space="preserve">INE (2024).</w:t>
      </w:r>
      <w:r>
        <w:t xml:space="preserve"> </w:t>
      </w:r>
      <w:r>
        <w:rPr>
          <w:i/>
          <w:iCs/>
        </w:rPr>
        <w:t xml:space="preserve">Encuesta Nacional de Empleo — Metodología NESI</w:t>
      </w:r>
      <w:r>
        <w:t xml:space="preserve">.</w:t>
      </w:r>
    </w:p>
    <w:p>
      <w:pPr>
        <w:pStyle w:val="Compact"/>
        <w:numPr>
          <w:ilvl w:val="0"/>
          <w:numId w:val="1028"/>
        </w:numPr>
      </w:pPr>
      <w:r>
        <w:t xml:space="preserve">Cherubini, U., Luciano, E., Vecchiato, W. (2004).</w:t>
      </w:r>
      <w:r>
        <w:t xml:space="preserve"> </w:t>
      </w:r>
      <w:r>
        <w:rPr>
          <w:i/>
          <w:iCs/>
        </w:rPr>
        <w:t xml:space="preserve">Copula Methods in Finance</w:t>
      </w:r>
      <w:r>
        <w:t xml:space="preserve">. Wiley.</w:t>
      </w:r>
    </w:p>
    <w:p>
      <w:pPr>
        <w:pStyle w:val="Compact"/>
        <w:numPr>
          <w:ilvl w:val="0"/>
          <w:numId w:val="1028"/>
        </w:numPr>
      </w:pPr>
      <w:r>
        <w:t xml:space="preserve">McNeil, A., Frey, R., Embrechts, P. (2015).</w:t>
      </w:r>
      <w:r>
        <w:t xml:space="preserve"> </w:t>
      </w:r>
      <w:r>
        <w:rPr>
          <w:i/>
          <w:iCs/>
        </w:rPr>
        <w:t xml:space="preserve">Quantitative Risk Management: Concepts, Techniques and Tools</w:t>
      </w:r>
      <w:r>
        <w:t xml:space="preserve">. Princeton University Press, 2nd edition.</w:t>
      </w:r>
    </w:p>
    <w:bookmarkEnd w:id="90"/>
    <w:bookmarkStart w:id="94" w:name="anexo-d-validación-numérica-completa"/>
    <w:p>
      <w:pPr>
        <w:pStyle w:val="Heading1"/>
      </w:pPr>
      <w:r>
        <w:t xml:space="preserve">Anexo D — Validación numérica completa</w:t>
      </w:r>
    </w:p>
    <w:bookmarkStart w:id="91" w:name="Xf72d959ddb1179246aaa4dcf6087896ecfa92d5"/>
    <w:p>
      <w:pPr>
        <w:pStyle w:val="Heading2"/>
      </w:pPr>
      <w:r>
        <w:t xml:space="preserve">D.1 Distribuciones macro (winsorized p1-p99)</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Variable</w:t>
            </w:r>
          </w:p>
        </w:tc>
        <w:tc>
          <w:tcPr/>
          <w:p>
            <w:pPr>
              <w:pStyle w:val="Compact"/>
            </w:pPr>
            <w:r>
              <w:t xml:space="preserve">N</w:t>
            </w:r>
          </w:p>
        </w:tc>
        <w:tc>
          <w:tcPr/>
          <w:p>
            <w:pPr>
              <w:pStyle w:val="Compact"/>
            </w:pPr>
            <w:r>
              <w:t xml:space="preserve">Media</w:t>
            </w:r>
          </w:p>
        </w:tc>
        <w:tc>
          <w:tcPr/>
          <w:p>
            <w:pPr>
              <w:pStyle w:val="Compact"/>
            </w:pPr>
            <w:r>
              <w:t xml:space="preserve">DE</w:t>
            </w:r>
          </w:p>
        </w:tc>
        <w:tc>
          <w:tcPr/>
          <w:p>
            <w:pPr>
              <w:pStyle w:val="Compact"/>
            </w:pPr>
            <w:r>
              <w:t xml:space="preserve">p5</w:t>
            </w:r>
          </w:p>
        </w:tc>
        <w:tc>
          <w:tcPr/>
          <w:p>
            <w:pPr>
              <w:pStyle w:val="Compact"/>
            </w:pPr>
            <w:r>
              <w:t xml:space="preserve">p10</w:t>
            </w:r>
          </w:p>
        </w:tc>
        <w:tc>
          <w:tcPr/>
          <w:p>
            <w:pPr>
              <w:pStyle w:val="Compact"/>
            </w:pPr>
            <w:r>
              <w:t xml:space="preserve">p50</w:t>
            </w:r>
          </w:p>
        </w:tc>
        <w:tc>
          <w:tcPr/>
          <w:p>
            <w:pPr>
              <w:pStyle w:val="Compact"/>
            </w:pPr>
            <w:r>
              <w:t xml:space="preserve">p90</w:t>
            </w:r>
          </w:p>
        </w:tc>
        <w:tc>
          <w:tcPr/>
          <w:p>
            <w:pPr>
              <w:pStyle w:val="Compact"/>
            </w:pPr>
            <w:r>
              <w:t xml:space="preserve">p95</w:t>
            </w:r>
          </w:p>
        </w:tc>
      </w:tr>
      <w:tr>
        <w:tc>
          <w:tcPr/>
          <w:p>
            <w:pPr>
              <w:pStyle w:val="Compact"/>
            </w:pPr>
            <w:r>
              <w:t xml:space="preserve">imacec_var_pct</w:t>
            </w:r>
          </w:p>
        </w:tc>
        <w:tc>
          <w:tcPr/>
          <w:p>
            <w:pPr>
              <w:pStyle w:val="Compact"/>
            </w:pPr>
            <w:r>
              <w:t xml:space="preserve">401</w:t>
            </w:r>
          </w:p>
        </w:tc>
        <w:tc>
          <w:tcPr/>
          <w:p>
            <w:pPr>
              <w:pStyle w:val="Compact"/>
            </w:pPr>
            <w:r>
              <w:t xml:space="preserve">2.89</w:t>
            </w:r>
          </w:p>
        </w:tc>
        <w:tc>
          <w:tcPr/>
          <w:p>
            <w:pPr>
              <w:pStyle w:val="Compact"/>
            </w:pPr>
            <w:r>
              <w:t xml:space="preserve">4.48</w:t>
            </w:r>
          </w:p>
        </w:tc>
        <w:tc>
          <w:tcPr/>
          <w:p>
            <w:pPr>
              <w:pStyle w:val="Compact"/>
            </w:pPr>
            <w:r>
              <w:t xml:space="preserve">-3.96</w:t>
            </w:r>
          </w:p>
        </w:tc>
        <w:tc>
          <w:tcPr/>
          <w:p>
            <w:pPr>
              <w:pStyle w:val="Compact"/>
            </w:pPr>
            <w:r>
              <w:t xml:space="preserve">-2.77</w:t>
            </w:r>
          </w:p>
        </w:tc>
        <w:tc>
          <w:tcPr/>
          <w:p>
            <w:pPr>
              <w:pStyle w:val="Compact"/>
            </w:pPr>
            <w:r>
              <w:t xml:space="preserve">2.51</w:t>
            </w:r>
          </w:p>
        </w:tc>
        <w:tc>
          <w:tcPr/>
          <w:p>
            <w:pPr>
              <w:pStyle w:val="Compact"/>
            </w:pPr>
            <w:r>
              <w:t xml:space="preserve">8.77</w:t>
            </w:r>
          </w:p>
        </w:tc>
        <w:tc>
          <w:tcPr/>
          <w:p>
            <w:pPr>
              <w:pStyle w:val="Compact"/>
            </w:pPr>
            <w:r>
              <w:t xml:space="preserve">11.51</w:t>
            </w:r>
          </w:p>
        </w:tc>
      </w:tr>
      <w:tr>
        <w:tc>
          <w:tcPr/>
          <w:p>
            <w:pPr>
              <w:pStyle w:val="Compact"/>
            </w:pPr>
            <w:r>
              <w:t xml:space="preserve">d_tasa_hipo</w:t>
            </w:r>
          </w:p>
        </w:tc>
        <w:tc>
          <w:tcPr/>
          <w:p>
            <w:pPr>
              <w:pStyle w:val="Compact"/>
            </w:pPr>
            <w:r>
              <w:t xml:space="preserve">401</w:t>
            </w:r>
          </w:p>
        </w:tc>
        <w:tc>
          <w:tcPr/>
          <w:p>
            <w:pPr>
              <w:pStyle w:val="Compact"/>
            </w:pPr>
            <w:r>
              <w:t xml:space="preserve">-0.05</w:t>
            </w:r>
          </w:p>
        </w:tc>
        <w:tc>
          <w:tcPr/>
          <w:p>
            <w:pPr>
              <w:pStyle w:val="Compact"/>
            </w:pPr>
            <w:r>
              <w:t xml:space="preserve">0.48</w:t>
            </w:r>
          </w:p>
        </w:tc>
        <w:tc>
          <w:tcPr/>
          <w:p>
            <w:pPr>
              <w:pStyle w:val="Compact"/>
            </w:pPr>
            <w:r>
              <w:t xml:space="preserve">-1.05</w:t>
            </w:r>
          </w:p>
        </w:tc>
        <w:tc>
          <w:tcPr/>
          <w:p>
            <w:pPr>
              <w:pStyle w:val="Compact"/>
            </w:pPr>
            <w:r>
              <w:t xml:space="preserve">-0.85</w:t>
            </w:r>
          </w:p>
        </w:tc>
        <w:tc>
          <w:tcPr/>
          <w:p>
            <w:pPr>
              <w:pStyle w:val="Compact"/>
            </w:pPr>
            <w:r>
              <w:t xml:space="preserve">-0.06</w:t>
            </w:r>
          </w:p>
        </w:tc>
        <w:tc>
          <w:tcPr/>
          <w:p>
            <w:pPr>
              <w:pStyle w:val="Compact"/>
            </w:pPr>
            <w:r>
              <w:t xml:space="preserve">0.77</w:t>
            </w:r>
          </w:p>
        </w:tc>
        <w:tc>
          <w:tcPr/>
          <w:p>
            <w:pPr>
              <w:pStyle w:val="Compact"/>
            </w:pPr>
            <w:r>
              <w:t xml:space="preserve">1.04</w:t>
            </w:r>
          </w:p>
        </w:tc>
      </w:tr>
      <w:tr>
        <w:tc>
          <w:tcPr/>
          <w:p>
            <w:pPr>
              <w:pStyle w:val="Compact"/>
            </w:pPr>
            <w:r>
              <w:t xml:space="preserve">d_desempleo</w:t>
            </w:r>
          </w:p>
        </w:tc>
        <w:tc>
          <w:tcPr/>
          <w:p>
            <w:pPr>
              <w:pStyle w:val="Compact"/>
            </w:pPr>
            <w:r>
              <w:t xml:space="preserve">401</w:t>
            </w:r>
          </w:p>
        </w:tc>
        <w:tc>
          <w:tcPr/>
          <w:p>
            <w:pPr>
              <w:pStyle w:val="Compact"/>
            </w:pPr>
            <w:r>
              <w:t xml:space="preserve">-0.01</w:t>
            </w:r>
          </w:p>
        </w:tc>
        <w:tc>
          <w:tcPr/>
          <w:p>
            <w:pPr>
              <w:pStyle w:val="Compact"/>
            </w:pPr>
            <w:r>
              <w:t xml:space="preserve">0.83</w:t>
            </w:r>
          </w:p>
        </w:tc>
        <w:tc>
          <w:tcPr/>
          <w:p>
            <w:pPr>
              <w:pStyle w:val="Compact"/>
            </w:pPr>
            <w:r>
              <w:t xml:space="preserve">-1.69</w:t>
            </w:r>
          </w:p>
        </w:tc>
        <w:tc>
          <w:tcPr/>
          <w:p>
            <w:pPr>
              <w:pStyle w:val="Compact"/>
            </w:pPr>
            <w:r>
              <w:t xml:space="preserve">-1.30</w:t>
            </w:r>
          </w:p>
        </w:tc>
        <w:tc>
          <w:tcPr/>
          <w:p>
            <w:pPr>
              <w:pStyle w:val="Compact"/>
            </w:pPr>
            <w:r>
              <w:t xml:space="preserve">0.00</w:t>
            </w:r>
          </w:p>
        </w:tc>
        <w:tc>
          <w:tcPr/>
          <w:p>
            <w:pPr>
              <w:pStyle w:val="Compact"/>
            </w:pPr>
            <w:r>
              <w:t xml:space="preserve">0.77</w:t>
            </w:r>
          </w:p>
        </w:tc>
        <w:tc>
          <w:tcPr/>
          <w:p>
            <w:pPr>
              <w:pStyle w:val="Compact"/>
            </w:pPr>
            <w:r>
              <w:t xml:space="preserve">1.66</w:t>
            </w:r>
          </w:p>
        </w:tc>
      </w:tr>
      <w:tr>
        <w:tc>
          <w:tcPr/>
          <w:p>
            <w:pPr>
              <w:pStyle w:val="Compact"/>
            </w:pPr>
            <w:r>
              <w:t xml:space="preserve">ipv_general_yoy</w:t>
            </w:r>
          </w:p>
        </w:tc>
        <w:tc>
          <w:tcPr/>
          <w:p>
            <w:pPr>
              <w:pStyle w:val="Compact"/>
            </w:pPr>
            <w:r>
              <w:t xml:space="preserve">401</w:t>
            </w:r>
          </w:p>
        </w:tc>
        <w:tc>
          <w:tcPr/>
          <w:p>
            <w:pPr>
              <w:pStyle w:val="Compact"/>
            </w:pPr>
            <w:r>
              <w:t xml:space="preserve">2.16</w:t>
            </w:r>
          </w:p>
        </w:tc>
        <w:tc>
          <w:tcPr/>
          <w:p>
            <w:pPr>
              <w:pStyle w:val="Compact"/>
            </w:pPr>
            <w:r>
              <w:t xml:space="preserve">2.14</w:t>
            </w:r>
          </w:p>
        </w:tc>
        <w:tc>
          <w:tcPr/>
          <w:p>
            <w:pPr>
              <w:pStyle w:val="Compact"/>
            </w:pPr>
            <w:r>
              <w:t xml:space="preserve">-1.42</w:t>
            </w:r>
          </w:p>
        </w:tc>
        <w:tc>
          <w:tcPr/>
          <w:p>
            <w:pPr>
              <w:pStyle w:val="Compact"/>
            </w:pPr>
            <w:r>
              <w:t xml:space="preserve">-1.06</w:t>
            </w:r>
          </w:p>
        </w:tc>
        <w:tc>
          <w:tcPr/>
          <w:p>
            <w:pPr>
              <w:pStyle w:val="Compact"/>
            </w:pPr>
            <w:r>
              <w:t xml:space="preserve">1.75</w:t>
            </w:r>
          </w:p>
        </w:tc>
        <w:tc>
          <w:tcPr/>
          <w:p>
            <w:pPr>
              <w:pStyle w:val="Compact"/>
            </w:pPr>
            <w:r>
              <w:t xml:space="preserve">7.50</w:t>
            </w:r>
          </w:p>
        </w:tc>
        <w:tc>
          <w:tcPr/>
          <w:p>
            <w:pPr>
              <w:pStyle w:val="Compact"/>
            </w:pPr>
            <w:r>
              <w:t xml:space="preserve">8.85</w:t>
            </w:r>
          </w:p>
        </w:tc>
      </w:tr>
      <w:tr>
        <w:tc>
          <w:tcPr/>
          <w:p>
            <w:pPr>
              <w:pStyle w:val="Compact"/>
            </w:pPr>
            <w:r>
              <w:t xml:space="preserve">ipv_casas_nuevas_yoy</w:t>
            </w:r>
          </w:p>
        </w:tc>
        <w:tc>
          <w:tcPr/>
          <w:p>
            <w:pPr>
              <w:pStyle w:val="Compact"/>
            </w:pPr>
            <w:r>
              <w:t xml:space="preserve">401</w:t>
            </w:r>
          </w:p>
        </w:tc>
        <w:tc>
          <w:tcPr/>
          <w:p>
            <w:pPr>
              <w:pStyle w:val="Compact"/>
            </w:pPr>
            <w:r>
              <w:t xml:space="preserve">2.40</w:t>
            </w:r>
          </w:p>
        </w:tc>
        <w:tc>
          <w:tcPr/>
          <w:p>
            <w:pPr>
              <w:pStyle w:val="Compact"/>
            </w:pPr>
            <w:r>
              <w:t xml:space="preserve">2.60</w:t>
            </w:r>
          </w:p>
        </w:tc>
        <w:tc>
          <w:tcPr/>
          <w:p>
            <w:pPr>
              <w:pStyle w:val="Compact"/>
            </w:pPr>
            <w:r>
              <w:t xml:space="preserve">-0.61</w:t>
            </w:r>
          </w:p>
        </w:tc>
        <w:tc>
          <w:tcPr/>
          <w:p>
            <w:pPr>
              <w:pStyle w:val="Compact"/>
            </w:pPr>
            <w:r>
              <w:t xml:space="preserve">0.00</w:t>
            </w:r>
          </w:p>
        </w:tc>
        <w:tc>
          <w:tcPr/>
          <w:p>
            <w:pPr>
              <w:pStyle w:val="Compact"/>
            </w:pPr>
            <w:r>
              <w:t xml:space="preserve">1.40</w:t>
            </w:r>
          </w:p>
        </w:tc>
        <w:tc>
          <w:tcPr/>
          <w:p>
            <w:pPr>
              <w:pStyle w:val="Compact"/>
            </w:pPr>
            <w:r>
              <w:t xml:space="preserve">8.19</w:t>
            </w:r>
          </w:p>
        </w:tc>
        <w:tc>
          <w:tcPr/>
          <w:p>
            <w:pPr>
              <w:pStyle w:val="Compact"/>
            </w:pPr>
            <w:r>
              <w:t xml:space="preserve">9.97</w:t>
            </w:r>
          </w:p>
        </w:tc>
      </w:tr>
      <w:tr>
        <w:tc>
          <w:tcPr/>
          <w:p>
            <w:pPr>
              <w:pStyle w:val="Compact"/>
            </w:pPr>
            <w:r>
              <w:t xml:space="preserve">ipv_deptos_nuevos_yoy</w:t>
            </w:r>
          </w:p>
        </w:tc>
        <w:tc>
          <w:tcPr/>
          <w:p>
            <w:pPr>
              <w:pStyle w:val="Compact"/>
            </w:pPr>
            <w:r>
              <w:t xml:space="preserve">401</w:t>
            </w:r>
          </w:p>
        </w:tc>
        <w:tc>
          <w:tcPr/>
          <w:p>
            <w:pPr>
              <w:pStyle w:val="Compact"/>
            </w:pPr>
            <w:r>
              <w:t xml:space="preserve">1.87</w:t>
            </w:r>
          </w:p>
        </w:tc>
        <w:tc>
          <w:tcPr/>
          <w:p>
            <w:pPr>
              <w:pStyle w:val="Compact"/>
            </w:pPr>
            <w:r>
              <w:t xml:space="preserve">1.65</w:t>
            </w:r>
          </w:p>
        </w:tc>
        <w:tc>
          <w:tcPr/>
          <w:p>
            <w:pPr>
              <w:pStyle w:val="Compact"/>
            </w:pPr>
            <w:r>
              <w:t xml:space="preserve">-0.43</w:t>
            </w:r>
          </w:p>
        </w:tc>
        <w:tc>
          <w:tcPr/>
          <w:p>
            <w:pPr>
              <w:pStyle w:val="Compact"/>
            </w:pPr>
            <w:r>
              <w:t xml:space="preserve">-0.14</w:t>
            </w:r>
          </w:p>
        </w:tc>
        <w:tc>
          <w:tcPr/>
          <w:p>
            <w:pPr>
              <w:pStyle w:val="Compact"/>
            </w:pPr>
            <w:r>
              <w:t xml:space="preserve">1.59</w:t>
            </w:r>
          </w:p>
        </w:tc>
        <w:tc>
          <w:tcPr/>
          <w:p>
            <w:pPr>
              <w:pStyle w:val="Compact"/>
            </w:pPr>
            <w:r>
              <w:t xml:space="preserve">5.35</w:t>
            </w:r>
          </w:p>
        </w:tc>
        <w:tc>
          <w:tcPr/>
          <w:p>
            <w:pPr>
              <w:pStyle w:val="Compact"/>
            </w:pPr>
            <w:r>
              <w:t xml:space="preserve">6.21</w:t>
            </w:r>
          </w:p>
        </w:tc>
      </w:tr>
      <w:tr>
        <w:tc>
          <w:tcPr/>
          <w:p>
            <w:pPr>
              <w:pStyle w:val="Compact"/>
            </w:pPr>
            <w:r>
              <w:t xml:space="preserve">icoi_yoy</w:t>
            </w:r>
          </w:p>
        </w:tc>
        <w:tc>
          <w:tcPr/>
          <w:p>
            <w:pPr>
              <w:pStyle w:val="Compact"/>
            </w:pPr>
            <w:r>
              <w:t xml:space="preserve">401</w:t>
            </w:r>
          </w:p>
        </w:tc>
        <w:tc>
          <w:tcPr/>
          <w:p>
            <w:pPr>
              <w:pStyle w:val="Compact"/>
            </w:pPr>
            <w:r>
              <w:t xml:space="preserve">2.47</w:t>
            </w:r>
          </w:p>
        </w:tc>
        <w:tc>
          <w:tcPr/>
          <w:p>
            <w:pPr>
              <w:pStyle w:val="Compact"/>
            </w:pPr>
            <w:r>
              <w:t xml:space="preserve">11.53</w:t>
            </w:r>
          </w:p>
        </w:tc>
        <w:tc>
          <w:tcPr/>
          <w:p>
            <w:pPr>
              <w:pStyle w:val="Compact"/>
            </w:pPr>
            <w:r>
              <w:t xml:space="preserve">-16.44</w:t>
            </w:r>
          </w:p>
        </w:tc>
        <w:tc>
          <w:tcPr/>
          <w:p>
            <w:pPr>
              <w:pStyle w:val="Compact"/>
            </w:pPr>
            <w:r>
              <w:t xml:space="preserve">-13.23</w:t>
            </w:r>
          </w:p>
        </w:tc>
        <w:tc>
          <w:tcPr/>
          <w:p>
            <w:pPr>
              <w:pStyle w:val="Compact"/>
            </w:pPr>
            <w:r>
              <w:t xml:space="preserve">0.80</w:t>
            </w:r>
          </w:p>
        </w:tc>
        <w:tc>
          <w:tcPr/>
          <w:p>
            <w:pPr>
              <w:pStyle w:val="Compact"/>
            </w:pPr>
            <w:r>
              <w:t xml:space="preserve">25.24</w:t>
            </w:r>
          </w:p>
        </w:tc>
        <w:tc>
          <w:tcPr/>
          <w:p>
            <w:pPr>
              <w:pStyle w:val="Compact"/>
            </w:pPr>
            <w:r>
              <w:t xml:space="preserve">32.92</w:t>
            </w:r>
          </w:p>
        </w:tc>
      </w:tr>
    </w:tbl>
    <w:bookmarkEnd w:id="91"/>
    <w:bookmarkStart w:id="92" w:name="Xce461a7e2fa4867560257a620667ed2b4acbc4a"/>
    <w:p>
      <w:pPr>
        <w:pStyle w:val="Heading2"/>
      </w:pPr>
      <w:r>
        <w:t xml:space="preserve">D.2 Presets históricos — valores de las macros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base_esperado</w:t>
            </w:r>
          </w:p>
        </w:tc>
        <w:tc>
          <w:tcPr/>
          <w:p>
            <w:pPr>
              <w:pStyle w:val="Compact"/>
            </w:pPr>
            <w:r>
              <w:t xml:space="preserve">subprime_2009</w:t>
            </w:r>
          </w:p>
        </w:tc>
        <w:tc>
          <w:tcPr/>
          <w:p>
            <w:pPr>
              <w:pStyle w:val="Compact"/>
            </w:pPr>
            <w:r>
              <w:t xml:space="preserve">covid_2019_2020</w:t>
            </w:r>
          </w:p>
        </w:tc>
        <w:tc>
          <w:tcPr/>
          <w:p>
            <w:pPr>
              <w:pStyle w:val="Compact"/>
            </w:pPr>
            <w:r>
              <w:t xml:space="preserve">boom_2021</w:t>
            </w:r>
          </w:p>
        </w:tc>
        <w:tc>
          <w:tcPr/>
          <w:p>
            <w:pPr>
              <w:pStyle w:val="Compact"/>
            </w:pPr>
            <w:r>
              <w:t xml:space="preserve">slowdown_2023</w:t>
            </w:r>
          </w:p>
        </w:tc>
      </w:tr>
      <w:tr>
        <w:tc>
          <w:tcPr/>
          <w:p>
            <w:pPr>
              <w:pStyle w:val="Compact"/>
            </w:pPr>
            <w:r>
              <w:t xml:space="preserve">imacec_var_pct</w:t>
            </w:r>
          </w:p>
        </w:tc>
        <w:tc>
          <w:tcPr/>
          <w:p>
            <w:pPr>
              <w:pStyle w:val="Compact"/>
            </w:pPr>
            <w:r>
              <w:t xml:space="preserve">+2.51%</w:t>
            </w:r>
          </w:p>
        </w:tc>
        <w:tc>
          <w:tcPr/>
          <w:p>
            <w:pPr>
              <w:pStyle w:val="Compact"/>
            </w:pPr>
            <w:r>
              <w:t xml:space="preserve">-1.13%</w:t>
            </w:r>
          </w:p>
        </w:tc>
        <w:tc>
          <w:tcPr/>
          <w:p>
            <w:pPr>
              <w:pStyle w:val="Compact"/>
            </w:pPr>
            <w:r>
              <w:t xml:space="preserve">-6.83%</w:t>
            </w:r>
          </w:p>
        </w:tc>
        <w:tc>
          <w:tcPr/>
          <w:p>
            <w:pPr>
              <w:pStyle w:val="Compact"/>
            </w:pPr>
            <w:r>
              <w:t xml:space="preserve">+11.70%</w:t>
            </w:r>
          </w:p>
        </w:tc>
        <w:tc>
          <w:tcPr/>
          <w:p>
            <w:pPr>
              <w:pStyle w:val="Compact"/>
            </w:pPr>
            <w:r>
              <w:t xml:space="preserve">+0.70%</w:t>
            </w:r>
          </w:p>
        </w:tc>
      </w:tr>
      <w:tr>
        <w:tc>
          <w:tcPr/>
          <w:p>
            <w:pPr>
              <w:pStyle w:val="Compact"/>
            </w:pPr>
            <w:r>
              <w:t xml:space="preserve">d_tasa_hipo</w:t>
            </w:r>
          </w:p>
        </w:tc>
        <w:tc>
          <w:tcPr/>
          <w:p>
            <w:pPr>
              <w:pStyle w:val="Compact"/>
            </w:pPr>
            <w:r>
              <w:t xml:space="preserve">-0.06pp</w:t>
            </w:r>
          </w:p>
        </w:tc>
        <w:tc>
          <w:tcPr/>
          <w:p>
            <w:pPr>
              <w:pStyle w:val="Compact"/>
            </w:pPr>
            <w:r>
              <w:t xml:space="preserve">-0.27pp</w:t>
            </w:r>
          </w:p>
        </w:tc>
        <w:tc>
          <w:tcPr/>
          <w:p>
            <w:pPr>
              <w:pStyle w:val="Compact"/>
            </w:pPr>
            <w:r>
              <w:t xml:space="preserve">+0.03pp</w:t>
            </w:r>
          </w:p>
        </w:tc>
        <w:tc>
          <w:tcPr/>
          <w:p>
            <w:pPr>
              <w:pStyle w:val="Compact"/>
            </w:pPr>
            <w:r>
              <w:t xml:space="preserve">+0.48pp</w:t>
            </w:r>
          </w:p>
        </w:tc>
        <w:tc>
          <w:tcPr/>
          <w:p>
            <w:pPr>
              <w:pStyle w:val="Compact"/>
            </w:pPr>
            <w:r>
              <w:t xml:space="preserve">+0.12pp</w:t>
            </w:r>
          </w:p>
        </w:tc>
      </w:tr>
      <w:tr>
        <w:tc>
          <w:tcPr/>
          <w:p>
            <w:pPr>
              <w:pStyle w:val="Compact"/>
            </w:pPr>
            <w:r>
              <w:t xml:space="preserve">d_desempleo</w:t>
            </w:r>
          </w:p>
        </w:tc>
        <w:tc>
          <w:tcPr/>
          <w:p>
            <w:pPr>
              <w:pStyle w:val="Compact"/>
            </w:pPr>
            <w:r>
              <w:t xml:space="preserve">+0.00pp</w:t>
            </w:r>
          </w:p>
        </w:tc>
        <w:tc>
          <w:tcPr/>
          <w:p>
            <w:pPr>
              <w:pStyle w:val="Compact"/>
            </w:pPr>
            <w:r>
              <w:t xml:space="preserve">n/a</w:t>
            </w:r>
          </w:p>
        </w:tc>
        <w:tc>
          <w:tcPr/>
          <w:p>
            <w:pPr>
              <w:pStyle w:val="Compact"/>
            </w:pPr>
            <w:r>
              <w:t xml:space="preserve">+2.22pp</w:t>
            </w:r>
          </w:p>
        </w:tc>
        <w:tc>
          <w:tcPr/>
          <w:p>
            <w:pPr>
              <w:pStyle w:val="Compact"/>
            </w:pPr>
            <w:r>
              <w:t xml:space="preserve">-1.87pp</w:t>
            </w:r>
          </w:p>
        </w:tc>
        <w:tc>
          <w:tcPr/>
          <w:p>
            <w:pPr>
              <w:pStyle w:val="Compact"/>
            </w:pPr>
            <w:r>
              <w:t xml:space="preserve">+0.43pp</w:t>
            </w:r>
          </w:p>
        </w:tc>
      </w:tr>
      <w:tr>
        <w:tc>
          <w:tcPr/>
          <w:p>
            <w:pPr>
              <w:pStyle w:val="Compact"/>
            </w:pPr>
            <w:r>
              <w:t xml:space="preserve">ipv_general_yoy</w:t>
            </w:r>
          </w:p>
        </w:tc>
        <w:tc>
          <w:tcPr/>
          <w:p>
            <w:pPr>
              <w:pStyle w:val="Compact"/>
            </w:pPr>
            <w:r>
              <w:t xml:space="preserve">+1.75%</w:t>
            </w:r>
          </w:p>
        </w:tc>
        <w:tc>
          <w:tcPr/>
          <w:p>
            <w:pPr>
              <w:pStyle w:val="Compact"/>
            </w:pPr>
            <w:r>
              <w:t xml:space="preserve">n/a</w:t>
            </w:r>
          </w:p>
        </w:tc>
        <w:tc>
          <w:tcPr/>
          <w:p>
            <w:pPr>
              <w:pStyle w:val="Compact"/>
            </w:pPr>
            <w:r>
              <w:t xml:space="preserve">+2.22%</w:t>
            </w:r>
          </w:p>
        </w:tc>
        <w:tc>
          <w:tcPr/>
          <w:p>
            <w:pPr>
              <w:pStyle w:val="Compact"/>
            </w:pPr>
            <w:r>
              <w:t xml:space="preserve">+1.67%</w:t>
            </w:r>
          </w:p>
        </w:tc>
        <w:tc>
          <w:tcPr/>
          <w:p>
            <w:pPr>
              <w:pStyle w:val="Compact"/>
            </w:pPr>
            <w:r>
              <w:t xml:space="preserve">+0.92%</w:t>
            </w:r>
          </w:p>
        </w:tc>
      </w:tr>
      <w:tr>
        <w:tc>
          <w:tcPr/>
          <w:p>
            <w:pPr>
              <w:pStyle w:val="Compact"/>
            </w:pPr>
            <w:r>
              <w:t xml:space="preserve">ipv_casas_nuevas_yoy</w:t>
            </w:r>
          </w:p>
        </w:tc>
        <w:tc>
          <w:tcPr/>
          <w:p>
            <w:pPr>
              <w:pStyle w:val="Compact"/>
            </w:pPr>
            <w:r>
              <w:t xml:space="preserve">+1.40%</w:t>
            </w:r>
          </w:p>
        </w:tc>
        <w:tc>
          <w:tcPr/>
          <w:p>
            <w:pPr>
              <w:pStyle w:val="Compact"/>
            </w:pPr>
            <w:r>
              <w:t xml:space="preserve">+2.27%</w:t>
            </w:r>
          </w:p>
        </w:tc>
        <w:tc>
          <w:tcPr/>
          <w:p>
            <w:pPr>
              <w:pStyle w:val="Compact"/>
            </w:pPr>
            <w:r>
              <w:t xml:space="preserve">+2.64%</w:t>
            </w:r>
          </w:p>
        </w:tc>
        <w:tc>
          <w:tcPr/>
          <w:p>
            <w:pPr>
              <w:pStyle w:val="Compact"/>
            </w:pPr>
            <w:r>
              <w:t xml:space="preserve">+1.88%</w:t>
            </w:r>
          </w:p>
        </w:tc>
        <w:tc>
          <w:tcPr/>
          <w:p>
            <w:pPr>
              <w:pStyle w:val="Compact"/>
            </w:pPr>
            <w:r>
              <w:t xml:space="preserve">+0.00%</w:t>
            </w:r>
          </w:p>
        </w:tc>
      </w:tr>
      <w:tr>
        <w:tc>
          <w:tcPr/>
          <w:p>
            <w:pPr>
              <w:pStyle w:val="Compact"/>
            </w:pPr>
            <w:r>
              <w:t xml:space="preserve">ipv_deptos_nuevos_yoy</w:t>
            </w:r>
          </w:p>
        </w:tc>
        <w:tc>
          <w:tcPr/>
          <w:p>
            <w:pPr>
              <w:pStyle w:val="Compact"/>
            </w:pPr>
            <w:r>
              <w:t xml:space="preserve">+1.59%</w:t>
            </w:r>
          </w:p>
        </w:tc>
        <w:tc>
          <w:tcPr/>
          <w:p>
            <w:pPr>
              <w:pStyle w:val="Compact"/>
            </w:pPr>
            <w:r>
              <w:t xml:space="preserve">-0.24%</w:t>
            </w:r>
          </w:p>
        </w:tc>
        <w:tc>
          <w:tcPr/>
          <w:p>
            <w:pPr>
              <w:pStyle w:val="Compact"/>
            </w:pPr>
            <w:r>
              <w:t xml:space="preserve">+2.22%</w:t>
            </w:r>
          </w:p>
        </w:tc>
        <w:tc>
          <w:tcPr/>
          <w:p>
            <w:pPr>
              <w:pStyle w:val="Compact"/>
            </w:pPr>
            <w:r>
              <w:t xml:space="preserve">+1.67%</w:t>
            </w:r>
          </w:p>
        </w:tc>
        <w:tc>
          <w:tcPr/>
          <w:p>
            <w:pPr>
              <w:pStyle w:val="Compact"/>
            </w:pPr>
            <w:r>
              <w:t xml:space="preserve">+0.92%</w:t>
            </w:r>
          </w:p>
        </w:tc>
      </w:tr>
      <w:tr>
        <w:tc>
          <w:tcPr/>
          <w:p>
            <w:pPr>
              <w:pStyle w:val="Compact"/>
            </w:pPr>
            <w:r>
              <w:t xml:space="preserve">icoi_yoy</w:t>
            </w:r>
          </w:p>
        </w:tc>
        <w:tc>
          <w:tcPr/>
          <w:p>
            <w:pPr>
              <w:pStyle w:val="Compact"/>
            </w:pPr>
            <w:r>
              <w:t xml:space="preserve">+0.80%</w:t>
            </w:r>
          </w:p>
        </w:tc>
        <w:tc>
          <w:tcPr/>
          <w:p>
            <w:pPr>
              <w:pStyle w:val="Compact"/>
            </w:pPr>
            <w:r>
              <w:t xml:space="preserve">n/a</w:t>
            </w:r>
          </w:p>
        </w:tc>
        <w:tc>
          <w:tcPr/>
          <w:p>
            <w:pPr>
              <w:pStyle w:val="Compact"/>
            </w:pPr>
            <w:r>
              <w:t xml:space="preserve">+5.65%</w:t>
            </w:r>
          </w:p>
        </w:tc>
        <w:tc>
          <w:tcPr/>
          <w:p>
            <w:pPr>
              <w:pStyle w:val="Compact"/>
            </w:pPr>
            <w:r>
              <w:t xml:space="preserve">+1.19%</w:t>
            </w:r>
          </w:p>
        </w:tc>
        <w:tc>
          <w:tcPr/>
          <w:p>
            <w:pPr>
              <w:pStyle w:val="Compact"/>
            </w:pPr>
            <w:r>
              <w:t xml:space="preserve">-16.44%</w:t>
            </w:r>
          </w:p>
        </w:tc>
      </w:tr>
    </w:tbl>
    <w:p>
      <w:pPr>
        <w:pStyle w:val="BodyText"/>
      </w:pPr>
      <w:r>
        <w:t xml:space="preserve">Los valores n/a corresponden a períodos pre-2010 donde algunas series no estaban disponibles. Para el preset subprime_2009 se usa el valor histórico parcial.</w:t>
      </w:r>
    </w:p>
    <w:bookmarkEnd w:id="92"/>
    <w:bookmarkStart w:id="93" w:name="d.3-resultados-de-validación-post-fix"/>
    <w:p>
      <w:pPr>
        <w:pStyle w:val="Heading2"/>
      </w:pPr>
      <w:r>
        <w:t xml:space="preserve">D.3 Resultados de validación post-fix</w:t>
      </w:r>
    </w:p>
    <w:p>
      <w:pPr>
        <w:pStyle w:val="FirstParagraph"/>
      </w:pPr>
      <w:r>
        <w:t xml:space="preserve">Test ejecutado:</w:t>
      </w:r>
      <w:r>
        <w:t xml:space="preserve"> </w:t>
      </w:r>
      <w:r>
        <w:rPr>
          <w:rStyle w:val="VerbatimChar"/>
        </w:rPr>
        <w:t xml:space="preserve">node analysis/test_factor_with_sens.js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Familia: edif_4p, baseline incidencia 14.0%</w:t>
            </w:r>
          </w:p>
        </w:tc>
        <w:tc>
          <w:tcPr/>
          <w:p>
            <w:pPr>
              <w:pStyle w:val="Compact"/>
            </w:pPr>
            <w:r>
              <w:t xml:space="preserve">base</w:t>
            </w:r>
          </w:p>
        </w:tc>
        <w:tc>
          <w:tcPr/>
          <w:p>
            <w:pPr>
              <w:pStyle w:val="Compact"/>
            </w:pPr>
            <w:r>
              <w:t xml:space="preserve">subprime</w:t>
            </w:r>
          </w:p>
        </w:tc>
        <w:tc>
          <w:tcPr/>
          <w:p>
            <w:pPr>
              <w:pStyle w:val="Compact"/>
            </w:pPr>
            <w:r>
              <w:t xml:space="preserve">covid</w:t>
            </w:r>
          </w:p>
        </w:tc>
        <w:tc>
          <w:tcPr/>
          <w:p>
            <w:pPr>
              <w:pStyle w:val="Compact"/>
            </w:pPr>
            <w:r>
              <w:t xml:space="preserve">boom</w:t>
            </w:r>
          </w:p>
        </w:tc>
        <w:tc>
          <w:tcPr/>
          <w:p>
            <w:pPr>
              <w:pStyle w:val="Compact"/>
            </w:pPr>
            <w:r>
              <w:t xml:space="preserve">slowdown</w:t>
            </w:r>
          </w:p>
        </w:tc>
      </w:tr>
      <w:tr>
        <w:tc>
          <w:tcPr/>
          <w:p>
            <w:pPr>
              <w:pStyle w:val="Compact"/>
            </w:pPr>
            <w:r>
              <w:t xml:space="preserve">Incidencia mean</w:t>
            </w:r>
          </w:p>
        </w:tc>
        <w:tc>
          <w:tcPr/>
          <w:p>
            <w:pPr>
              <w:pStyle w:val="Compact"/>
            </w:pPr>
            <w:r>
              <w:t xml:space="preserve">15.07%</w:t>
            </w:r>
          </w:p>
        </w:tc>
        <w:tc>
          <w:tcPr/>
          <w:p>
            <w:pPr>
              <w:pStyle w:val="Compact"/>
            </w:pPr>
            <w:r>
              <w:t xml:space="preserve">13.58%</w:t>
            </w:r>
          </w:p>
        </w:tc>
        <w:tc>
          <w:tcPr/>
          <w:p>
            <w:pPr>
              <w:pStyle w:val="Compact"/>
            </w:pPr>
            <w:r>
              <w:t xml:space="preserve">13.02%</w:t>
            </w:r>
          </w:p>
        </w:tc>
        <w:tc>
          <w:tcPr/>
          <w:p>
            <w:pPr>
              <w:pStyle w:val="Compact"/>
            </w:pPr>
            <w:r>
              <w:t xml:space="preserve">14.71%</w:t>
            </w:r>
          </w:p>
        </w:tc>
        <w:tc>
          <w:tcPr/>
          <w:p>
            <w:pPr>
              <w:pStyle w:val="Compact"/>
            </w:pPr>
            <w:r>
              <w:t xml:space="preserve">22.45%</w:t>
            </w:r>
          </w:p>
        </w:tc>
      </w:tr>
      <w:tr>
        <w:tc>
          <w:tcPr/>
          <w:p>
            <w:pPr>
              <w:pStyle w:val="Compact"/>
            </w:pPr>
            <w:r>
              <w:t xml:space="preserve">Incidencia P5</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6.10%</w:t>
            </w:r>
          </w:p>
        </w:tc>
      </w:tr>
      <w:tr>
        <w:tc>
          <w:tcPr/>
          <w:p>
            <w:pPr>
              <w:pStyle w:val="Compact"/>
            </w:pPr>
            <w:r>
              <w:t xml:space="preserve">Incidencia P95</w:t>
            </w:r>
          </w:p>
        </w:tc>
        <w:tc>
          <w:tcPr/>
          <w:p>
            <w:pPr>
              <w:pStyle w:val="Compact"/>
            </w:pPr>
            <w:r>
              <w:t xml:space="preserve">29.76%</w:t>
            </w:r>
          </w:p>
        </w:tc>
        <w:tc>
          <w:tcPr/>
          <w:p>
            <w:pPr>
              <w:pStyle w:val="Compact"/>
            </w:pPr>
            <w:r>
              <w:t xml:space="preserve">28.10%</w:t>
            </w:r>
          </w:p>
        </w:tc>
        <w:tc>
          <w:tcPr/>
          <w:p>
            <w:pPr>
              <w:pStyle w:val="Compact"/>
            </w:pPr>
            <w:r>
              <w:t xml:space="preserve">27.49%</w:t>
            </w:r>
          </w:p>
        </w:tc>
        <w:tc>
          <w:tcPr/>
          <w:p>
            <w:pPr>
              <w:pStyle w:val="Compact"/>
            </w:pPr>
            <w:r>
              <w:t xml:space="preserve">29.36%</w:t>
            </w:r>
          </w:p>
        </w:tc>
        <w:tc>
          <w:tcPr/>
          <w:p>
            <w:pPr>
              <w:pStyle w:val="Compact"/>
            </w:pPr>
            <w:r>
              <w:t xml:space="preserve">37.38%</w:t>
            </w:r>
          </w:p>
        </w:tc>
      </w:tr>
      <w:tr>
        <w:tc>
          <w:tcPr/>
          <w:p>
            <w:pPr>
              <w:pStyle w:val="Compact"/>
            </w:pPr>
            <w:r>
              <w:t xml:space="preserve">Δ vs base (mean)</w:t>
            </w:r>
          </w:p>
        </w:tc>
        <w:tc>
          <w:tcPr/>
          <w:p>
            <w:pPr>
              <w:pStyle w:val="Compact"/>
            </w:pPr>
            <w:r>
              <w:t xml:space="preserve">–</w:t>
            </w:r>
          </w:p>
        </w:tc>
        <w:tc>
          <w:tcPr/>
          <w:p>
            <w:pPr>
              <w:pStyle w:val="Compact"/>
            </w:pPr>
            <w:r>
              <w:t xml:space="preserve">-1.49pp</w:t>
            </w:r>
          </w:p>
        </w:tc>
        <w:tc>
          <w:tcPr/>
          <w:p>
            <w:pPr>
              <w:pStyle w:val="Compact"/>
            </w:pPr>
            <w:r>
              <w:t xml:space="preserve">-2.05pp</w:t>
            </w:r>
          </w:p>
        </w:tc>
        <w:tc>
          <w:tcPr/>
          <w:p>
            <w:pPr>
              <w:pStyle w:val="Compact"/>
            </w:pPr>
            <w:r>
              <w:t xml:space="preserve">-0.36pp</w:t>
            </w:r>
          </w:p>
        </w:tc>
        <w:tc>
          <w:tcPr/>
          <w:p>
            <w:pPr>
              <w:pStyle w:val="Compact"/>
            </w:pPr>
            <w:r>
              <w:t xml:space="preserve">+7.38pp</w:t>
            </w:r>
          </w:p>
        </w:tc>
      </w:tr>
    </w:tbl>
    <w:p>
      <w:pPr>
        <w:pStyle w:val="BodyText"/>
      </w:pPr>
      <w:r>
        <w:t xml:space="preserve">Los signos económicos son robustos:</w:t>
      </w:r>
      <w:r>
        <w:t xml:space="preserve"> </w:t>
      </w:r>
      <w:r>
        <w:t xml:space="preserve">- Slowdown 2023: ICOI cayó −16% → margen mejora → incidencia sube +7pp.</w:t>
      </w:r>
      <w:r>
        <w:t xml:space="preserve"> </w:t>
      </w:r>
      <w:r>
        <w:t xml:space="preserve">- COVID 2020: ICOI subió +5.7% → margen comprime → incidencia cae −2pp.</w:t>
      </w:r>
    </w:p>
    <w:p>
      <w:r>
        <w:pict>
          <v:rect style="width:0;height:1.5pt" o:hralign="center" o:hrstd="t" o:hr="t"/>
        </w:pict>
      </w:r>
    </w:p>
    <w:p>
      <w:pPr>
        <w:pStyle w:val="FirstParagraph"/>
      </w:pPr>
      <w:r>
        <w:rPr>
          <w:i/>
          <w:iCs/>
        </w:rPr>
        <w:t xml:space="preserve">Documento preparado por el equipo de Modela. Versión Abril 2026.</w:t>
      </w:r>
      <w:r>
        <w:t xml:space="preserve"> </w:t>
      </w:r>
      <w:r>
        <w:rPr>
          <w:i/>
          <w:iCs/>
        </w:rPr>
        <w:t xml:space="preserve">Para preguntas técnicas o reproducción de resultados, contactar: equipo Modela.</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Factorial Estocástico para Valoración de AUDPs</dc:title>
  <dc:creator>Equipo Modela</dc:creator>
  <cp:keywords/>
  <dcterms:created xsi:type="dcterms:W3CDTF">2026-04-28T17:29:59Z</dcterms:created>
  <dcterms:modified xsi:type="dcterms:W3CDTF">2026-04-28T17:29:59Z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Abril 2026</vt:lpwstr>
  </property>
  <property fmtid="{D5CDD505-2E9C-101B-9397-08002B2CF9AE}" pid="3" name="documentclass">
    <vt:lpwstr>article</vt:lpwstr>
  </property>
  <property fmtid="{D5CDD505-2E9C-101B-9397-08002B2CF9AE}" pid="4" name="fontsize">
    <vt:lpwstr>11pt</vt:lpwstr>
  </property>
  <property fmtid="{D5CDD505-2E9C-101B-9397-08002B2CF9AE}" pid="5" name="geometry">
    <vt:lpwstr>margin=2.5cm</vt:lpwstr>
  </property>
  <property fmtid="{D5CDD505-2E9C-101B-9397-08002B2CF9AE}" pid="6" name="linkcolor">
    <vt:lpwstr>blue</vt:lpwstr>
  </property>
  <property fmtid="{D5CDD505-2E9C-101B-9397-08002B2CF9AE}" pid="7" name="mainfont">
    <vt:lpwstr>Helvetica Neue</vt:lpwstr>
  </property>
  <property fmtid="{D5CDD505-2E9C-101B-9397-08002B2CF9AE}" pid="8" name="numbersections">
    <vt:lpwstr>True</vt:lpwstr>
  </property>
  <property fmtid="{D5CDD505-2E9C-101B-9397-08002B2CF9AE}" pid="9" name="subtitle">
    <vt:lpwstr>Documento Técnico para Directorio · Modela</vt:lpwstr>
  </property>
  <property fmtid="{D5CDD505-2E9C-101B-9397-08002B2CF9AE}" pid="10" name="toc">
    <vt:lpwstr>True</vt:lpwstr>
  </property>
  <property fmtid="{D5CDD505-2E9C-101B-9397-08002B2CF9AE}" pid="11" name="toc-depth">
    <vt:lpwstr>3</vt:lpwstr>
  </property>
</Properties>
</file>