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61.png" ContentType="image/png"/>
  <Override PartName="/word/media/rId80.png" ContentType="image/png"/>
  <Override PartName="/word/media/rId29.png" ContentType="image/png"/>
  <Override PartName="/word/media/rId37.png" ContentType="image/png"/>
  <Override PartName="/word/media/rId33.png" ContentType="image/png"/>
  <Override PartName="/word/media/rId2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Modelo Factorial Estocástico para Valoración de AUDPs</w:t>
      </w:r>
    </w:p>
    <w:p>
      <w:pPr>
        <w:pStyle w:val="Subtitle"/>
      </w:pPr>
      <w:r>
        <w:t xml:space="preserve">Documento Técnico para Directorio · Modela</w:t>
      </w:r>
    </w:p>
    <w:p>
      <w:pPr>
        <w:pStyle w:val="Author"/>
      </w:pPr>
      <w:r>
        <w:t xml:space="preserve">Equipo Modela</w:t>
      </w:r>
    </w:p>
    <w:p>
      <w:pPr>
        <w:pStyle w:val="Date"/>
      </w:pPr>
      <w:r>
        <w:t xml:space="preserve">Abril 2026 (versión 3)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resumen-para-el-directorio"/>
    <w:p>
      <w:pPr>
        <w:pStyle w:val="Heading1"/>
      </w:pPr>
      <w:r>
        <w:t xml:space="preserve">Resumen para el Directorio</w:t>
      </w:r>
    </w:p>
    <w:bookmarkStart w:id="9" w:name="qué-hicimos"/>
    <w:p>
      <w:pPr>
        <w:pStyle w:val="Heading2"/>
      </w:pPr>
      <w:r>
        <w:t xml:space="preserve">¿Qué hicimos?</w:t>
      </w:r>
    </w:p>
    <w:p>
      <w:pPr>
        <w:pStyle w:val="FirstParagraph"/>
      </w:pPr>
      <w:r>
        <w:t xml:space="preserve">Construimos una herramienta que</w:t>
      </w:r>
      <w:r>
        <w:t xml:space="preserve"> </w:t>
      </w:r>
      <w:r>
        <w:rPr>
          <w:b/>
          <w:bCs/>
        </w:rPr>
        <w:t xml:space="preserve">evalúa proyectos AUDP no con un solo número, sino con un rango de resultados posibles</w:t>
      </w:r>
      <w:r>
        <w:t xml:space="preserve">. La diferencia es como pasar de un pronóstico del tiempo que dice</w:t>
      </w:r>
      <w:r>
        <w:t xml:space="preserve"> </w:t>
      </w:r>
      <w:r>
        <w:t xml:space="preserve">“mañana 22°C”</w:t>
      </w:r>
      <w:r>
        <w:t xml:space="preserve"> </w:t>
      </w:r>
      <w:r>
        <w:t xml:space="preserve">a uno que dice</w:t>
      </w:r>
      <w:r>
        <w:t xml:space="preserve"> </w:t>
      </w:r>
      <w:r>
        <w:t xml:space="preserve">“mañana 18°C a 26°C, lo más probable 22°C”</w:t>
      </w:r>
      <w:r>
        <w:t xml:space="preserve">. El segundo es honesto sobre la incertidumbre real; el primero da falsa precisión.</w:t>
      </w:r>
    </w:p>
    <w:p>
      <w:pPr>
        <w:pStyle w:val="BodyText"/>
      </w:pPr>
      <w:r>
        <w:t xml:space="preserve">Para construirla,</w:t>
      </w:r>
      <w:r>
        <w:t xml:space="preserve"> </w:t>
      </w:r>
      <w:r>
        <w:rPr>
          <w:b/>
          <w:bCs/>
        </w:rPr>
        <w:t xml:space="preserve">cruzamos dos fuentes de datos chilenas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TINSA</w:t>
      </w:r>
      <w:r>
        <w:t xml:space="preserve">: 124.526 proyectos inmobiliarios reales con sus precios, velocidades de venta, plazos y tamaños. La mayor base de datos disponible del mercado chileno.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Macros oficiales</w:t>
      </w:r>
      <w:r>
        <w:t xml:space="preserve">: 401 trimestres de IMACEC (BCCh), tasa hipotecaria, desempleo (INE), IPV (BCCh) e ICOI (CChC). Lo que efectivamente pasó en la economía chilena 2010-2024.</w:t>
      </w:r>
    </w:p>
    <w:p>
      <w:pPr>
        <w:pStyle w:val="FirstParagraph"/>
      </w:pPr>
      <w:r>
        <w:t xml:space="preserve">Las cruzamos por trimestre y descubrimos cómo se mueven juntas las variables económicas y los resultados de los proyectos.</w:t>
      </w:r>
    </w:p>
    <w:bookmarkEnd w:id="9"/>
    <w:bookmarkStart w:id="10" w:name="qué-encontramos"/>
    <w:p>
      <w:pPr>
        <w:pStyle w:val="Heading2"/>
      </w:pPr>
      <w:r>
        <w:t xml:space="preserve">¿Qué encontramos?</w:t>
      </w:r>
    </w:p>
    <w:p>
      <w:pPr>
        <w:pStyle w:val="FirstParagraph"/>
      </w:pPr>
      <w:r>
        <w:t xml:space="preserve">Los hallazgos más importantes del análisis profundo: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 IPV oficial chileno se anticipa al precio observado en TINSA por 2-3 trimestres</w:t>
      </w:r>
      <w:r>
        <w:t xml:space="preserve">. Es decir, si hoy el IPV sube 2%, los precios TINSA suelen subir 2-4% nueve meses después. Esto cambia cómo deberíamos usar el IPV en el modelo.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La comuna donde está el proyecto explica el 49% del precio por m²</w:t>
      </w:r>
      <w:r>
        <w:t xml:space="preserve">. Es la variable más importante de todas. Más que la familia de producto (10%) o el año (24%).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 IMACEC alto baja la velocidad de venta de cada proyecto individual</w:t>
      </w:r>
      <w:r>
        <w:t xml:space="preserve"> </w:t>
      </w:r>
      <w:r>
        <w:t xml:space="preserve">con un trimestre de lag (correlación -0.38). Suena contraintuitivo pero tiene sentido: cuando la economía está bien, todos los developers lanzan proyectos al mismo tiempo y la competencia entre ellos baja la velocidad de cada uno.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Las familias de producto se comportan distinto</w:t>
      </w:r>
      <w:r>
        <w:t xml:space="preserve">: el signo de la relación velocidad-IMACEC cambia entre Casa (+0.16, no significativo), Edificio (-0.39) y Townhouse (-0.66). Esto justifica mantener la estratificación por familia, aunque la próxima iteración debería incluir también la comuna.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Las macros explican entre 62% y 75% de la varianza</w:t>
      </w:r>
      <w:r>
        <w:t xml:space="preserve"> </w:t>
      </w:r>
      <w:r>
        <w:t xml:space="preserve">de las variables TINSA cuando usamos modelos no-lineales (Random Forest), versus solo 5-40% con regresiones lineales tradicionales.</w:t>
      </w:r>
      <w:r>
        <w:t xml:space="preserve"> </w:t>
      </w:r>
      <w:r>
        <w:rPr>
          <w:b/>
          <w:bCs/>
        </w:rPr>
        <w:t xml:space="preserve">Hay relaciones no-lineales importantes que el modelo actual está perdiendo</w:t>
      </w:r>
      <w:r>
        <w:t xml:space="preserve">.</w:t>
      </w:r>
    </w:p>
    <w:bookmarkEnd w:id="10"/>
    <w:bookmarkStart w:id="11" w:name="X3a073f6520a1ce1eba85b096ff70a06d4bc4bbd"/>
    <w:p>
      <w:pPr>
        <w:pStyle w:val="Heading2"/>
      </w:pPr>
      <w:r>
        <w:t xml:space="preserve">¿Qué decisiones podemos tomar con esta herramienta?</w:t>
      </w:r>
    </w:p>
    <w:p>
      <w:pPr>
        <w:pStyle w:val="FirstParagraph"/>
      </w:pPr>
      <w:r>
        <w:t xml:space="preserve">✓</w:t>
      </w:r>
      <w:r>
        <w:t xml:space="preserve"> </w:t>
      </w:r>
      <w:r>
        <w:rPr>
          <w:b/>
          <w:bCs/>
        </w:rPr>
        <w:t xml:space="preserve">Comparar dos AUDPs</w:t>
      </w:r>
      <w:r>
        <w:t xml:space="preserve"> </w:t>
      </w:r>
      <w:r>
        <w:t xml:space="preserve">bajo el mismo escenario macro y ver cuál es más resiliente.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Identificar las palancas de gestión activa</w:t>
      </w:r>
      <w:r>
        <w:t xml:space="preserve">: qué variables del proyecto, si se mejoran, mueven más el VAN.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Cuantificar el riesgo de cola</w:t>
      </w:r>
      <w:r>
        <w:t xml:space="preserve">: ¿qué tan malo puede ser el VAN bajo escenarios adversos plausibles?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Auditar las hipótesis</w:t>
      </w:r>
      <w:r>
        <w:t xml:space="preserve"> </w:t>
      </w:r>
      <w:r>
        <w:t xml:space="preserve">ante consultores externos o auditores: cada componente del modelo es trazable a fuentes oficiales y reproducible con scripts en el repositorio.</w:t>
      </w:r>
    </w:p>
    <w:p>
      <w:pPr>
        <w:pStyle w:val="BodyText"/>
      </w:pPr>
      <w:r>
        <w:t xml:space="preserve">✗</w:t>
      </w:r>
      <w:r>
        <w:t xml:space="preserve"> </w:t>
      </w:r>
      <w:r>
        <w:rPr>
          <w:b/>
          <w:bCs/>
        </w:rPr>
        <w:t xml:space="preserve">No predice el VAN futuro con precisión</w:t>
      </w:r>
      <w:r>
        <w:t xml:space="preserve">. Eso requiere predecir las macros futuras, que es por definición incierto.</w:t>
      </w:r>
    </w:p>
    <w:p>
      <w:pPr>
        <w:pStyle w:val="BodyText"/>
      </w:pPr>
      <w:r>
        <w:t xml:space="preserve">✗</w:t>
      </w:r>
      <w:r>
        <w:t xml:space="preserve"> </w:t>
      </w:r>
      <w:r>
        <w:rPr>
          <w:b/>
          <w:bCs/>
        </w:rPr>
        <w:t xml:space="preserve">No captura riesgos idiosincráticos del proyecto</w:t>
      </w:r>
      <w:r>
        <w:t xml:space="preserve"> </w:t>
      </w:r>
      <w:r>
        <w:t xml:space="preserve">(ejecución del developer, marketing específico). Esos quedan como ruido en el modelo.</w:t>
      </w:r>
    </w:p>
    <w:p>
      <w:pPr>
        <w:pStyle w:val="BodyText"/>
      </w:pPr>
      <w:r>
        <w:t xml:space="preserve">✗</w:t>
      </w:r>
      <w:r>
        <w:t xml:space="preserve"> </w:t>
      </w:r>
      <w:r>
        <w:rPr>
          <w:b/>
          <w:bCs/>
        </w:rPr>
        <w:t xml:space="preserve">No modela rupturas estructurales</w:t>
      </w:r>
      <w:r>
        <w:t xml:space="preserve"> </w:t>
      </w:r>
      <w:r>
        <w:t xml:space="preserve">(cambio regulatorio mayor, salto tecnológico). Si hay un evento sin precedente histórico, el modelo no lo verá venir.</w:t>
      </w:r>
    </w:p>
    <w:bookmarkEnd w:id="11"/>
    <w:bookmarkEnd w:id="12"/>
    <w:bookmarkStart w:id="18" w:name="qué-es-monte-carlo-y-por-qué-lo-usamos"/>
    <w:p>
      <w:pPr>
        <w:pStyle w:val="Heading1"/>
      </w:pPr>
      <w:r>
        <w:t xml:space="preserve">1. ¿Qué es Monte Carlo y por qué lo usamos?</w:t>
      </w:r>
    </w:p>
    <w:bookmarkStart w:id="13" w:name="la-pregunta-detrás-del-modelo"/>
    <w:p>
      <w:pPr>
        <w:pStyle w:val="Heading2"/>
      </w:pPr>
      <w:r>
        <w:t xml:space="preserve">1.1 La pregunta detrás del modelo</w:t>
      </w:r>
    </w:p>
    <w:p>
      <w:pPr>
        <w:pStyle w:val="FirstParagraph"/>
      </w:pPr>
      <w:r>
        <w:t xml:space="preserve">Cuando se evalúa la inversión en un AUDP que tomará 15-30 años en madurar, la pregunta importante para el Directorio no es</w:t>
      </w:r>
      <w:r>
        <w:t xml:space="preserve"> </w:t>
      </w:r>
      <w:r>
        <w:rPr>
          <w:b/>
          <w:bCs/>
        </w:rPr>
        <w:t xml:space="preserve">“¿cuál es el VAN?”</w:t>
      </w:r>
      <w:r>
        <w:t xml:space="preserve"> </w:t>
      </w:r>
      <w:r>
        <w:t xml:space="preserve">sino: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¿Qué rango de VANes es plausible?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¿Qué probabilidad hay de que el AUDP sea rentable?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¿Qué tan resiliente es el VAN frente a escenarios adversos?</w:t>
      </w:r>
    </w:p>
    <w:p>
      <w:pPr>
        <w:pStyle w:val="FirstParagraph"/>
      </w:pPr>
      <w:r>
        <w:t xml:space="preserve">El simulador anterior respondía la primera pregunta dando un solo número bajo asunciones fijas. Es útil pero</w:t>
      </w:r>
      <w:r>
        <w:t xml:space="preserve"> </w:t>
      </w:r>
      <w:r>
        <w:rPr>
          <w:b/>
          <w:bCs/>
        </w:rPr>
        <w:t xml:space="preserve">falsamente preciso</w:t>
      </w:r>
      <w:r>
        <w:t xml:space="preserve">: presenta un valor como si fuera la realidad, cuando en verdad es solo el resultado de una asunción específica.</w:t>
      </w:r>
    </w:p>
    <w:bookmarkEnd w:id="13"/>
    <w:bookmarkStart w:id="14" w:name="qué-es-una-simulación-monte-carlo"/>
    <w:p>
      <w:pPr>
        <w:pStyle w:val="Heading2"/>
      </w:pPr>
      <w:r>
        <w:t xml:space="preserve">1.2 ¿Qué es una simulación Monte Carlo?</w:t>
      </w:r>
    </w:p>
    <w:p>
      <w:pPr>
        <w:pStyle w:val="FirstParagraph"/>
      </w:pPr>
      <w:r>
        <w:t xml:space="preserve">Monte Carlo es una técnica que</w:t>
      </w:r>
      <w:r>
        <w:t xml:space="preserve"> </w:t>
      </w:r>
      <w:r>
        <w:rPr>
          <w:b/>
          <w:bCs/>
        </w:rPr>
        <w:t xml:space="preserve">simula muchos escenarios posibles</w:t>
      </w:r>
      <w:r>
        <w:t xml:space="preserve"> </w:t>
      </w:r>
      <w:r>
        <w:t xml:space="preserve">y calcula el VAN en cada uno. Al final, en lugar de un número, tenés una</w:t>
      </w:r>
      <w:r>
        <w:t xml:space="preserve"> </w:t>
      </w:r>
      <w:r>
        <w:rPr>
          <w:b/>
          <w:bCs/>
        </w:rPr>
        <w:t xml:space="preserve">distribución completa</w:t>
      </w:r>
      <w:r>
        <w:t xml:space="preserve"> </w:t>
      </w:r>
      <w:r>
        <w:t xml:space="preserve">que muestra:</w:t>
      </w:r>
    </w:p>
    <w:p>
      <w:pPr>
        <w:pStyle w:val="Compact"/>
        <w:numPr>
          <w:ilvl w:val="0"/>
          <w:numId w:val="1004"/>
        </w:numPr>
      </w:pPr>
      <w:r>
        <w:t xml:space="preserve">VAN promedio</w:t>
      </w:r>
    </w:p>
    <w:p>
      <w:pPr>
        <w:pStyle w:val="Compact"/>
        <w:numPr>
          <w:ilvl w:val="0"/>
          <w:numId w:val="1004"/>
        </w:numPr>
      </w:pPr>
      <w:r>
        <w:t xml:space="preserve">VAN en el 5% peor caso (riesgo de cola)</w:t>
      </w:r>
    </w:p>
    <w:p>
      <w:pPr>
        <w:pStyle w:val="Compact"/>
        <w:numPr>
          <w:ilvl w:val="0"/>
          <w:numId w:val="1004"/>
        </w:numPr>
      </w:pPr>
      <w:r>
        <w:t xml:space="preserve">VAN en el 95% mejor caso (oportunidad)</w:t>
      </w:r>
    </w:p>
    <w:p>
      <w:pPr>
        <w:pStyle w:val="Compact"/>
        <w:numPr>
          <w:ilvl w:val="0"/>
          <w:numId w:val="1004"/>
        </w:numPr>
      </w:pPr>
      <w:r>
        <w:t xml:space="preserve">Probabilidad de que VAN sea negativo</w:t>
      </w:r>
    </w:p>
    <w:p>
      <w:pPr>
        <w:pStyle w:val="FirstParagraph"/>
      </w:pPr>
      <w:r>
        <w:rPr>
          <w:b/>
          <w:bCs/>
        </w:rPr>
        <w:t xml:space="preserve">Procedimiento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Para i = 1 hasta N (típicamente 3.000 a 10.000 iteraciones):</w:t>
      </w:r>
      <w:r>
        <w:br/>
      </w:r>
      <w:r>
        <w:rPr>
          <w:rStyle w:val="VerbatimChar"/>
        </w:rPr>
        <w:t xml:space="preserve">  1. Sortear valores para todas las variables económicas, respetando</w:t>
      </w:r>
      <w:r>
        <w:br/>
      </w:r>
      <w:r>
        <w:rPr>
          <w:rStyle w:val="VerbatimChar"/>
        </w:rPr>
        <w:t xml:space="preserve">     que se muevan juntas como en la realidad (correlaciones)</w:t>
      </w:r>
      <w:r>
        <w:br/>
      </w:r>
      <w:r>
        <w:rPr>
          <w:rStyle w:val="VerbatimChar"/>
        </w:rPr>
        <w:t xml:space="preserve">  2. Calcular el VAN del AUDP con esos valores</w:t>
      </w:r>
      <w:r>
        <w:br/>
      </w:r>
      <w:r>
        <w:rPr>
          <w:rStyle w:val="VerbatimChar"/>
        </w:rPr>
        <w:t xml:space="preserve">  3. Almacenar el resultado</w:t>
      </w:r>
      <w:r>
        <w:br/>
      </w:r>
      <w:r>
        <w:br/>
      </w:r>
      <w:r>
        <w:rPr>
          <w:rStyle w:val="VerbatimChar"/>
        </w:rPr>
        <w:t xml:space="preserve">Al final tenés N valores → distribución del VAN</w:t>
      </w:r>
    </w:p>
    <w:p>
      <w:pPr>
        <w:pStyle w:val="FirstParagraph"/>
      </w:pPr>
      <w:r>
        <w:t xml:space="preserve">El nombre</w:t>
      </w:r>
      <w:r>
        <w:t xml:space="preserve"> </w:t>
      </w:r>
      <w:r>
        <w:t xml:space="preserve">“Monte Carlo”</w:t>
      </w:r>
      <w:r>
        <w:t xml:space="preserve"> </w:t>
      </w:r>
      <w:r>
        <w:t xml:space="preserve">viene del casino de Mónaco. Lo acuñaron Stanislaw Ulam y John von Neumann en los años 40 durante el desarrollo de la bomba atómica, para describir una técnica donde</w:t>
      </w:r>
      <w:r>
        <w:t xml:space="preserve"> </w:t>
      </w:r>
      <w:r>
        <w:t xml:space="preserve">“se juega a los dados”</w:t>
      </w:r>
      <w:r>
        <w:t xml:space="preserve"> </w:t>
      </w:r>
      <w:r>
        <w:t xml:space="preserve">y se observan los resultados promedio.</w:t>
      </w:r>
    </w:p>
    <w:bookmarkEnd w:id="14"/>
    <w:bookmarkStart w:id="15" w:name="cuándo-es-apropiado-usar-monte-carlo"/>
    <w:p>
      <w:pPr>
        <w:pStyle w:val="Heading2"/>
      </w:pPr>
      <w:r>
        <w:t xml:space="preserve">1.3 ¿Cuándo es apropiado usar Monte Carlo?</w:t>
      </w:r>
    </w:p>
    <w:p>
      <w:pPr>
        <w:pStyle w:val="FirstParagraph"/>
      </w:pPr>
      <w:r>
        <w:t xml:space="preserve">Cuando se cumplen</w:t>
      </w:r>
      <w:r>
        <w:t xml:space="preserve"> </w:t>
      </w:r>
      <w:r>
        <w:rPr>
          <w:b/>
          <w:bCs/>
        </w:rPr>
        <w:t xml:space="preserve">estas cinco condiciones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El modelo es complejo</w:t>
      </w:r>
      <w:r>
        <w:t xml:space="preserve">: muchas variables interactúan.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hay fórmula cerrada</w:t>
      </w:r>
      <w:r>
        <w:t xml:space="preserve">: no podés derivar la respuesta con álgebra.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Las variables tienen incertidumbre</w:t>
      </w:r>
      <w:r>
        <w:t xml:space="preserve">: tienen distribuciones razonablemente estimables.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Las correlaciones importan</w:t>
      </w:r>
      <w:r>
        <w:t xml:space="preserve">: las variables no son independientes.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El decisor necesita el rango</w:t>
      </w:r>
      <w:r>
        <w:t xml:space="preserve">: no le sirve solo el valor central.</w:t>
      </w:r>
    </w:p>
    <w:p>
      <w:pPr>
        <w:pStyle w:val="FirstParagraph"/>
      </w:pPr>
      <w:r>
        <w:t xml:space="preserve">El simulador AUDP cumple las cinco. Por eso Monte Carlo es la herramienta apropiada.</w:t>
      </w:r>
    </w:p>
    <w:bookmarkEnd w:id="15"/>
    <w:bookmarkStart w:id="16" w:name="X0d4f0ed88fa0f8162793535f6af5b7857227619"/>
    <w:p>
      <w:pPr>
        <w:pStyle w:val="Heading2"/>
      </w:pPr>
      <w:r>
        <w:t xml:space="preserve">1.4 ¿Quién más usa Monte Carlo en finanzas y real estate?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Aplicación</w:t>
            </w:r>
          </w:p>
        </w:tc>
        <w:tc>
          <w:tcPr/>
          <w:p>
            <w:pPr>
              <w:pStyle w:val="Compact"/>
            </w:pPr>
            <w: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Pricing de derivados financieros</w:t>
            </w:r>
          </w:p>
        </w:tc>
        <w:tc>
          <w:tcPr/>
          <w:p>
            <w:pPr>
              <w:pStyle w:val="Compact"/>
            </w:pPr>
            <w:r>
              <w:t xml:space="preserve">Bancos de inversión globales</w:t>
            </w:r>
          </w:p>
        </w:tc>
        <w:tc>
          <w:tcPr/>
          <w:p>
            <w:pPr>
              <w:pStyle w:val="Compact"/>
            </w:pPr>
            <w:r>
              <w:t xml:space="preserve">Valorar opciones complejas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Riesgo regulatorio Basel III</w:t>
            </w:r>
          </w:p>
        </w:tc>
        <w:tc>
          <w:tcPr/>
          <w:p>
            <w:pPr>
              <w:pStyle w:val="Compact"/>
            </w:pPr>
            <w:r>
              <w:t xml:space="preserve">Bancos comerciales</w:t>
            </w:r>
          </w:p>
        </w:tc>
        <w:tc>
          <w:tcPr/>
          <w:p>
            <w:pPr>
              <w:pStyle w:val="Compact"/>
            </w:pPr>
            <w:r>
              <w:t xml:space="preserve">Capital regulatorio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Stress testing CCAR</w:t>
            </w:r>
          </w:p>
        </w:tc>
        <w:tc>
          <w:tcPr/>
          <w:p>
            <w:pPr>
              <w:pStyle w:val="Compact"/>
            </w:pPr>
            <w:r>
              <w:t xml:space="preserve">Federal Reserve (USA)</w:t>
            </w:r>
          </w:p>
        </w:tc>
        <w:tc>
          <w:tcPr/>
          <w:p>
            <w:pPr>
              <w:pStyle w:val="Compact"/>
            </w:pPr>
            <w:r>
              <w:t xml:space="preserve">Resistencia a escenarios adversos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Valuación de proyectos petroleros</w:t>
            </w:r>
          </w:p>
        </w:tc>
        <w:tc>
          <w:tcPr/>
          <w:p>
            <w:pPr>
              <w:pStyle w:val="Compact"/>
            </w:pPr>
            <w:r>
              <w:t xml:space="preserve">Shell, ExxonMobil</w:t>
            </w:r>
          </w:p>
        </w:tc>
        <w:tc>
          <w:tcPr/>
          <w:p>
            <w:pPr>
              <w:pStyle w:val="Compact"/>
            </w:pPr>
            <w:r>
              <w:t xml:space="preserve">VAN bajo precios crudo inciertos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Evaluación de proyectos inmobiliarios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 estate developers globales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VAN bajo escenarios de demanda inciertos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Solvency II</w:t>
            </w:r>
          </w:p>
        </w:tc>
        <w:tc>
          <w:tcPr/>
          <w:p>
            <w:pPr>
              <w:pStyle w:val="Compact"/>
            </w:pPr>
            <w:r>
              <w:t xml:space="preserve">Aseguradoras europeas</w:t>
            </w:r>
          </w:p>
        </w:tc>
        <w:tc>
          <w:tcPr/>
          <w:p>
            <w:pPr>
              <w:pStyle w:val="Compact"/>
            </w:pPr>
            <w:r>
              <w:t xml:space="preserve">Capital regulatorio para liabilities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Análisis de concesiones</w:t>
            </w:r>
          </w:p>
        </w:tc>
        <w:tc>
          <w:tcPr/>
          <w:p>
            <w:pPr>
              <w:pStyle w:val="Compact"/>
            </w:pPr>
            <w:r>
              <w:t xml:space="preserve">Bancos multilaterales</w:t>
            </w:r>
          </w:p>
        </w:tc>
        <w:tc>
          <w:tcPr/>
          <w:p>
            <w:pPr>
              <w:pStyle w:val="Compact"/>
            </w:pPr>
            <w:r>
              <w:t xml:space="preserve">Probabilidad de repago</w:t>
            </w:r>
          </w:p>
        </w:tc>
      </w:tr>
    </w:tbl>
    <w:p>
      <w:pPr>
        <w:pStyle w:val="BodyText"/>
      </w:pPr>
      <w:r>
        <w:t xml:space="preserve">En real estate específicamente, el uso es estándar entre los principales developers internacionales desde los años 90.</w:t>
      </w:r>
    </w:p>
    <w:bookmarkEnd w:id="16"/>
    <w:bookmarkStart w:id="17" w:name="qué-no-hace-monte-carlo"/>
    <w:p>
      <w:pPr>
        <w:pStyle w:val="Heading2"/>
      </w:pPr>
      <w:r>
        <w:t xml:space="preserve">1.5 ¿Qué NO hace Monte Carlo?</w:t>
      </w:r>
    </w:p>
    <w:p>
      <w:pPr>
        <w:pStyle w:val="FirstParagraph"/>
      </w:pPr>
      <w:r>
        <w:t xml:space="preserve">Es importante manejar expectativas realistas: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predice el futuro</w:t>
      </w:r>
      <w:r>
        <w:t xml:space="preserve">. Dice</w:t>
      </w:r>
      <w:r>
        <w:t xml:space="preserve"> </w:t>
      </w:r>
      <w:r>
        <w:t xml:space="preserve">“dada la información histórica, el VAN tiene esta distribución”</w:t>
      </w:r>
      <w:r>
        <w:t xml:space="preserve">. No dice</w:t>
      </w:r>
      <w:r>
        <w:t xml:space="preserve"> </w:t>
      </w:r>
      <w:r>
        <w:t xml:space="preserve">“el VAN será X”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 calidad del output depende de la calidad de los inputs</w:t>
      </w:r>
      <w:r>
        <w:t xml:space="preserve">. Si las distribuciones de entrada son malas, los outputs lo serán también.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captura</w:t>
      </w:r>
      <w:r>
        <w:rPr>
          <w:b/>
          <w:bCs/>
        </w:rPr>
        <w:t xml:space="preserve"> </w:t>
      </w:r>
      <w:r>
        <w:rPr>
          <w:b/>
          <w:bCs/>
        </w:rPr>
        <w:t xml:space="preserve">“cisnes negros”</w:t>
      </w:r>
      <w:r>
        <w:t xml:space="preserve">: eventos sin precedente histórico (cambio regulatorio mayor, salto tecnológico) están fuera del modelo.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reemplaza el juicio cualitativo</w:t>
      </w:r>
      <w:r>
        <w:t xml:space="preserve">: es complemento, no sustituto del análisis del contexto regulatorio, comercial y geográfico específico.</w:t>
      </w:r>
    </w:p>
    <w:bookmarkEnd w:id="17"/>
    <w:bookmarkEnd w:id="18"/>
    <w:bookmarkStart w:id="24" w:name="cómo-conectamos-los-datos"/>
    <w:p>
      <w:pPr>
        <w:pStyle w:val="Heading1"/>
      </w:pPr>
      <w:r>
        <w:t xml:space="preserve">2. ¿Cómo conectamos los datos?</w:t>
      </w:r>
    </w:p>
    <w:p>
      <w:pPr>
        <w:pStyle w:val="FirstParagraph"/>
      </w:pPr>
      <w:r>
        <w:t xml:space="preserve">Esta sección explica con detalle cómo se cruzaron las dos fuentes de datos principales del modelo.</w:t>
      </w:r>
    </w:p>
    <w:bookmarkStart w:id="21" w:name="las-dos-fuentes"/>
    <w:p>
      <w:pPr>
        <w:pStyle w:val="Heading2"/>
      </w:pPr>
      <w:r>
        <w:t xml:space="preserve">2.1 Las dos fuentes</w:t>
      </w:r>
    </w:p>
    <w:bookmarkStart w:id="19" w:name="Xa2a0106d366a6ca5bfb06f081ff69584cca5e98"/>
    <w:p>
      <w:pPr>
        <w:pStyle w:val="Heading3"/>
      </w:pPr>
      <w:r>
        <w:t xml:space="preserve">Fuente 1: TINSA — proyectos inmobiliarios reales</w:t>
      </w:r>
    </w:p>
    <w:p>
      <w:pPr>
        <w:pStyle w:val="FirstParagraph"/>
      </w:pPr>
      <w:r>
        <w:t xml:space="preserve">TINSA es una empresa que compila información del mercado inmobiliario chileno. Su base de datos contiene</w:t>
      </w:r>
      <w:r>
        <w:t xml:space="preserve"> </w:t>
      </w:r>
      <w:r>
        <w:rPr>
          <w:b/>
          <w:bCs/>
        </w:rPr>
        <w:t xml:space="preserve">124.526 observaciones activas</w:t>
      </w:r>
      <w:r>
        <w:t xml:space="preserve"> </w:t>
      </w:r>
      <w:r>
        <w:t xml:space="preserve">de proyectos. Cada observación es un</w:t>
      </w:r>
      <w:r>
        <w:t xml:space="preserve"> </w:t>
      </w:r>
      <w:r>
        <w:rPr>
          <w:b/>
          <w:bCs/>
        </w:rPr>
        <w:t xml:space="preserve">proyecto-trimestre</w:t>
      </w:r>
      <w:r>
        <w:t xml:space="preserve">: un proyecto específico observado en un trimestre específico, con métricas como:</w:t>
      </w:r>
    </w:p>
    <w:p>
      <w:pPr>
        <w:pStyle w:val="Compact"/>
        <w:numPr>
          <w:ilvl w:val="0"/>
          <w:numId w:val="1007"/>
        </w:numPr>
      </w:pPr>
      <w:r>
        <w:t xml:space="preserve">Precio promedio por m² vendible (UFM2P)</w:t>
      </w:r>
    </w:p>
    <w:p>
      <w:pPr>
        <w:pStyle w:val="Compact"/>
        <w:numPr>
          <w:ilvl w:val="0"/>
          <w:numId w:val="1007"/>
        </w:numPr>
      </w:pPr>
      <w:r>
        <w:t xml:space="preserve">Velocidad de venta en unidades por mes (UMESP)</w:t>
      </w:r>
    </w:p>
    <w:p>
      <w:pPr>
        <w:pStyle w:val="Compact"/>
        <w:numPr>
          <w:ilvl w:val="0"/>
          <w:numId w:val="1007"/>
        </w:numPr>
      </w:pPr>
      <w:r>
        <w:t xml:space="preserve">Tamaño promedio de unidad (SUPP)</w:t>
      </w:r>
    </w:p>
    <w:p>
      <w:pPr>
        <w:pStyle w:val="Compact"/>
        <w:numPr>
          <w:ilvl w:val="0"/>
          <w:numId w:val="1007"/>
        </w:numPr>
      </w:pPr>
      <w:r>
        <w:t xml:space="preserve">Stock disponible al inicio del trimestre (OFEPER)</w:t>
      </w:r>
    </w:p>
    <w:p>
      <w:pPr>
        <w:pStyle w:val="Compact"/>
        <w:numPr>
          <w:ilvl w:val="0"/>
          <w:numId w:val="1007"/>
        </w:numPr>
      </w:pPr>
      <w:r>
        <w:t xml:space="preserve">Unidades vendidas en el trimestre (UVEND)</w:t>
      </w:r>
    </w:p>
    <w:p>
      <w:pPr>
        <w:pStyle w:val="Compact"/>
        <w:numPr>
          <w:ilvl w:val="0"/>
          <w:numId w:val="1007"/>
        </w:numPr>
      </w:pPr>
      <w:r>
        <w:t xml:space="preserve">Meses estimados para agotar el stock (MAGOST)</w:t>
      </w:r>
    </w:p>
    <w:p>
      <w:pPr>
        <w:pStyle w:val="Compact"/>
        <w:numPr>
          <w:ilvl w:val="0"/>
          <w:numId w:val="1007"/>
        </w:numPr>
      </w:pPr>
      <w:r>
        <w:t xml:space="preserve">Comuna (NCOM), número de pisos (NPISOS), tipología (TCAT)</w:t>
      </w:r>
    </w:p>
    <w:p>
      <w:pPr>
        <w:pStyle w:val="Compact"/>
        <w:numPr>
          <w:ilvl w:val="0"/>
          <w:numId w:val="1007"/>
        </w:numPr>
      </w:pPr>
      <w:r>
        <w:t xml:space="preserve">Tipo de subsidio (TSUB) — DS19, DS01, sin subsidio</w:t>
      </w:r>
    </w:p>
    <w:p>
      <w:pPr>
        <w:pStyle w:val="Compact"/>
        <w:numPr>
          <w:ilvl w:val="0"/>
          <w:numId w:val="1007"/>
        </w:numPr>
      </w:pPr>
      <w:r>
        <w:t xml:space="preserve">Ubicación geográfica X, Y</w:t>
      </w:r>
    </w:p>
    <w:p>
      <w:pPr>
        <w:pStyle w:val="Compact"/>
        <w:numPr>
          <w:ilvl w:val="0"/>
          <w:numId w:val="1007"/>
        </w:numPr>
      </w:pPr>
      <w:r>
        <w:t xml:space="preserve">Distancia al CBD (DCBD)</w:t>
      </w:r>
    </w:p>
    <w:p>
      <w:pPr>
        <w:pStyle w:val="Compact"/>
        <w:numPr>
          <w:ilvl w:val="0"/>
          <w:numId w:val="1007"/>
        </w:numPr>
      </w:pPr>
      <w:r>
        <w:t xml:space="preserve">Indicadores de Bienestar Humano Territorial (BHT)</w:t>
      </w:r>
    </w:p>
    <w:bookmarkEnd w:id="19"/>
    <w:bookmarkStart w:id="20" w:name="fuente-2-macros-oficiales-chilenas"/>
    <w:p>
      <w:pPr>
        <w:pStyle w:val="Heading3"/>
      </w:pPr>
      <w:r>
        <w:t xml:space="preserve">Fuente 2: Macros oficiales chilenas</w:t>
      </w:r>
    </w:p>
    <w:p>
      <w:pPr>
        <w:pStyle w:val="FirstParagraph"/>
      </w:pPr>
      <w:r>
        <w:t xml:space="preserve">Series temporales de indicadores económicos publicados por instituciones oficiales: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Cobertura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IMACEC variación % anual</w:t>
            </w:r>
          </w:p>
        </w:tc>
        <w:tc>
          <w:tcPr/>
          <w:p>
            <w:pPr>
              <w:pStyle w:val="Compact"/>
            </w:pPr>
            <w:r>
              <w:t xml:space="preserve">BCCh</w:t>
            </w:r>
          </w:p>
        </w:tc>
        <w:tc>
          <w:tcPr/>
          <w:p>
            <w:pPr>
              <w:pStyle w:val="Compact"/>
            </w:pPr>
            <w:r>
              <w:t xml:space="preserve">Mensual</w:t>
            </w:r>
          </w:p>
        </w:tc>
        <w:tc>
          <w:tcPr/>
          <w:p>
            <w:pPr>
              <w:pStyle w:val="Compact"/>
            </w:pPr>
            <w:r>
              <w:t xml:space="preserve">1997-presente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 hipotecaria UF</w:t>
            </w:r>
          </w:p>
        </w:tc>
        <w:tc>
          <w:tcPr/>
          <w:p>
            <w:pPr>
              <w:pStyle w:val="Compact"/>
            </w:pPr>
            <w:r>
              <w:t xml:space="preserve">BCCh-CMF</w:t>
            </w:r>
          </w:p>
        </w:tc>
        <w:tc>
          <w:tcPr/>
          <w:p>
            <w:pPr>
              <w:pStyle w:val="Compact"/>
            </w:pPr>
            <w:r>
              <w:t xml:space="preserve">Mensual</w:t>
            </w:r>
          </w:p>
        </w:tc>
        <w:tc>
          <w:tcPr/>
          <w:p>
            <w:pPr>
              <w:pStyle w:val="Compact"/>
            </w:pPr>
            <w:r>
              <w:t xml:space="preserve">2002-presente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 desempleo nacional</w:t>
            </w:r>
          </w:p>
        </w:tc>
        <w:tc>
          <w:tcPr/>
          <w:p>
            <w:pPr>
              <w:pStyle w:val="Compact"/>
            </w:pPr>
            <w:r>
              <w:t xml:space="preserve">INE-NESI</w:t>
            </w:r>
          </w:p>
        </w:tc>
        <w:tc>
          <w:tcPr/>
          <w:p>
            <w:pPr>
              <w:pStyle w:val="Compact"/>
            </w:pPr>
            <w:r>
              <w:t xml:space="preserve">Trimestral móvil</w:t>
            </w:r>
          </w:p>
        </w:tc>
        <w:tc>
          <w:tcPr/>
          <w:p>
            <w:pPr>
              <w:pStyle w:val="Compact"/>
            </w:pPr>
            <w:r>
              <w:t xml:space="preserve">2010-presente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IPV (Índice Precios Vivienda)</w:t>
            </w:r>
          </w:p>
        </w:tc>
        <w:tc>
          <w:tcPr/>
          <w:p>
            <w:pPr>
              <w:pStyle w:val="Compact"/>
            </w:pPr>
            <w:r>
              <w:t xml:space="preserve">BCCh</w:t>
            </w:r>
          </w:p>
        </w:tc>
        <w:tc>
          <w:tcPr/>
          <w:p>
            <w:pPr>
              <w:pStyle w:val="Compact"/>
            </w:pPr>
            <w:r>
              <w:t xml:space="preserve">Anual</w:t>
            </w:r>
          </w:p>
        </w:tc>
        <w:tc>
          <w:tcPr/>
          <w:p>
            <w:pPr>
              <w:pStyle w:val="Compact"/>
            </w:pPr>
            <w:r>
              <w:t xml:space="preserve">2002-presente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ICOI (Índice Costos Construcción)</w:t>
            </w:r>
          </w:p>
        </w:tc>
        <w:tc>
          <w:tcPr/>
          <w:p>
            <w:pPr>
              <w:pStyle w:val="Compact"/>
            </w:pPr>
            <w:r>
              <w:t xml:space="preserve">CChC</w:t>
            </w:r>
          </w:p>
        </w:tc>
        <w:tc>
          <w:tcPr/>
          <w:p>
            <w:pPr>
              <w:pStyle w:val="Compact"/>
            </w:pPr>
            <w:r>
              <w:t xml:space="preserve">Anual</w:t>
            </w:r>
          </w:p>
        </w:tc>
        <w:tc>
          <w:tcPr/>
          <w:p>
            <w:pPr>
              <w:pStyle w:val="Compact"/>
            </w:pPr>
            <w:r>
              <w:t xml:space="preserve">2013-presente</w:t>
            </w:r>
          </w:p>
        </w:tc>
      </w:tr>
    </w:tbl>
    <w:bookmarkEnd w:id="20"/>
    <w:bookmarkEnd w:id="21"/>
    <w:bookmarkStart w:id="22" w:name="el-cruce-por-trimestre"/>
    <w:p>
      <w:pPr>
        <w:pStyle w:val="Heading2"/>
      </w:pPr>
      <w:r>
        <w:t xml:space="preserve">2.2 El cruce: por trimestre</w:t>
      </w:r>
    </w:p>
    <w:p>
      <w:pPr>
        <w:pStyle w:val="FirstParagraph"/>
      </w:pPr>
      <w:r>
        <w:t xml:space="preserve">El cruce entre ambas fuentes se hace</w:t>
      </w:r>
      <w:r>
        <w:t xml:space="preserve"> </w:t>
      </w:r>
      <w:r>
        <w:rPr>
          <w:b/>
          <w:bCs/>
        </w:rPr>
        <w:t xml:space="preserve">por trimestre calendario</w:t>
      </w:r>
      <w:r>
        <w:t xml:space="preserve">. Cada observación TINSA tiene un atributo</w:t>
      </w:r>
      <w:r>
        <w:t xml:space="preserve"> </w:t>
      </w:r>
      <w:r>
        <w:rPr>
          <w:rStyle w:val="VerbatimChar"/>
        </w:rPr>
        <w:t xml:space="preserve">PEAÑO</w:t>
      </w:r>
      <w:r>
        <w:t xml:space="preserve"> </w:t>
      </w:r>
      <w:r>
        <w:t xml:space="preserve">(formato</w:t>
      </w:r>
      <w:r>
        <w:t xml:space="preserve"> </w:t>
      </w:r>
      <w:r>
        <w:rPr>
          <w:rStyle w:val="VerbatimChar"/>
        </w:rPr>
        <w:t xml:space="preserve">1P 2014</w:t>
      </w:r>
      <w:r>
        <w:t xml:space="preserve"> </w:t>
      </w:r>
      <w:r>
        <w:t xml:space="preserve">por ejemplo). Lo convertimos al formato</w:t>
      </w:r>
      <w:r>
        <w:t xml:space="preserve"> </w:t>
      </w:r>
      <w:r>
        <w:rPr>
          <w:rStyle w:val="VerbatimChar"/>
        </w:rPr>
        <w:t xml:space="preserve">2014-Q1</w:t>
      </w:r>
      <w:r>
        <w:t xml:space="preserve"> </w:t>
      </w:r>
      <w:r>
        <w:t xml:space="preserve">que también usa la grilla macro.</w:t>
      </w:r>
    </w:p>
    <w:p>
      <w:pPr>
        <w:pStyle w:val="BodyText"/>
      </w:pPr>
      <w:r>
        <w:rPr>
          <w:b/>
          <w:bCs/>
        </w:rPr>
        <w:t xml:space="preserve">Pasos del cruce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Las macros mensuales (IMACEC, tasa hipo, desempleo) las</w:t>
      </w:r>
      <w:r>
        <w:t xml:space="preserve"> </w:t>
      </w:r>
      <w:r>
        <w:rPr>
          <w:b/>
          <w:bCs/>
        </w:rPr>
        <w:t xml:space="preserve">agregamos a trimestre</w:t>
      </w:r>
      <w:r>
        <w:t xml:space="preserve"> </w:t>
      </w:r>
      <w:r>
        <w:t xml:space="preserve">tomando el promedio de los 3 meses.</w:t>
      </w:r>
    </w:p>
    <w:p>
      <w:pPr>
        <w:pStyle w:val="Compact"/>
        <w:numPr>
          <w:ilvl w:val="0"/>
          <w:numId w:val="1008"/>
        </w:numPr>
      </w:pPr>
      <w:r>
        <w:t xml:space="preserve">Las macros anuales (IPV, ICOI) las</w:t>
      </w:r>
      <w:r>
        <w:t xml:space="preserve"> </w:t>
      </w:r>
      <w:r>
        <w:rPr>
          <w:b/>
          <w:bCs/>
        </w:rPr>
        <w:t xml:space="preserve">interpolamos linealmente a trimestre</w:t>
      </w:r>
      <w:r>
        <w:t xml:space="preserve"> </w:t>
      </w:r>
      <w:r>
        <w:t xml:space="preserve">(Q1 = valor anual; Q2, Q3 = interpolación; Q4 = valor anual del año siguiente).</w:t>
      </w:r>
    </w:p>
    <w:p>
      <w:pPr>
        <w:pStyle w:val="Compact"/>
        <w:numPr>
          <w:ilvl w:val="0"/>
          <w:numId w:val="1008"/>
        </w:numPr>
      </w:pPr>
      <w:r>
        <w:t xml:space="preserve">Las variaciones interanuales (YoY %) se calculan comparando con el mismo trimestre del año anterior, no con el trimestre previo. Esto elimina el efecto de estacionalidad.</w:t>
      </w:r>
    </w:p>
    <w:p>
      <w:pPr>
        <w:pStyle w:val="FirstParagraph"/>
      </w:pPr>
      <w:r>
        <w:rPr>
          <w:b/>
          <w:bCs/>
        </w:rPr>
        <w:t xml:space="preserve">Resultado</w:t>
      </w:r>
      <w:r>
        <w:t xml:space="preserve">: una tabla maestra con 401 trimestres (2002-Q1 a 2026-Q1) donde cada fila tiene:</w:t>
      </w:r>
    </w:p>
    <w:p>
      <w:pPr>
        <w:pStyle w:val="Compact"/>
        <w:numPr>
          <w:ilvl w:val="0"/>
          <w:numId w:val="1009"/>
        </w:numPr>
      </w:pPr>
      <w:r>
        <w:t xml:space="preserve">Macros del trimestre</w:t>
      </w:r>
    </w:p>
    <w:p>
      <w:pPr>
        <w:pStyle w:val="Compact"/>
        <w:numPr>
          <w:ilvl w:val="0"/>
          <w:numId w:val="1009"/>
        </w:numPr>
      </w:pPr>
      <w:r>
        <w:t xml:space="preserve">Macros con lag 1 trim, 2 trim, 3 trim, 4 trim (valores del mismo período del año pasado)</w:t>
      </w:r>
    </w:p>
    <w:p>
      <w:pPr>
        <w:pStyle w:val="Compact"/>
        <w:numPr>
          <w:ilvl w:val="0"/>
          <w:numId w:val="1009"/>
        </w:numPr>
      </w:pPr>
      <w:r>
        <w:t xml:space="preserve">Agregaciones TINSA del trimestre (precio promedio ponderado por unidades vendidas, velocidad promedio, etc.)</w:t>
      </w:r>
    </w:p>
    <w:bookmarkEnd w:id="22"/>
    <w:bookmarkStart w:id="23" w:name="Xd342fe11ce8a25703fb0e75829724f7c44a99f6"/>
    <w:p>
      <w:pPr>
        <w:pStyle w:val="Heading2"/>
      </w:pPr>
      <w:r>
        <w:t xml:space="preserve">2.3 ¿Por qué ponderar por unidades vendidas (UVEND)?</w:t>
      </w:r>
    </w:p>
    <w:p>
      <w:pPr>
        <w:pStyle w:val="FirstParagraph"/>
      </w:pPr>
      <w:r>
        <w:t xml:space="preserve">Antes la agregación TINSA por trimestre era por</w:t>
      </w:r>
      <w:r>
        <w:t xml:space="preserve"> </w:t>
      </w:r>
      <w:r>
        <w:rPr>
          <w:b/>
          <w:bCs/>
        </w:rPr>
        <w:t xml:space="preserve">mediana</w:t>
      </w:r>
      <w:r>
        <w:t xml:space="preserve">. La cambiamos a</w:t>
      </w:r>
      <w:r>
        <w:t xml:space="preserve"> </w:t>
      </w:r>
      <w:r>
        <w:rPr>
          <w:b/>
          <w:bCs/>
        </w:rPr>
        <w:t xml:space="preserve">media ponderada por UVEND</w:t>
      </w:r>
      <w:r>
        <w:t xml:space="preserve"> </w:t>
      </w:r>
      <w:r>
        <w:t xml:space="preserve">(unidades vendidas en el trimestre). Razones: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Refleja el peso real del mercado</w:t>
      </w:r>
      <w:r>
        <w:t xml:space="preserve">: si el trimestre tuvo 5 proyectos pequeños y 1 mega-proyecto que vendió 200 unidades, la mediana lo trata igual que si fueran 6 proyectos chicos. La media ponderada da el peso correcto.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El IPV oficial usa metodología similar</w:t>
      </w:r>
      <w:r>
        <w:t xml:space="preserve">: BCCh pondera por valor de transacción, no por número de proyectos.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Reduce el ruido de muestreo</w:t>
      </w:r>
      <w:r>
        <w:t xml:space="preserve">: trimestres con poca actividad ya tienen pesos chicos automáticamente.</w:t>
      </w:r>
    </w:p>
    <w:bookmarkEnd w:id="23"/>
    <w:bookmarkEnd w:id="24"/>
    <w:bookmarkStart w:id="45" w:name="Xce7cfb58ec2f5ee8a4e95ed875eb9ac906fecd2"/>
    <w:p>
      <w:pPr>
        <w:pStyle w:val="Heading1"/>
      </w:pPr>
      <w:r>
        <w:t xml:space="preserve">3. Análisis profundo: ¿qué descubrimos cuando cruzamos los datos?</w:t>
      </w:r>
    </w:p>
    <w:p>
      <w:pPr>
        <w:pStyle w:val="FirstParagraph"/>
      </w:pPr>
      <w:r>
        <w:t xml:space="preserve">Esta sección presenta los hallazgos del análisis exhaustivo de las correlaciones entre TINSA y macros, considerando lags (efectos retardados) hasta 4 trimestres.</w:t>
      </w:r>
    </w:p>
    <w:bookmarkStart w:id="28" w:name="Xc98139e9b041060f047afd60142490a4a1c6012"/>
    <w:p>
      <w:pPr>
        <w:pStyle w:val="Heading2"/>
      </w:pPr>
      <w:r>
        <w:t xml:space="preserve">3.1 La correlación más fuerte: el IPV oficial</w:t>
      </w:r>
      <w:r>
        <w:t xml:space="preserve"> </w:t>
      </w:r>
      <w:r>
        <w:rPr>
          <w:b/>
          <w:bCs/>
        </w:rPr>
        <w:t xml:space="preserve">anticipa</w:t>
      </w:r>
      <w:r>
        <w:t xml:space="preserve"> </w:t>
      </w:r>
      <w:r>
        <w:t xml:space="preserve">el precio TINSA</w:t>
      </w:r>
    </w:p>
    <w:p>
      <w:pPr>
        <w:pStyle w:val="CaptionedFigure"/>
      </w:pPr>
      <w:r>
        <w:drawing>
          <wp:inline>
            <wp:extent cx="5334000" cy="3470451"/>
            <wp:effectExtent b="0" l="0" r="0" t="0"/>
            <wp:docPr descr="Top 6 correlaciones más fuertes en el dataset" title="" id="26" name="Picture"/>
            <a:graphic>
              <a:graphicData uri="http://schemas.openxmlformats.org/drawingml/2006/picture">
                <pic:pic>
                  <pic:nvPicPr>
                    <pic:cNvPr descr="figures/13_top_correlations_scatte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04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6 correlaciones más fuertes en el dataset</w:t>
      </w:r>
    </w:p>
    <w:p>
      <w:pPr>
        <w:pStyle w:val="BodyText"/>
      </w:pPr>
      <w:r>
        <w:t xml:space="preserve">La correlación más fuerte de todo el análisis es</w:t>
      </w:r>
      <w:r>
        <w:t xml:space="preserve"> </w:t>
      </w:r>
      <w:r>
        <w:rPr>
          <w:b/>
          <w:bCs/>
        </w:rPr>
        <w:t xml:space="preserve">IPV general en t-3 → Precio TINSA en t</w:t>
      </w:r>
      <w:r>
        <w:t xml:space="preserve">, con ρ Spearman = +0.55 (p &lt; 0.001, n=53 trimestres).</w:t>
      </w:r>
    </w:p>
    <w:p>
      <w:pPr>
        <w:pStyle w:val="BodyText"/>
      </w:pPr>
      <w:r>
        <w:rPr>
          <w:b/>
          <w:bCs/>
        </w:rPr>
        <w:t xml:space="preserve">¿Qué significa?</w:t>
      </w:r>
      <w:r>
        <w:t xml:space="preserve"> </w:t>
      </w:r>
      <w:r>
        <w:t xml:space="preserve">El IPV oficial del Banco Central</w:t>
      </w:r>
      <w:r>
        <w:t xml:space="preserve"> </w:t>
      </w:r>
      <w:r>
        <w:rPr>
          <w:b/>
          <w:bCs/>
        </w:rPr>
        <w:t xml:space="preserve">se anticipa al precio observado en TINSA por aproximadamente 9 meses (3 trimestres)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¿Por qué pasa esto?</w:t>
      </w:r>
    </w:p>
    <w:p>
      <w:pPr>
        <w:pStyle w:val="BodyText"/>
      </w:pPr>
      <w:r>
        <w:t xml:space="preserve">Hay tres explicaciones plausibles: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El IPV captura un ciclo de mercado</w:t>
      </w:r>
      <w:r>
        <w:t xml:space="preserve"> </w:t>
      </w:r>
      <w:r>
        <w:t xml:space="preserve">que después se traduce a precios efectivos en TINSA con cierto lag. Cuando los compradores y vendedores anticipan condiciones más favorables, el IPV sube primero (por revaluaciones, expectativas), y luego los precios de transacción TINSA se ajustan.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Diferencia metodológica entre las fuentes</w:t>
      </w:r>
      <w:r>
        <w:t xml:space="preserve">: el IPV se construye sobre TODAS las transacciones registradas en el SII. TINSA captura proyectos específicos que están en venta. El IPV es más amplio y captura tendencias antes que TINSA específica.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El IPV es una medida más</w:t>
      </w:r>
      <w:r>
        <w:rPr>
          <w:b/>
          <w:bCs/>
        </w:rPr>
        <w:t xml:space="preserve"> </w:t>
      </w:r>
      <w:r>
        <w:rPr>
          <w:b/>
          <w:bCs/>
        </w:rPr>
        <w:t xml:space="preserve">“estable”</w:t>
      </w:r>
      <w:r>
        <w:t xml:space="preserve"> </w:t>
      </w:r>
      <w:r>
        <w:t xml:space="preserve">(controlada por composición), mientras TINSA refleja el mix de proyectos en venta cada trimestre.</w:t>
      </w:r>
    </w:p>
    <w:p>
      <w:pPr>
        <w:pStyle w:val="FirstParagraph"/>
      </w:pPr>
      <w:r>
        <w:rPr>
          <w:b/>
          <w:bCs/>
        </w:rPr>
        <w:t xml:space="preserve">Implicancia para el modelo</w:t>
      </w:r>
      <w:r>
        <w:t xml:space="preserve">: la versión actual usa IPV contemporáneo. Debería usar IPV con lag 2-3 trimestres para predecir mejor. Esta es una</w:t>
      </w:r>
      <w:r>
        <w:t xml:space="preserve"> </w:t>
      </w:r>
      <w:r>
        <w:rPr>
          <w:b/>
          <w:bCs/>
        </w:rPr>
        <w:t xml:space="preserve">mejora pendiente identificada</w:t>
      </w:r>
      <w:r>
        <w:t xml:space="preserve"> </w:t>
      </w:r>
      <w:r>
        <w:t xml:space="preserve">del análisis profundo.</w:t>
      </w:r>
    </w:p>
    <w:bookmarkEnd w:id="28"/>
    <w:bookmarkStart w:id="32" w:name="heatmap-de-correlaciones-con-lags"/>
    <w:p>
      <w:pPr>
        <w:pStyle w:val="Heading2"/>
      </w:pPr>
      <w:r>
        <w:t xml:space="preserve">3.2 Heatmap de correlaciones con lags</w:t>
      </w:r>
    </w:p>
    <w:p>
      <w:pPr>
        <w:pStyle w:val="CaptionedFigure"/>
      </w:pPr>
      <w:r>
        <w:drawing>
          <wp:inline>
            <wp:extent cx="5334000" cy="1546711"/>
            <wp:effectExtent b="0" l="0" r="0" t="0"/>
            <wp:docPr descr="Correlación TINSA × Macros en 5 lags distintos" title="" id="30" name="Picture"/>
            <a:graphic>
              <a:graphicData uri="http://schemas.openxmlformats.org/drawingml/2006/picture">
                <pic:pic>
                  <pic:nvPicPr>
                    <pic:cNvPr descr="figures/10_lagged_correlations_poole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67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Correlación TINSA × Macros en 5 lags distintos</w:t>
      </w:r>
    </w:p>
    <w:p>
      <w:pPr>
        <w:pStyle w:val="BodyText"/>
      </w:pPr>
      <w:r>
        <w:t xml:space="preserve">Cada panel muestra cómo se correlaciona una variable TINSA (columnas: precio, velocidad, plazo, tamaño, unidades vendidas) con las 5 macros principales en 5 lags (filas).</w:t>
      </w:r>
    </w:p>
    <w:p>
      <w:pPr>
        <w:pStyle w:val="BodyText"/>
      </w:pPr>
      <w:r>
        <w:rPr>
          <w:b/>
          <w:bCs/>
        </w:rPr>
        <w:t xml:space="preserve">Lectura del heatmap</w:t>
      </w:r>
      <w:r>
        <w:t xml:space="preserve">:</w:t>
      </w:r>
      <w:r>
        <w:t xml:space="preserve"> </w:t>
      </w:r>
      <w:r>
        <w:t xml:space="preserve">- Verde intenso = correlación positiva fuerte (cuando una sube, la otra también)</w:t>
      </w:r>
      <w:r>
        <w:t xml:space="preserve"> </w:t>
      </w:r>
      <w:r>
        <w:t xml:space="preserve">- Rojo intenso = correlación negativa fuerte (cuando una sube, la otra baja)</w:t>
      </w:r>
      <w:r>
        <w:t xml:space="preserve"> </w:t>
      </w:r>
      <w:r>
        <w:t xml:space="preserve">- Blanco = correlación cercana a cero</w:t>
      </w:r>
    </w:p>
    <w:p>
      <w:pPr>
        <w:pStyle w:val="BodyText"/>
      </w:pPr>
      <w:r>
        <w:rPr>
          <w:b/>
          <w:bCs/>
        </w:rPr>
        <w:t xml:space="preserve">Patrones interesantes</w:t>
      </w:r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Precio × IPV</w:t>
      </w:r>
      <w:r>
        <w:t xml:space="preserve">: la correlación crece de 0.34 (lag 0) a 0.55 (lag 3). El IPV se anticipa.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Velocidad × IMACEC</w:t>
      </w:r>
      <w:r>
        <w:t xml:space="preserve">: significativa solo en lag 1, con signo negativo (-0.38). El boom económico baja la velocidad individual al aumentar la oferta competidora.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Plazo × IPV</w:t>
      </w:r>
      <w:r>
        <w:t xml:space="preserve">: relación negativa creciente con lag (lag 4: ρ=-0.37). En mercados que están subiendo, los plazos de obra se acortan.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Unidades vendidas × IPV (lag 4)</w:t>
      </w:r>
      <w:r>
        <w:t xml:space="preserve">: ρ=+0.37. Mercado caliente arrastra unidades vendidas con un año de lag.</w:t>
      </w:r>
    </w:p>
    <w:bookmarkEnd w:id="32"/>
    <w:bookmarkStart w:id="36" w:name="Xc00780915722dd7d49ecc82d96d2eec708a14bf"/>
    <w:p>
      <w:pPr>
        <w:pStyle w:val="Heading2"/>
      </w:pPr>
      <w:r>
        <w:t xml:space="preserve">3.3 Variable importance: ¿qué realmente mueve el modelo?</w:t>
      </w:r>
    </w:p>
    <w:p>
      <w:pPr>
        <w:pStyle w:val="CaptionedFigure"/>
      </w:pPr>
      <w:r>
        <w:drawing>
          <wp:inline>
            <wp:extent cx="5334000" cy="1473084"/>
            <wp:effectExtent b="0" l="0" r="0" t="0"/>
            <wp:docPr descr="Variable importance por Random Forest para cada target TINSA" title="" id="34" name="Picture"/>
            <a:graphic>
              <a:graphicData uri="http://schemas.openxmlformats.org/drawingml/2006/picture">
                <pic:pic>
                  <pic:nvPicPr>
                    <pic:cNvPr descr="figures/12_variable_importanc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73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Variable importance por Random Forest para cada target TINSA</w:t>
      </w:r>
    </w:p>
    <w:p>
      <w:pPr>
        <w:pStyle w:val="BodyText"/>
      </w:pPr>
      <w:r>
        <w:t xml:space="preserve">Random Forest ajusta un modelo no-lineal que captura interacciones entre variables. Para cada variable TINSA (precio, velocidad, plazo, tamaño, unidades), el algoritmo calcula qué predictores macro (con sus lags) son los más importantes.</w:t>
      </w:r>
    </w:p>
    <w:p>
      <w:pPr>
        <w:pStyle w:val="BodyText"/>
      </w:pPr>
      <w:r>
        <w:rPr>
          <w:b/>
          <w:bCs/>
        </w:rPr>
        <w:t xml:space="preserve">Hallazgos clave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 TINSA</w:t>
            </w:r>
          </w:p>
        </w:tc>
        <w:tc>
          <w:tcPr/>
          <w:p>
            <w:pPr>
              <w:pStyle w:val="Compact"/>
            </w:pPr>
            <w:r>
              <w:t xml:space="preserve">Predictor #1</w:t>
            </w:r>
          </w:p>
        </w:tc>
        <w:tc>
          <w:tcPr/>
          <w:p>
            <w:pPr>
              <w:pStyle w:val="Compact"/>
            </w:pPr>
            <w:r>
              <w:t xml:space="preserve">Predictor #2</w:t>
            </w:r>
          </w:p>
        </w:tc>
        <w:tc>
          <w:tcPr/>
          <w:p>
            <w:pPr>
              <w:pStyle w:val="Compact"/>
            </w:pPr>
            <w:r>
              <w:t xml:space="preserve">R² Random Forest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Precio YoY</w:t>
            </w:r>
          </w:p>
        </w:tc>
        <w:tc>
          <w:tcPr/>
          <w:p>
            <w:pPr>
              <w:pStyle w:val="Compact"/>
            </w:pPr>
            <w:r>
              <w:t xml:space="preserve">IPV general (t-1)</w:t>
            </w:r>
          </w:p>
        </w:tc>
        <w:tc>
          <w:tcPr/>
          <w:p>
            <w:pPr>
              <w:pStyle w:val="Compact"/>
            </w:pPr>
            <w:r>
              <w:t xml:space="preserve">IPV general (t-2)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Velocidad YoY</w:t>
            </w:r>
          </w:p>
        </w:tc>
        <w:tc>
          <w:tcPr/>
          <w:p>
            <w:pPr>
              <w:pStyle w:val="Compact"/>
            </w:pPr>
            <w:r>
              <w:t xml:space="preserve">IMACEC (t)</w:t>
            </w:r>
          </w:p>
        </w:tc>
        <w:tc>
          <w:tcPr/>
          <w:p>
            <w:pPr>
              <w:pStyle w:val="Compact"/>
            </w:pPr>
            <w:r>
              <w:t xml:space="preserve">ICOI (t-1)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Plazo YoY</w:t>
            </w:r>
          </w:p>
        </w:tc>
        <w:tc>
          <w:tcPr/>
          <w:p>
            <w:pPr>
              <w:pStyle w:val="Compact"/>
            </w:pPr>
            <w:r>
              <w:t xml:space="preserve">IMACEC (t)</w:t>
            </w:r>
          </w:p>
        </w:tc>
        <w:tc>
          <w:tcPr/>
          <w:p>
            <w:pPr>
              <w:pStyle w:val="Compact"/>
            </w:pPr>
            <w:r>
              <w:t xml:space="preserve">IPV general (t-2)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Tamaño YoY</w:t>
            </w:r>
          </w:p>
        </w:tc>
        <w:tc>
          <w:tcPr/>
          <w:p>
            <w:pPr>
              <w:pStyle w:val="Compact"/>
            </w:pPr>
            <w:r>
              <w:t xml:space="preserve">IPV general (t-2)</w:t>
            </w:r>
          </w:p>
        </w:tc>
        <w:tc>
          <w:tcPr/>
          <w:p>
            <w:pPr>
              <w:pStyle w:val="Compact"/>
            </w:pPr>
            <w:r>
              <w:t xml:space="preserve">ICOI (t-1)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Unidades vendidas YoY</w:t>
            </w:r>
          </w:p>
        </w:tc>
        <w:tc>
          <w:tcPr/>
          <w:p>
            <w:pPr>
              <w:pStyle w:val="Compact"/>
            </w:pPr>
            <w:r>
              <w:t xml:space="preserve">IPV general (t-2)</w:t>
            </w:r>
          </w:p>
        </w:tc>
        <w:tc>
          <w:tcPr/>
          <w:p>
            <w:pPr>
              <w:pStyle w:val="Compact"/>
            </w:pPr>
            <w:r>
              <w:t xml:space="preserve">IMACEC (t)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0.643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Interpretación</w:t>
      </w:r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Las macros explican entre 62% y 75% de la varianza</w:t>
      </w:r>
      <w:r>
        <w:t xml:space="preserve"> </w:t>
      </w:r>
      <w:r>
        <w:t xml:space="preserve">de cada variable TINSA. Esto es</w:t>
      </w:r>
      <w:r>
        <w:t xml:space="preserve"> </w:t>
      </w:r>
      <w:r>
        <w:rPr>
          <w:b/>
          <w:bCs/>
        </w:rPr>
        <w:t xml:space="preserve">mucho más</w:t>
      </w:r>
      <w:r>
        <w:t xml:space="preserve"> </w:t>
      </w:r>
      <w:r>
        <w:t xml:space="preserve">que lo que indicaba el modelo OLS lineal anterior (R²=0.05-0.40).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La diferencia OLS vs Random Forest revela no-linealidades importantes</w:t>
      </w:r>
      <w:r>
        <w:t xml:space="preserve">: el efecto de IMACEC sobre la velocidad cambia según otras variables (es no-lineal).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El IPV (con lags) aparece como predictor #1 o #2 en 3 de 5 targets</w:t>
      </w:r>
      <w:r>
        <w:t xml:space="preserve">: es la macro más informativa.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El ICOI con lag 1 es importante para velocidad y tamaño</w:t>
      </w:r>
      <w:r>
        <w:t xml:space="preserve">: el costo construcción afecta decisiones de inversión y mix de productos con un trimestre de retraso.</w:t>
      </w:r>
    </w:p>
    <w:bookmarkEnd w:id="36"/>
    <w:bookmarkStart w:id="40" w:name="Xbaab58fe9e1dc1dc87ca70ee66b4642f6659716"/>
    <w:p>
      <w:pPr>
        <w:pStyle w:val="Heading2"/>
      </w:pPr>
      <w:r>
        <w:t xml:space="preserve">3.4 La velocidad de venta por familia: las correlaciones cambian</w:t>
      </w:r>
    </w:p>
    <w:p>
      <w:pPr>
        <w:pStyle w:val="CaptionedFigure"/>
      </w:pPr>
      <w:r>
        <w:drawing>
          <wp:inline>
            <wp:extent cx="5334000" cy="4074708"/>
            <wp:effectExtent b="0" l="0" r="0" t="0"/>
            <wp:docPr descr="Velocidad por familia × lags de macros" title="" id="38" name="Picture"/>
            <a:graphic>
              <a:graphicData uri="http://schemas.openxmlformats.org/drawingml/2006/picture">
                <pic:pic>
                  <pic:nvPicPr>
                    <pic:cNvPr descr="figures/11_velocidad_lags_familia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4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Velocidad por familia × lags de macros</w:t>
      </w:r>
    </w:p>
    <w:p>
      <w:pPr>
        <w:pStyle w:val="BodyText"/>
      </w:pPr>
      <w:r>
        <w:t xml:space="preserve">Esta visualización muestra cómo las correlaciones cambian según la familia de producto. La pregunta clave era: ¿podemos pool todas las familias juntas o hay que mantener la estratificación?</w:t>
      </w:r>
    </w:p>
    <w:p>
      <w:pPr>
        <w:pStyle w:val="BodyText"/>
      </w:pPr>
      <w:r>
        <w:rPr>
          <w:b/>
          <w:bCs/>
        </w:rPr>
        <w:t xml:space="preserve">Caso ilustrativo: la velocidad ↔ IMACEC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Familia</w:t>
            </w:r>
          </w:p>
        </w:tc>
        <w:tc>
          <w:tcPr/>
          <w:p>
            <w:pPr>
              <w:pStyle w:val="Compact"/>
            </w:pPr>
            <w:r>
              <w:t xml:space="preserve">Lag óptimo</w:t>
            </w:r>
          </w:p>
        </w:tc>
        <w:tc>
          <w:tcPr/>
          <w:p>
            <w:pPr>
              <w:pStyle w:val="Compact"/>
            </w:pPr>
            <w:r>
              <w:t xml:space="preserve">ρ</w:t>
            </w:r>
          </w:p>
        </w:tc>
        <w:tc>
          <w:tcPr/>
          <w:p>
            <w:pPr>
              <w:pStyle w:val="Compact"/>
            </w:pPr>
            <w: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Edificio 4-6p</w:t>
            </w:r>
          </w:p>
        </w:tc>
        <w:tc>
          <w:tcPr/>
          <w:p>
            <w:pPr>
              <w:pStyle w:val="Compact"/>
            </w:pPr>
            <w:r>
              <w:t xml:space="preserve">2 trim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-0.39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DS19</w:t>
            </w:r>
          </w:p>
        </w:tc>
        <w:tc>
          <w:tcPr/>
          <w:p>
            <w:pPr>
              <w:pStyle w:val="Compact"/>
            </w:pPr>
            <w:r>
              <w:t xml:space="preserve">0 trim</w:t>
            </w:r>
          </w:p>
        </w:tc>
        <w:tc>
          <w:tcPr/>
          <w:p>
            <w:pPr>
              <w:pStyle w:val="Compact"/>
            </w:pPr>
            <w:r>
              <w:t xml:space="preserve">-0.22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Casa</w:t>
            </w:r>
          </w:p>
        </w:tc>
        <w:tc>
          <w:tcPr/>
          <w:p>
            <w:pPr>
              <w:pStyle w:val="Compact"/>
            </w:pPr>
            <w:r>
              <w:t xml:space="preserve">0 trim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+0.16</w:t>
            </w:r>
          </w:p>
        </w:tc>
        <w:tc>
          <w:tcPr/>
          <w:p>
            <w:pPr>
              <w:pStyle w:val="Compact"/>
            </w:pPr>
            <w:r>
              <w:t xml:space="preserve">0.247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Townhouse</w:t>
            </w:r>
          </w:p>
        </w:tc>
        <w:tc>
          <w:tcPr/>
          <w:p>
            <w:pPr>
              <w:pStyle w:val="Compact"/>
            </w:pPr>
            <w:r>
              <w:t xml:space="preserve">2 trim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-0.66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signo cambia entre familias</w:t>
      </w:r>
      <w:r>
        <w:t xml:space="preserve">: en Casa la correlación es positiva (no significativa, pero positiva). En Edificio y Townhouse es negativa fuerte.</w:t>
      </w:r>
    </w:p>
    <w:p>
      <w:pPr>
        <w:pStyle w:val="BodyText"/>
      </w:pPr>
      <w:r>
        <w:rPr>
          <w:b/>
          <w:bCs/>
        </w:rPr>
        <w:t xml:space="preserve">¿Por qué? Posible explicación económica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Edificios y Townhouses</w:t>
      </w:r>
      <w:r>
        <w:t xml:space="preserve">: en boom económico hay muchos lanzamientos simultáneos (los developers anticipan demanda y entran al mercado). Más oferta competidora baja la velocidad de cada uno.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Casas</w:t>
      </w:r>
      <w:r>
        <w:t xml:space="preserve">: el segmento es más fragmentado, menos correlacionado con el ciclo macro inmediato. Posiblemente la elasticidad de la demanda es distinta.</w:t>
      </w:r>
    </w:p>
    <w:p>
      <w:pPr>
        <w:pStyle w:val="FirstParagraph"/>
      </w:pPr>
      <w:r>
        <w:rPr>
          <w:b/>
          <w:bCs/>
        </w:rPr>
        <w:t xml:space="preserve">Conclusión</w:t>
      </w:r>
      <w:r>
        <w:t xml:space="preserve">: la estratificación por familia</w:t>
      </w:r>
      <w:r>
        <w:t xml:space="preserve"> </w:t>
      </w:r>
      <w:r>
        <w:rPr>
          <w:b/>
          <w:bCs/>
        </w:rPr>
        <w:t xml:space="preserve">sí es necesaria</w:t>
      </w:r>
      <w:r>
        <w:t xml:space="preserve">, aunque introduce complejidad. Pooling perdería esta información heterogénea entre familias.</w:t>
      </w:r>
    </w:p>
    <w:bookmarkEnd w:id="40"/>
    <w:bookmarkStart w:id="44" w:name="X28815998cae6050d482d6d123f760a199a3ef1e"/>
    <w:p>
      <w:pPr>
        <w:pStyle w:val="Heading2"/>
      </w:pPr>
      <w:r>
        <w:t xml:space="preserve">3.5 La dimensión más importante NO es la familia</w:t>
      </w:r>
    </w:p>
    <w:p>
      <w:pPr>
        <w:pStyle w:val="CaptionedFigure"/>
      </w:pPr>
      <w:r>
        <w:drawing>
          <wp:inline>
            <wp:extent cx="5334000" cy="3592322"/>
            <wp:effectExtent b="0" l="0" r="0" t="0"/>
            <wp:docPr descr="Dimensiones adicionales TINSA: comuna, pisos, distancia CBD, BHT" title="" id="42" name="Picture"/>
            <a:graphic>
              <a:graphicData uri="http://schemas.openxmlformats.org/drawingml/2006/picture">
                <pic:pic>
                  <pic:nvPicPr>
                    <pic:cNvPr descr="figures/14_dimensiones_extr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2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Dimensiones adicionales TINSA: comuna, pisos, distancia CBD, BHT</w:t>
      </w:r>
    </w:p>
    <w:p>
      <w:pPr>
        <w:pStyle w:val="BodyText"/>
      </w:pPr>
      <w:r>
        <w:t xml:space="preserve">Hicimos un análisis de varianza explicada por cada dimensión del Excel TINSA. Resultado: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R² (% varianza precio explicada)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Comuna (NCOM)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Año</w:t>
            </w:r>
          </w:p>
        </w:tc>
        <w:tc>
          <w:tcPr/>
          <w:p>
            <w:pPr>
              <w:pStyle w:val="Compact"/>
            </w:pPr>
            <w:r>
              <w:t xml:space="preserve">23.7%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Tipología (TCAT)</w:t>
            </w:r>
          </w:p>
        </w:tc>
        <w:tc>
          <w:tcPr/>
          <w:p>
            <w:pPr>
              <w:pStyle w:val="Compact"/>
            </w:pPr>
            <w:r>
              <w:t xml:space="preserve">17.1%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# Pisos</w:t>
            </w:r>
          </w:p>
        </w:tc>
        <w:tc>
          <w:tcPr/>
          <w:p>
            <w:pPr>
              <w:pStyle w:val="Compact"/>
            </w:pPr>
            <w:r>
              <w:t xml:space="preserve">13.7%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Familia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10.0%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COMUNA explica casi 50% de la varianza del precio</w:t>
      </w:r>
      <w:r>
        <w:t xml:space="preserve"> </w:t>
      </w:r>
      <w:r>
        <w:t xml:space="preserve">— es la variable más informativa de todas. La familia (la dimensión que el modelo actual usa para estratificar) solo explica 10%.</w:t>
      </w:r>
    </w:p>
    <w:p>
      <w:pPr>
        <w:pStyle w:val="BodyText"/>
      </w:pPr>
      <w:r>
        <w:rPr>
          <w:b/>
          <w:bCs/>
        </w:rPr>
        <w:t xml:space="preserve">Implicación</w:t>
      </w:r>
      <w:r>
        <w:t xml:space="preserve">: la próxima versión del modelo debería</w:t>
      </w:r>
      <w:r>
        <w:t xml:space="preserve"> </w:t>
      </w:r>
      <w:r>
        <w:rPr>
          <w:b/>
          <w:bCs/>
        </w:rPr>
        <w:t xml:space="preserve">filtrar TINSA por comunas relevantes al AUDP</w:t>
      </w:r>
      <w:r>
        <w:t xml:space="preserve"> </w:t>
      </w:r>
      <w:r>
        <w:t xml:space="preserve">en lugar de (o además de) estratificar por familia. Para AUDP Batuco, las comunas referencia serían Lampa, Buin, Padre Hurtado, Colina — proyectos en zonas similares de expansión periurbana de Santiago.</w:t>
      </w:r>
    </w:p>
    <w:p>
      <w:pPr>
        <w:pStyle w:val="BodyText"/>
      </w:pPr>
      <w:r>
        <w:rPr>
          <w:b/>
          <w:bCs/>
        </w:rPr>
        <w:t xml:space="preserve">Por ahora</w:t>
      </w:r>
      <w:r>
        <w:t xml:space="preserve">, el modelo mantiene la estratificación por familia como aproximación. La incorporación de la dimensión comunal queda identificada como</w:t>
      </w:r>
      <w:r>
        <w:t xml:space="preserve"> </w:t>
      </w:r>
      <w:r>
        <w:rPr>
          <w:b/>
          <w:bCs/>
        </w:rPr>
        <w:t xml:space="preserve">prioridad #1 para la próxima iteración</w:t>
      </w:r>
      <w:r>
        <w:t xml:space="preserve">.</w:t>
      </w:r>
    </w:p>
    <w:bookmarkEnd w:id="44"/>
    <w:bookmarkEnd w:id="45"/>
    <w:bookmarkStart w:id="59" w:name="por-qué-cópulas-y-cuáles-aplicamos"/>
    <w:p>
      <w:pPr>
        <w:pStyle w:val="Heading1"/>
      </w:pPr>
      <w:r>
        <w:t xml:space="preserve">4. ¿Por qué cópulas y cuáles aplicamos?</w:t>
      </w:r>
    </w:p>
    <w:bookmarkStart w:id="46" w:name="el-problema-que-resuelven-las-cópulas"/>
    <w:p>
      <w:pPr>
        <w:pStyle w:val="Heading2"/>
      </w:pPr>
      <w:r>
        <w:t xml:space="preserve">4.1 El problema que resuelven las cópulas</w:t>
      </w:r>
    </w:p>
    <w:p>
      <w:pPr>
        <w:pStyle w:val="FirstParagraph"/>
      </w:pPr>
      <w:r>
        <w:t xml:space="preserve">Cuando hacemos Monte Carlo, necesitamos sortear valores para múltiples variables a la vez.</w:t>
      </w:r>
      <w:r>
        <w:t xml:space="preserve"> </w:t>
      </w:r>
      <w:r>
        <w:rPr>
          <w:b/>
          <w:bCs/>
        </w:rPr>
        <w:t xml:space="preserve">Si las sorteamos independientemente</w:t>
      </w:r>
      <w:r>
        <w:t xml:space="preserve">, generamos escenarios irreales:</w:t>
      </w:r>
    </w:p>
    <w:p>
      <w:pPr>
        <w:pStyle w:val="Compact"/>
        <w:numPr>
          <w:ilvl w:val="0"/>
          <w:numId w:val="1015"/>
        </w:numPr>
      </w:pPr>
      <w:r>
        <w:t xml:space="preserve">Por ejemplo:</w:t>
      </w:r>
      <w:r>
        <w:t xml:space="preserve"> </w:t>
      </w:r>
      <w:r>
        <w:t xml:space="preserve">“PIB sube 12% Y desempleo sube 3pp simultáneamente”</w:t>
      </w:r>
      <w:r>
        <w:t xml:space="preserve">. En la realidad, esto rara vez pasa: cuando el PIB sube, el desempleo cae.</w:t>
      </w:r>
    </w:p>
    <w:p>
      <w:pPr>
        <w:pStyle w:val="FirstParagraph"/>
      </w:pPr>
      <w:r>
        <w:rPr>
          <w:b/>
          <w:bCs/>
        </w:rPr>
        <w:t xml:space="preserve">Las cópulas permiten samplear variables conjuntamente respetando sus correlaciones empíricas</w:t>
      </w:r>
      <w:r>
        <w:t xml:space="preserve">.</w:t>
      </w:r>
    </w:p>
    <w:bookmarkEnd w:id="46"/>
    <w:bookmarkStart w:id="47" w:name="qué-es-una-cópula"/>
    <w:p>
      <w:pPr>
        <w:pStyle w:val="Heading2"/>
      </w:pPr>
      <w:r>
        <w:t xml:space="preserve">4.2 ¿Qué es una cópula?</w:t>
      </w:r>
    </w:p>
    <w:p>
      <w:pPr>
        <w:pStyle w:val="FirstParagraph"/>
      </w:pPr>
      <w:r>
        <w:t xml:space="preserve">Una cópula es una</w:t>
      </w:r>
      <w:r>
        <w:t xml:space="preserve"> </w:t>
      </w:r>
      <w:r>
        <w:rPr>
          <w:b/>
          <w:bCs/>
        </w:rPr>
        <w:t xml:space="preserve">función matemática</w:t>
      </w:r>
      <w:r>
        <w:t xml:space="preserve"> </w:t>
      </w:r>
      <w:r>
        <w:t xml:space="preserve">que describe</w:t>
      </w:r>
      <w:r>
        <w:t xml:space="preserve"> </w:t>
      </w:r>
      <w:r>
        <w:rPr>
          <w:b/>
          <w:bCs/>
        </w:rPr>
        <w:t xml:space="preserve">cómo se relacionan las variables entre sí</w:t>
      </w:r>
      <w:r>
        <w:t xml:space="preserve">, separadamente de cómo se distribuye cada una individualmente.</w:t>
      </w:r>
    </w:p>
    <w:p>
      <w:pPr>
        <w:pStyle w:val="BodyText"/>
      </w:pPr>
      <w:r>
        <w:rPr>
          <w:b/>
          <w:bCs/>
        </w:rPr>
        <w:t xml:space="preserve">Ejemplo intuitivo</w:t>
      </w:r>
      <w:r>
        <w:t xml:space="preserve">: si tomamos altura y peso de personas:</w:t>
      </w:r>
      <w:r>
        <w:t xml:space="preserve"> </w:t>
      </w:r>
      <w:r>
        <w:t xml:space="preserve">- La distribución de altura es una cosa (curva normal con cierta media y desviación)</w:t>
      </w:r>
      <w:r>
        <w:t xml:space="preserve"> </w:t>
      </w:r>
      <w:r>
        <w:t xml:space="preserve">- La distribución de peso es otra</w:t>
      </w:r>
      <w:r>
        <w:t xml:space="preserve"> </w:t>
      </w:r>
      <w:r>
        <w:t xml:space="preserve">- Pero altura y peso están correlacionados: gente alta tiende a pesar más</w:t>
      </w:r>
    </w:p>
    <w:p>
      <w:pPr>
        <w:pStyle w:val="BodyText"/>
      </w:pPr>
      <w:r>
        <w:t xml:space="preserve">La cópula es lo que captura esa última relación. Permite combinar las dos distribuciones individuales (altura, peso) preservando la dependencia entre ellas.</w:t>
      </w:r>
    </w:p>
    <w:p>
      <w:pPr>
        <w:pStyle w:val="BodyText"/>
      </w:pPr>
      <w:r>
        <w:t xml:space="preserve">Formalmente (teorema de Sklar, 1959): cualquier distribución conjunta puede descomponerse en (a) las marginales individuales × (b) una cópula que captura la dependencia.</w:t>
      </w:r>
    </w:p>
    <w:bookmarkEnd w:id="47"/>
    <w:bookmarkStart w:id="48" w:name="por-qué-cópula-t-y-no-gaussiana"/>
    <w:p>
      <w:pPr>
        <w:pStyle w:val="Heading2"/>
      </w:pPr>
      <w:r>
        <w:t xml:space="preserve">4.3 ¿Por qué cópula t y no Gaussiana?</w:t>
      </w:r>
    </w:p>
    <w:p>
      <w:pPr>
        <w:pStyle w:val="FirstParagraph"/>
      </w:pPr>
      <w:r>
        <w:t xml:space="preserve">Hay muchos tipos de cópulas. Las dos más usadas son la</w:t>
      </w:r>
      <w:r>
        <w:t xml:space="preserve"> </w:t>
      </w:r>
      <w:r>
        <w:rPr>
          <w:b/>
          <w:bCs/>
        </w:rPr>
        <w:t xml:space="preserve">Gaussiana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t (Student)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Diferencia clave</w:t>
      </w:r>
      <w:r>
        <w:t xml:space="preserve">: la cópula Gaussiana</w:t>
      </w:r>
      <w:r>
        <w:t xml:space="preserve"> </w:t>
      </w:r>
      <w:r>
        <w:rPr>
          <w:b/>
          <w:bCs/>
        </w:rPr>
        <w:t xml:space="preserve">subestima la probabilidad de eventos extremos correlacionados</w:t>
      </w:r>
      <w:r>
        <w:t xml:space="preserve">.</w:t>
      </w:r>
    </w:p>
    <w:p>
      <w:pPr>
        <w:pStyle w:val="BodyText"/>
      </w:pPr>
      <w:r>
        <w:t xml:space="preserve">Imaginá que precio y velocidad están correlacionados negativamente con ρ = -0.5. Bajo cópula Gaussiana, la probabilidad de</w:t>
      </w:r>
      <w:r>
        <w:t xml:space="preserve"> </w:t>
      </w:r>
      <w:r>
        <w:t xml:space="preserve">“precio cae al 5% peor Y velocidad sube al 5% mejor”</w:t>
      </w:r>
      <w:r>
        <w:t xml:space="preserve"> </w:t>
      </w:r>
      <w:r>
        <w:t xml:space="preserve">tiende a CERO en los extremos. Bajo cópula t (con grados de libertad bajos), esa probabilidad es</w:t>
      </w:r>
      <w:r>
        <w:t xml:space="preserve"> </w:t>
      </w:r>
      <w:r>
        <w:rPr>
          <w:b/>
          <w:bCs/>
        </w:rPr>
        <w:t xml:space="preserve">significativamente mayor</w:t>
      </w:r>
      <w:r>
        <w:t xml:space="preserve">.</w:t>
      </w:r>
    </w:p>
    <w:p>
      <w:pPr>
        <w:pStyle w:val="BodyText"/>
      </w:pPr>
      <w:r>
        <w:t xml:space="preserve">Esto es</w:t>
      </w:r>
      <w:r>
        <w:t xml:space="preserve"> </w:t>
      </w:r>
      <w:r>
        <w:rPr>
          <w:b/>
          <w:bCs/>
        </w:rPr>
        <w:t xml:space="preserve">crítico para análisis de riesgo</w:t>
      </w:r>
      <w:r>
        <w:t xml:space="preserve">: la cópula Gaussiana fue uno de los factores que llevó a la subestimación del riesgo en CDOs hipotecarios pre-crisis 2008. La industria financiera migró a cópulas con</w:t>
      </w:r>
      <w:r>
        <w:t xml:space="preserve"> </w:t>
      </w:r>
      <w:r>
        <w:t xml:space="preserve">“tail dependence”</w:t>
      </w:r>
      <w:r>
        <w:t xml:space="preserve"> </w:t>
      </w:r>
      <w:r>
        <w:t xml:space="preserve">(dependencia en colas) — la t-cópula es la elección estándar.</w:t>
      </w:r>
    </w:p>
    <w:p>
      <w:pPr>
        <w:pStyle w:val="BodyText"/>
      </w:pPr>
      <w:r>
        <w:rPr>
          <w:b/>
          <w:bCs/>
        </w:rPr>
        <w:t xml:space="preserve">Nuestro modelo usa t-cópula con ν=4 grados de libertad</w:t>
      </w:r>
      <w:r>
        <w:t xml:space="preserve">:</w:t>
      </w:r>
      <w:r>
        <w:t xml:space="preserve"> </w:t>
      </w:r>
      <w:r>
        <w:t xml:space="preserve">- ν=4 es estándar industria para riesgo de crédito y operacional (S&amp;P, Moody’s, modelos Basel III)</w:t>
      </w:r>
      <w:r>
        <w:t xml:space="preserve"> </w:t>
      </w:r>
      <w:r>
        <w:t xml:space="preserve">- ν&lt;4 produce demasiada masa en colas (mercado en crisis perpetua)</w:t>
      </w:r>
      <w:r>
        <w:t xml:space="preserve"> </w:t>
      </w:r>
      <w:r>
        <w:t xml:space="preserve">- ν&gt;10 colapsa hacia Gaussiana</w:t>
      </w:r>
    </w:p>
    <w:bookmarkEnd w:id="48"/>
    <w:bookmarkStart w:id="57" w:name="qué-cópulas-tiene-actualmente-el-modelo"/>
    <w:p>
      <w:pPr>
        <w:pStyle w:val="Heading2"/>
      </w:pPr>
      <w:r>
        <w:t xml:space="preserve">4.4 ¿Qué cópulas tiene actualmente el modelo?</w:t>
      </w:r>
    </w:p>
    <w:bookmarkStart w:id="52" w:name="cópula-1-entre-las-5-macros-sampleadas"/>
    <w:p>
      <w:pPr>
        <w:pStyle w:val="Heading3"/>
      </w:pPr>
      <w:r>
        <w:t xml:space="preserve">Cópula 1: entre las 5 macros sampleadas</w:t>
      </w:r>
    </w:p>
    <w:p>
      <w:pPr>
        <w:pStyle w:val="FirstParagraph"/>
      </w:pPr>
      <w:r>
        <w:t xml:space="preserve">Las 5 variables macro (IMACEC, Δ tasa hipotecaria, Δ desempleo, IPV, ICOI)</w:t>
      </w:r>
      <w:r>
        <w:t xml:space="preserve"> </w:t>
      </w:r>
      <w:r>
        <w:rPr>
          <w:b/>
          <w:bCs/>
        </w:rPr>
        <w:t xml:space="preserve">se samplean conjuntamente</w:t>
      </w:r>
      <w:r>
        <w:t xml:space="preserve"> </w:t>
      </w:r>
      <w:r>
        <w:t xml:space="preserve">con t-cópula. La matriz de correlaciones es la observada empíricamente en 401 trimestres 2010-2024.</w:t>
      </w:r>
    </w:p>
    <w:p>
      <w:pPr>
        <w:pStyle w:val="CaptionedFigure"/>
      </w:pPr>
      <w:r>
        <w:drawing>
          <wp:inline>
            <wp:extent cx="4533900" cy="4023654"/>
            <wp:effectExtent b="0" l="0" r="0" t="0"/>
            <wp:docPr descr="Matriz de correlación Spearman entre macros" title="" id="50" name="Picture"/>
            <a:graphic>
              <a:graphicData uri="http://schemas.openxmlformats.org/drawingml/2006/picture">
                <pic:pic>
                  <pic:nvPicPr>
                    <pic:cNvPr descr="figures/01_corr_macro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023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Matriz de correlación Spearman entre macros</w:t>
      </w:r>
    </w:p>
    <w:p>
      <w:pPr>
        <w:pStyle w:val="BodyText"/>
      </w:pPr>
      <w:r>
        <w:rPr>
          <w:b/>
          <w:bCs/>
        </w:rPr>
        <w:t xml:space="preserve">Validación visual</w:t>
      </w:r>
      <w:r>
        <w:t xml:space="preserve">: los signos son todos económicamente correctos (boom = menos desempleo, BCCh sube tasas en boom, etc.).</w:t>
      </w:r>
    </w:p>
    <w:bookmarkEnd w:id="52"/>
    <w:bookmarkStart w:id="56" w:name="Xd6d53f38890df3002b6de6d36069e947c3fb660"/>
    <w:p>
      <w:pPr>
        <w:pStyle w:val="Heading3"/>
      </w:pPr>
      <w:r>
        <w:t xml:space="preserve">Cópula 2: entre variables del producto en TINSA (modo Empírico CIDU)</w:t>
      </w:r>
    </w:p>
    <w:p>
      <w:pPr>
        <w:pStyle w:val="FirstParagraph"/>
      </w:pPr>
      <w:r>
        <w:t xml:space="preserve">En el modo</w:t>
      </w:r>
      <w:r>
        <w:t xml:space="preserve"> </w:t>
      </w:r>
      <w:r>
        <w:t xml:space="preserve">“Empírico CIDU”</w:t>
      </w:r>
      <w:r>
        <w:t xml:space="preserve"> </w:t>
      </w:r>
      <w:r>
        <w:t xml:space="preserve">(que se usa cuando NO se quieren incluir macros explícitas), hay una segunda t-cópula sobre las 5 variables del producto en TINSA:</w:t>
      </w:r>
    </w:p>
    <w:p>
      <w:pPr>
        <w:pStyle w:val="CaptionedFigure"/>
      </w:pPr>
      <w:r>
        <w:drawing>
          <wp:inline>
            <wp:extent cx="5334000" cy="4699503"/>
            <wp:effectExtent b="0" l="0" r="0" t="0"/>
            <wp:docPr descr="Correlaciones entre variables del producto por familia" title="" id="54" name="Picture"/>
            <a:graphic>
              <a:graphicData uri="http://schemas.openxmlformats.org/drawingml/2006/picture">
                <pic:pic>
                  <pic:nvPicPr>
                    <pic:cNvPr descr="figures/02_corr_producto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99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Correlaciones entre variables del producto por familia</w:t>
      </w:r>
    </w:p>
    <w:p>
      <w:pPr>
        <w:pStyle w:val="BodyText"/>
      </w:pPr>
      <w:r>
        <w:t xml:space="preserve">Calibrada con Iman-Conover sobre 124k observaciones.</w:t>
      </w:r>
    </w:p>
    <w:bookmarkEnd w:id="56"/>
    <w:bookmarkEnd w:id="57"/>
    <w:bookmarkStart w:id="58" w:name="X14a29b01b45d0a9dbab5b2b1656a1af2410762c"/>
    <w:p>
      <w:pPr>
        <w:pStyle w:val="Heading2"/>
      </w:pPr>
      <w:r>
        <w:t xml:space="preserve">4.5 ¿Qué cópulas DEBERÍAMOS agregar (próxima iteración)?</w:t>
      </w:r>
    </w:p>
    <w:p>
      <w:pPr>
        <w:pStyle w:val="FirstParagraph"/>
      </w:pPr>
      <w:r>
        <w:t xml:space="preserve">El análisis profundo identifica oportunidades para cópulas adicionales: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Cópula entre macros y sus lags</w:t>
      </w:r>
      <w:r>
        <w:t xml:space="preserve">: en lugar de samplear solo macros contemporáneas, samplear (IMACEC_t, IMACEC_{t-1}, IMACEC_{t-2}) conjuntamente. Captura la</w:t>
      </w:r>
      <w:r>
        <w:t xml:space="preserve"> </w:t>
      </w:r>
      <w:r>
        <w:rPr>
          <w:b/>
          <w:bCs/>
        </w:rPr>
        <w:t xml:space="preserve">persistencia temporal</w:t>
      </w:r>
      <w:r>
        <w:t xml:space="preserve"> </w:t>
      </w:r>
      <w:r>
        <w:t xml:space="preserve">de los shocks macro.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Cópula expandida</w:t>
      </w:r>
      <w:r>
        <w:t xml:space="preserve">: integrar las 5 macros + sus lags principales (de los hallazgos: IPV t-2, IMACEC t-1, ICOI t-1) en</w:t>
      </w:r>
      <w:r>
        <w:t xml:space="preserve"> </w:t>
      </w:r>
      <w:r>
        <w:rPr>
          <w:b/>
          <w:bCs/>
        </w:rPr>
        <w:t xml:space="preserve">una sola cópula de mayor dimensión</w:t>
      </w:r>
      <w:r>
        <w:t xml:space="preserve">. Esto permitiría samplear escenarios donde el lag y el contemporáneo se mueven coherentemente.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Cópula con dimensión comunal</w:t>
      </w:r>
      <w:r>
        <w:t xml:space="preserve">: si la comuna explica 49% de la varianza, una próxima versión podría agregar un</w:t>
      </w:r>
      <w:r>
        <w:t xml:space="preserve"> </w:t>
      </w:r>
      <w:r>
        <w:t xml:space="preserve">“factor comunal”</w:t>
      </w:r>
      <w:r>
        <w:t xml:space="preserve"> </w:t>
      </w:r>
      <w:r>
        <w:t xml:space="preserve">que se samplee independientemente del macro nacional, capturando heterogeneidad geográfica.</w:t>
      </w:r>
    </w:p>
    <w:bookmarkEnd w:id="58"/>
    <w:bookmarkEnd w:id="59"/>
    <w:bookmarkStart w:id="65" w:name="X2bd836e803a430c6035778c473856ccb5d90832"/>
    <w:p>
      <w:pPr>
        <w:pStyle w:val="Heading1"/>
      </w:pPr>
      <w:r>
        <w:t xml:space="preserve">5. ¿Cómo se conectan los datos macro con el VAN del AUDP?</w:t>
      </w:r>
    </w:p>
    <w:p>
      <w:pPr>
        <w:pStyle w:val="FirstParagraph"/>
      </w:pPr>
      <w:r>
        <w:t xml:space="preserve">Esta sección explica el flujo end-to-end del modelo.</w:t>
      </w:r>
    </w:p>
    <w:bookmarkStart w:id="60" w:name="X19d87d919f1f0308b62dd8bea053cee7f66c7aa"/>
    <w:p>
      <w:pPr>
        <w:pStyle w:val="Heading2"/>
      </w:pPr>
      <w:r>
        <w:t xml:space="preserve">5.1 El recorrido de un sample en el Monte Carlo</w:t>
      </w:r>
    </w:p>
    <w:p>
      <w:pPr>
        <w:pStyle w:val="SourceCode"/>
      </w:pPr>
      <w:r>
        <w:rPr>
          <w:rStyle w:val="VerbatimChar"/>
        </w:rPr>
        <w:t xml:space="preserve">PASO 1: Sortear shocks macro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Sample joint con t-cópula respetando correlaciones empíricas:</w:t>
      </w:r>
      <w:r>
        <w:br/>
      </w:r>
      <w:r>
        <w:rPr>
          <w:rStyle w:val="VerbatimChar"/>
        </w:rPr>
        <w:t xml:space="preserve">- IMACEC variación %       (e.g., -2.5%)</w:t>
      </w:r>
      <w:r>
        <w:br/>
      </w:r>
      <w:r>
        <w:rPr>
          <w:rStyle w:val="VerbatimChar"/>
        </w:rPr>
        <w:t xml:space="preserve">- Δ Tasa hipotecaria pp    (e.g., +0.8pp)</w:t>
      </w:r>
      <w:r>
        <w:br/>
      </w:r>
      <w:r>
        <w:rPr>
          <w:rStyle w:val="VerbatimChar"/>
        </w:rPr>
        <w:t xml:space="preserve">- Δ Desempleo pp           (e.g., +1.2pp)</w:t>
      </w:r>
      <w:r>
        <w:br/>
      </w:r>
      <w:r>
        <w:rPr>
          <w:rStyle w:val="VerbatimChar"/>
        </w:rPr>
        <w:t xml:space="preserve">- IPV YoY %                (e.g., +1.0%)</w:t>
      </w:r>
      <w:r>
        <w:br/>
      </w:r>
      <w:r>
        <w:rPr>
          <w:rStyle w:val="VerbatimChar"/>
        </w:rPr>
        <w:t xml:space="preserve">- ICOI YoY %               (e.g., +5.7%)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PASO 2: Propagar a variables del proyecto (Capa 1)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Por cada familia (edif, ds19, casa, townhouse):</w:t>
      </w:r>
      <w:r>
        <w:br/>
      </w:r>
      <w:r>
        <w:rPr>
          <w:rStyle w:val="VerbatimChar"/>
        </w:rPr>
        <w:t xml:space="preserve">  precio_yoy   = IPV_familiar_sampleado + ε       (shock directo + ruido)</w:t>
      </w:r>
      <w:r>
        <w:br/>
      </w:r>
      <w:r>
        <w:rPr>
          <w:rStyle w:val="VerbatimChar"/>
        </w:rPr>
        <w:t xml:space="preserve">  costo_yoy   = ICOI_sampleado + ε                (shock directo + ruido)</w:t>
      </w:r>
      <w:r>
        <w:br/>
      </w:r>
      <w:r>
        <w:rPr>
          <w:rStyle w:val="VerbatimChar"/>
        </w:rPr>
        <w:t xml:space="preserve">  velocidad   = α + β·macros + ε                  (regresión OLS)</w:t>
      </w:r>
      <w:r>
        <w:br/>
      </w:r>
      <w:r>
        <w:rPr>
          <w:rStyle w:val="VerbatimChar"/>
        </w:rPr>
        <w:t xml:space="preserve">  plazo_yoy   = ε                                 (ruido idiosincrático)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PASO 3: Convertir a multipliers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tm         = 1 + precio_yoy/100      (multiplicador ticket)</w:t>
      </w:r>
      <w:r>
        <w:br/>
      </w:r>
      <w:r>
        <w:rPr>
          <w:rStyle w:val="VerbatimChar"/>
        </w:rPr>
        <w:t xml:space="preserve">vel        = velocidad_yoy            (% sobre baseline)</w:t>
      </w:r>
      <w:r>
        <w:br/>
      </w:r>
      <w:r>
        <w:rPr>
          <w:rStyle w:val="VerbatimChar"/>
        </w:rPr>
        <w:t xml:space="preserve">costoMult  = 1 + costo_yoy/100</w:t>
      </w:r>
      <w:r>
        <w:br/>
      </w:r>
      <w:r>
        <w:rPr>
          <w:rStyle w:val="VerbatimChar"/>
        </w:rPr>
        <w:t xml:space="preserve">plazoMult  = 1 + plazo_yoy/100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PASO 4: Aplicar a la incidencia del residual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Para cada familia con representante guardado:</w:t>
      </w:r>
      <w:r>
        <w:br/>
      </w:r>
      <w:r>
        <w:rPr>
          <w:rStyle w:val="VerbatimChar"/>
        </w:rPr>
        <w:t xml:space="preserve">  Δincidencia = ∂i/∂ticket × (tm-1) +</w:t>
      </w:r>
      <w:r>
        <w:br/>
      </w:r>
      <w:r>
        <w:rPr>
          <w:rStyle w:val="VerbatimChar"/>
        </w:rPr>
        <w:t xml:space="preserve">                ∂i/∂vel × (vel/100) +</w:t>
      </w:r>
      <w:r>
        <w:br/>
      </w:r>
      <w:r>
        <w:rPr>
          <w:rStyle w:val="VerbatimChar"/>
        </w:rPr>
        <w:t xml:space="preserve">                ∂i/∂costo × (costoMult-1) +</w:t>
      </w:r>
      <w:r>
        <w:br/>
      </w:r>
      <w:r>
        <w:rPr>
          <w:rStyle w:val="VerbatimChar"/>
        </w:rPr>
        <w:t xml:space="preserve">                ∂i/∂plazo × (plazoMult-1)</w:t>
      </w:r>
      <w:r>
        <w:br/>
      </w:r>
      <w:r>
        <w:rPr>
          <w:rStyle w:val="VerbatimChar"/>
        </w:rPr>
        <w:t xml:space="preserve">  PRODUCTS[fam].incidencia = baseline + Δincidencia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PASO 5: Re-correr peResimulate del flujo AUDP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Con los nuevos valores en PRODUCTS:</w:t>
      </w:r>
      <w:r>
        <w:br/>
      </w:r>
      <w:r>
        <w:rPr>
          <w:rStyle w:val="VerbatimChar"/>
        </w:rPr>
        <w:t xml:space="preserve">- Velocidad cambiada (peVelocidadPct = vel)</w:t>
      </w:r>
      <w:r>
        <w:br/>
      </w:r>
      <w:r>
        <w:rPr>
          <w:rStyle w:val="VerbatimChar"/>
        </w:rPr>
        <w:t xml:space="preserve">- Ticket multiplicado (tm aplica a revenue)</w:t>
      </w:r>
      <w:r>
        <w:br/>
      </w:r>
      <w:r>
        <w:rPr>
          <w:rStyle w:val="VerbatimChar"/>
        </w:rPr>
        <w:t xml:space="preserve">- Incidencia ajustada (vía Δincidencia)</w:t>
      </w:r>
      <w:r>
        <w:br/>
      </w:r>
      <w:r>
        <w:rPr>
          <w:rStyle w:val="VerbatimChar"/>
        </w:rPr>
        <w:t xml:space="preserve">- Costos triangulares (infra, mit, san)</w:t>
      </w:r>
      <w:r>
        <w:br/>
      </w:r>
      <w:r>
        <w:rPr>
          <w:rStyle w:val="VerbatimChar"/>
        </w:rPr>
        <w:t xml:space="preserve">- Tasa descuento sortado uniforme</w:t>
      </w:r>
      <w:r>
        <w:br/>
      </w:r>
      <w:r>
        <w:br/>
      </w:r>
      <w:r>
        <w:rPr>
          <w:rStyle w:val="VerbatimChar"/>
        </w:rPr>
        <w:t xml:space="preserve">Calcula el flujo de caja del AUDP año a año.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PASO 6: Calcular VAN del AUDP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VAN = Σ flujo_t / (1 + discRate)^t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PASO 7: Almacenar resultado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Guardar VAN en lista de resultados.</w:t>
      </w:r>
    </w:p>
    <w:p>
      <w:pPr>
        <w:pStyle w:val="FirstParagraph"/>
      </w:pPr>
      <w:r>
        <w:t xml:space="preserve">Este ciclo se repite N veces (típicamente 3.000-10.000), y al final tenemos la</w:t>
      </w:r>
      <w:r>
        <w:t xml:space="preserve"> </w:t>
      </w:r>
      <w:r>
        <w:rPr>
          <w:b/>
          <w:bCs/>
        </w:rPr>
        <w:t xml:space="preserve">distribución completa del VAN AUDP</w:t>
      </w:r>
      <w:r>
        <w:t xml:space="preserve"> </w:t>
      </w:r>
      <w:r>
        <w:t xml:space="preserve">bajo los escenarios sampleados.</w:t>
      </w:r>
    </w:p>
    <w:bookmarkEnd w:id="60"/>
    <w:bookmarkStart w:id="64" w:name="Xb6354301a5268599fb25a4beb6ba19b1617ca8b"/>
    <w:p>
      <w:pPr>
        <w:pStyle w:val="Heading2"/>
      </w:pPr>
      <w:r>
        <w:t xml:space="preserve">5.2 Sobre la velocidad: una variable, dos efectos</w:t>
      </w:r>
    </w:p>
    <w:p>
      <w:pPr>
        <w:pStyle w:val="CaptionedFigure"/>
      </w:pPr>
      <w:r>
        <w:drawing>
          <wp:inline>
            <wp:extent cx="5334000" cy="2901903"/>
            <wp:effectExtent b="0" l="0" r="0" t="0"/>
            <wp:docPr descr="Velocidad: una variable con dos efectos económicos acoplados" title="" id="62" name="Picture"/>
            <a:graphic>
              <a:graphicData uri="http://schemas.openxmlformats.org/drawingml/2006/picture">
                <pic:pic>
                  <pic:nvPicPr>
                    <pic:cNvPr descr="figures/07_velocidad_acoplamiento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1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Velocidad: una variable con dos efectos económicos acoplados</w:t>
      </w:r>
    </w:p>
    <w:p>
      <w:pPr>
        <w:pStyle w:val="BodyText"/>
      </w:pPr>
      <w:r>
        <w:t xml:space="preserve">Una pregunta crítica: si la velocidad es una sola variable, ¿por qué afecta a la incidencia Y al timing del AUDP por separado?</w:t>
      </w:r>
    </w:p>
    <w:p>
      <w:pPr>
        <w:pStyle w:val="BodyText"/>
      </w:pPr>
      <w:r>
        <w:rPr>
          <w:b/>
          <w:bCs/>
        </w:rPr>
        <w:t xml:space="preserve">Respuesta</w:t>
      </w:r>
      <w:r>
        <w:t xml:space="preserve">: es UNA variable con DOS efectos económicos sobre flujos distintos: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Efecto 1 (vía residual del proyecto)</w:t>
      </w:r>
      <w:r>
        <w:t xml:space="preserve">: velocidad ↑ → menor costo financiero del PIE → margen del developer mejora → puede pagar MÁS por el terreno →</w:t>
      </w:r>
      <w:r>
        <w:t xml:space="preserve"> </w:t>
      </w:r>
      <w:r>
        <w:rPr>
          <w:b/>
          <w:bCs/>
        </w:rPr>
        <w:t xml:space="preserve">incidencia sube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Efecto 2 (vía AUDP cash flow)</w:t>
      </w:r>
      <w:r>
        <w:t xml:space="preserve">: velocidad ↑ → AUDP vende su tierra antes → ingresos llegan antes →</w:t>
      </w:r>
      <w:r>
        <w:t xml:space="preserve"> </w:t>
      </w:r>
      <w:r>
        <w:rPr>
          <w:b/>
          <w:bCs/>
        </w:rPr>
        <w:t xml:space="preserve">VAN AUDP sube por NPV @ 8%</w:t>
      </w:r>
    </w:p>
    <w:p>
      <w:pPr>
        <w:pStyle w:val="FirstParagraph"/>
      </w:pPr>
      <w:r>
        <w:rPr>
          <w:b/>
          <w:bCs/>
        </w:rPr>
        <w:t xml:space="preserve">No es doble conteo</w:t>
      </w:r>
      <w:r>
        <w:t xml:space="preserve">: ambos efectos operan sobre</w:t>
      </w:r>
      <w:r>
        <w:t xml:space="preserve"> </w:t>
      </w:r>
      <w:r>
        <w:rPr>
          <w:b/>
          <w:bCs/>
        </w:rPr>
        <w:t xml:space="preserve">flujos de caja distintos</w:t>
      </w:r>
      <w:r>
        <w:t xml:space="preserve"> </w:t>
      </w:r>
      <w:r>
        <w:t xml:space="preserve">(proyecto vs. AUDP). La suma es el efecto total correcto.</w:t>
      </w:r>
    </w:p>
    <w:p>
      <w:pPr>
        <w:pStyle w:val="BodyText"/>
      </w:pPr>
      <w:r>
        <w:t xml:space="preserve">En el código del MC,</w:t>
      </w:r>
      <w:r>
        <w:t xml:space="preserve"> </w:t>
      </w:r>
      <w:r>
        <w:rPr>
          <w:b/>
          <w:bCs/>
        </w:rPr>
        <w:t xml:space="preserve">la misma muestra de velocidad</w:t>
      </w:r>
      <w:r>
        <w:t xml:space="preserve"> </w:t>
      </w:r>
      <w:r>
        <w:t xml:space="preserve">se aplica consistentemente a ambos canales. Esto es la integración correcta de la variable.</w:t>
      </w:r>
    </w:p>
    <w:bookmarkEnd w:id="64"/>
    <w:bookmarkEnd w:id="65"/>
    <w:bookmarkStart w:id="77" w:name="variables-del-modelo-catálogo-detallado"/>
    <w:p>
      <w:pPr>
        <w:pStyle w:val="Heading1"/>
      </w:pPr>
      <w:r>
        <w:t xml:space="preserve">6. Variables del modelo: catálogo detallado</w:t>
      </w:r>
    </w:p>
    <w:p>
      <w:pPr>
        <w:pStyle w:val="FirstParagraph"/>
      </w:pPr>
      <w:r>
        <w:t xml:space="preserve">Esta sección detalla cada variable del modelo con su unidad, significado, fuente y rol.</w:t>
      </w:r>
    </w:p>
    <w:bookmarkStart w:id="71" w:name="X4b0eb8a467a6fc25f1a09dd371fc6d20b9f320c"/>
    <w:p>
      <w:pPr>
        <w:pStyle w:val="Heading2"/>
      </w:pPr>
      <w:r>
        <w:t xml:space="preserve">6.1 Variables sampleadas (Capa 2 — entran a la cópula)</w:t>
      </w:r>
    </w:p>
    <w:bookmarkStart w:id="66" w:name="imacec-variación-interanual"/>
    <w:p>
      <w:pPr>
        <w:pStyle w:val="Heading3"/>
      </w:pPr>
      <w:r>
        <w:t xml:space="preserve">IMACEC variación interanual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Porcentaje 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creció (o cayó) la actividad económica chilena, mes a mes, comparado con el mismo mes del año anterior.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Mensual (agregada a trimestral por promedio)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Banco Central de Chile, base de datos pública si3.bcentral.cl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Cómo interpretar</w:t>
            </w:r>
          </w:p>
        </w:tc>
        <w:tc>
          <w:tcPr/>
          <w:p>
            <w:pPr>
              <w:pStyle w:val="Compact"/>
            </w:pPr>
            <w:r>
              <w:t xml:space="preserve">+2.5% = crecimiento moderado típico; +5% = boom; 0% a +1% = lento; negativo = recesión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</w:t>
            </w:r>
          </w:p>
        </w:tc>
        <w:tc>
          <w:tcPr/>
          <w:p>
            <w:pPr>
              <w:pStyle w:val="Compact"/>
            </w:pPr>
            <w:r>
              <w:t xml:space="preserve">Mean +2.89%, σ 4.48%, p10 -2.77%, p90 +8.77%</w:t>
            </w:r>
          </w:p>
        </w:tc>
      </w:tr>
    </w:tbl>
    <w:bookmarkEnd w:id="66"/>
    <w:bookmarkStart w:id="67" w:name="δ-tasa-hipotecaria"/>
    <w:p>
      <w:pPr>
        <w:pStyle w:val="Heading3"/>
      </w:pPr>
      <w:r>
        <w:t xml:space="preserve">Δ Tasa hipotecaria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Puntos porcentuales (pp)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subió o bajó el nivel de la tasa hipotecaria UF respecto al mismo trimestre del año anterior.</w:t>
            </w:r>
            <w:r>
              <w:t xml:space="preserve"> </w:t>
            </w:r>
            <w:r>
              <w:rPr>
                <w:b/>
                <w:bCs/>
              </w:rPr>
              <w:t xml:space="preserve">Es el cambio, no el nivel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Mensual (agregada a trimestral)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BCCh con datos de la CMF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Cómo interpretar</w:t>
            </w:r>
          </w:p>
        </w:tc>
        <w:tc>
          <w:tcPr/>
          <w:p>
            <w:pPr>
              <w:pStyle w:val="Compact"/>
            </w:pPr>
            <w:r>
              <w:t xml:space="preserve">+1pp = la tasa subió 100 puntos básicos en el año (e.g., de 4% a 5%); -0.5pp = bajó 50 bps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</w:t>
            </w:r>
          </w:p>
        </w:tc>
        <w:tc>
          <w:tcPr/>
          <w:p>
            <w:pPr>
              <w:pStyle w:val="Compact"/>
            </w:pPr>
            <w:r>
              <w:t xml:space="preserve">Mean -0.05pp, σ 0.48pp</w:t>
            </w:r>
          </w:p>
        </w:tc>
      </w:tr>
    </w:tbl>
    <w:bookmarkEnd w:id="67"/>
    <w:bookmarkStart w:id="68" w:name="δ-tasa-de-desempleo"/>
    <w:p>
      <w:pPr>
        <w:pStyle w:val="Heading3"/>
      </w:pPr>
      <w:r>
        <w:t xml:space="preserve">Δ Tasa de desempleo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Puntos porcentuales (pp)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subió o bajó el nivel de desempleo nacional respecto al mismo trimestre del año anterior.</w:t>
            </w:r>
            <w:r>
              <w:t xml:space="preserve"> </w:t>
            </w:r>
            <w:r>
              <w:rPr>
                <w:b/>
                <w:bCs/>
              </w:rPr>
              <w:t xml:space="preserve">Es el cambio, no el nivel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Trimestre móvil 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INE-NESI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Cómo interpretar</w:t>
            </w:r>
          </w:p>
        </w:tc>
        <w:tc>
          <w:tcPr/>
          <w:p>
            <w:pPr>
              <w:pStyle w:val="Compact"/>
            </w:pPr>
            <w:r>
              <w:t xml:space="preserve">+1pp = desempleo subió desde por ejemplo 7% a 8% en el año; -0.5pp = bajó 50 bps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</w:t>
            </w:r>
          </w:p>
        </w:tc>
        <w:tc>
          <w:tcPr/>
          <w:p>
            <w:pPr>
              <w:pStyle w:val="Compact"/>
            </w:pPr>
            <w:r>
              <w:t xml:space="preserve">Mean -0.01pp, σ 0.83pp</w:t>
            </w:r>
          </w:p>
        </w:tc>
      </w:tr>
    </w:tbl>
    <w:bookmarkEnd w:id="68"/>
    <w:bookmarkStart w:id="69" w:name="X035136653f5f314cebcd2ca26669561fa0e58e6"/>
    <w:p>
      <w:pPr>
        <w:pStyle w:val="Heading3"/>
      </w:pPr>
      <w:r>
        <w:t xml:space="preserve">IPV YoY (Índice Precios Vivienda variación anual)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Porcentaje (%) variación interanual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cambió el índice oficial de precios de vivienda. Se construye con metodología Laspeyres controlando por composición.</w:t>
            </w:r>
            <w:r>
              <w:t xml:space="preserve"> </w:t>
            </w:r>
            <w:r>
              <w:rPr>
                <w:b/>
                <w:bCs/>
              </w:rPr>
              <w:t xml:space="preserve">Es el shock directo de precio</w:t>
            </w:r>
            <w:r>
              <w:t xml:space="preserve"> </w:t>
            </w:r>
            <w:r>
              <w:t xml:space="preserve">del modelo.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Anual (interpolado a trimestral)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BCCh, IPV desglosado por tipología (deptos nuevos, casas nuevas,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Mapeo familia → variante</w:t>
            </w:r>
          </w:p>
        </w:tc>
        <w:tc>
          <w:tcPr/>
          <w:p>
            <w:pPr>
              <w:pStyle w:val="Compact"/>
            </w:pPr>
            <w:r>
              <w:t xml:space="preserve">Edif y DS19 → IPV deptos nuevos; Casa y Townhouse → IPV casas nuevas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 deptos</w:t>
            </w:r>
          </w:p>
        </w:tc>
        <w:tc>
          <w:tcPr/>
          <w:p>
            <w:pPr>
              <w:pStyle w:val="Compact"/>
            </w:pPr>
            <w:r>
              <w:t xml:space="preserve">Mean +1.87%, σ 1.65%, p10 -0.14%, p90 +5.35%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 casas</w:t>
            </w:r>
          </w:p>
        </w:tc>
        <w:tc>
          <w:tcPr/>
          <w:p>
            <w:pPr>
              <w:pStyle w:val="Compact"/>
            </w:pPr>
            <w:r>
              <w:t xml:space="preserve">Mean +2.40%, σ 2.60%, p10 0%, p90 +8.19%</w:t>
            </w:r>
          </w:p>
        </w:tc>
      </w:tr>
    </w:tbl>
    <w:bookmarkEnd w:id="69"/>
    <w:bookmarkStart w:id="70" w:name="X53d6300536a953d1ebb537575f77d186403a793"/>
    <w:p>
      <w:pPr>
        <w:pStyle w:val="Heading3"/>
      </w:pPr>
      <w:r>
        <w:t xml:space="preserve">ICOI YoY (Costos Construcción variación anual)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Porcentaje (%) variación interanual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cambió el costo de construcción de edificación. Mide inflación de cemento, fierro, mano de obra, transporte.</w:t>
            </w:r>
            <w:r>
              <w:t xml:space="preserve"> </w:t>
            </w:r>
            <w:r>
              <w:rPr>
                <w:b/>
                <w:bCs/>
              </w:rPr>
              <w:t xml:space="preserve">Es el shock directo de costo</w:t>
            </w:r>
            <w:r>
              <w:t xml:space="preserve"> </w:t>
            </w:r>
            <w:r>
              <w:t xml:space="preserve">del modelo.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Anual (interpolado a trimestral)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Cámara Chilena de la Construcción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Cobertura</w:t>
            </w:r>
          </w:p>
        </w:tc>
        <w:tc>
          <w:tcPr/>
          <w:p>
            <w:pPr>
              <w:pStyle w:val="Compact"/>
            </w:pPr>
            <w:r>
              <w:t xml:space="preserve">2013-presente (10 puntos anuales — escasa, pero suficiente)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</w:t>
            </w:r>
          </w:p>
        </w:tc>
        <w:tc>
          <w:tcPr/>
          <w:p>
            <w:pPr>
              <w:pStyle w:val="Compact"/>
            </w:pPr>
            <w:r>
              <w:t xml:space="preserve">Mean +2.47%, σ 11.53% —</w:t>
            </w:r>
            <w:r>
              <w:t xml:space="preserve"> </w:t>
            </w:r>
            <w:r>
              <w:rPr>
                <w:b/>
                <w:bCs/>
              </w:rPr>
              <w:t xml:space="preserve">muy volátil</w:t>
            </w:r>
            <w:r>
              <w:t xml:space="preserve">. Refleja shocks de commodities y dólar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Ejemplos históricos</w:t>
            </w:r>
          </w:p>
        </w:tc>
        <w:tc>
          <w:tcPr/>
          <w:p>
            <w:pPr>
              <w:pStyle w:val="Compact"/>
            </w:pPr>
            <w:r>
              <w:t xml:space="preserve">2023: cayó 16% (recesión global de costos); 2021-2022: subió &gt;20% (post-COVID)</w:t>
            </w:r>
          </w:p>
        </w:tc>
      </w:tr>
    </w:tbl>
    <w:bookmarkEnd w:id="70"/>
    <w:bookmarkEnd w:id="71"/>
    <w:bookmarkStart w:id="76" w:name="variables-del-proyecto-derivadas-capa-1"/>
    <w:p>
      <w:pPr>
        <w:pStyle w:val="Heading2"/>
      </w:pPr>
      <w:r>
        <w:t xml:space="preserve">6.2 Variables del proyecto derivadas (Capa 1)</w:t>
      </w:r>
    </w:p>
    <w:bookmarkStart w:id="72" w:name="precio-de-venta-yoy"/>
    <w:p>
      <w:pPr>
        <w:pStyle w:val="Heading3"/>
      </w:pPr>
      <w:r>
        <w:t xml:space="preserve">Precio de venta YoY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Fórmula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precio_yoy = IPV_familiar_sampleado + 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% variación interanual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cambia el precio promedio (UF/m² vendible) del producto, respecto al año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σ idiosincrático por familia</w:t>
            </w:r>
          </w:p>
        </w:tc>
        <w:tc>
          <w:tcPr/>
          <w:p>
            <w:pPr>
              <w:pStyle w:val="Compact"/>
            </w:pPr>
            <w:r>
              <w:t xml:space="preserve">Edif 4-6p: 9.80pp · DS19: 5.16pp · Casa: 6.40pp · TH: 17.17pp</w:t>
            </w:r>
          </w:p>
        </w:tc>
      </w:tr>
    </w:tbl>
    <w:bookmarkEnd w:id="72"/>
    <w:bookmarkStart w:id="73" w:name="costo-construcción-yoy"/>
    <w:p>
      <w:pPr>
        <w:pStyle w:val="Heading3"/>
      </w:pPr>
      <w:r>
        <w:t xml:space="preserve">Costo construcción YoY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Fórmula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costo_yoy = ICOI_sampleado + 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% variación interanual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cambia el costo de construcción directo (UF/m² construido) que el developer paga al contratista, respecto al año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σ idiosincrático</w:t>
            </w:r>
          </w:p>
        </w:tc>
        <w:tc>
          <w:tcPr/>
          <w:p>
            <w:pPr>
              <w:pStyle w:val="Compact"/>
            </w:pPr>
            <w:r>
              <w:t xml:space="preserve">3.0 pp (parámetro económico fijo)</w:t>
            </w:r>
          </w:p>
        </w:tc>
      </w:tr>
    </w:tbl>
    <w:bookmarkEnd w:id="73"/>
    <w:bookmarkStart w:id="74" w:name="velocidad-de-venta-yoy-variable-acoplada"/>
    <w:p>
      <w:pPr>
        <w:pStyle w:val="Heading3"/>
      </w:pPr>
      <w:r>
        <w:t xml:space="preserve">Velocidad de venta YoY (variable acoplada)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Fórmula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velocidad_yoy = α + Σ β_i·macros_i + ε</w:t>
            </w:r>
            <w:r>
              <w:t xml:space="preserve"> </w:t>
            </w:r>
            <w:r>
              <w:t xml:space="preserve">(regresión OLS calibrada)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% variación interanual de unidades vendidas/mes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cambia la velocidad de venta del producto.</w:t>
            </w:r>
            <w:r>
              <w:t xml:space="preserve"> </w:t>
            </w:r>
            <w:r>
              <w:rPr>
                <w:b/>
                <w:bCs/>
              </w:rPr>
              <w:t xml:space="preserve">Velocidad de venta = unidades vendidas por 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Acoplamiento</w:t>
            </w:r>
          </w:p>
        </w:tc>
        <w:tc>
          <w:tcPr/>
          <w:p>
            <w:pPr>
              <w:pStyle w:val="Compact"/>
            </w:pPr>
            <w:r>
              <w:t xml:space="preserve">UNA variable con DOS efectos: (1) afecta incidencia vía residual, (2) afecta timing AUDP</w:t>
            </w:r>
          </w:p>
        </w:tc>
      </w:tr>
    </w:tbl>
    <w:bookmarkEnd w:id="74"/>
    <w:bookmarkStart w:id="75" w:name="plazo-de-obra-yoy"/>
    <w:p>
      <w:pPr>
        <w:pStyle w:val="Heading3"/>
      </w:pPr>
      <w:r>
        <w:t xml:space="preserve">Plazo de obra YoY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Fórmula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plazo_yoy = ε</w:t>
            </w:r>
            <w:r>
              <w:t xml:space="preserve"> </w:t>
            </w:r>
            <w:r>
              <w:t xml:space="preserve">(ruido idiosincrático con clamp ±25pp)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% variación interanual de meses de obra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cambia la duración de la construcción del producto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Razón de no regresar</w:t>
            </w:r>
          </w:p>
        </w:tc>
        <w:tc>
          <w:tcPr/>
          <w:p>
            <w:pPr>
              <w:pStyle w:val="Compact"/>
            </w:pPr>
            <w:r>
              <w:t xml:space="preserve">El plazo lo decide el developer en función de su pipeline interno, no de macros</w:t>
            </w:r>
          </w:p>
        </w:tc>
      </w:tr>
    </w:tbl>
    <w:bookmarkEnd w:id="75"/>
    <w:bookmarkEnd w:id="76"/>
    <w:bookmarkEnd w:id="77"/>
    <w:bookmarkStart w:id="84" w:name="validación-del-modelo"/>
    <w:p>
      <w:pPr>
        <w:pStyle w:val="Heading1"/>
      </w:pPr>
      <w:r>
        <w:t xml:space="preserve">7. Validación del modelo</w:t>
      </w:r>
    </w:p>
    <w:bookmarkStart w:id="78" w:name="Xad905f94f797be6e5b2ee211784de462f1b8589"/>
    <w:p>
      <w:pPr>
        <w:pStyle w:val="Heading2"/>
      </w:pPr>
      <w:r>
        <w:t xml:space="preserve">7.1 Test 1: ¿Los presets producen distribuciones distintas?</w:t>
      </w:r>
    </w:p>
    <w:p>
      <w:pPr>
        <w:pStyle w:val="FirstParagraph"/>
      </w:pPr>
      <w:r>
        <w:t xml:space="preserve">Ejecutamos el modelo con cada preset histórico y medimos la incidencia resultante: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Preset</w:t>
            </w:r>
          </w:p>
        </w:tc>
        <w:tc>
          <w:tcPr/>
          <w:p>
            <w:pPr>
              <w:pStyle w:val="Compact"/>
            </w:pPr>
            <w:r>
              <w:t xml:space="preserve">Incidencia mean</w:t>
            </w:r>
          </w:p>
        </w:tc>
        <w:tc>
          <w:tcPr/>
          <w:p>
            <w:pPr>
              <w:pStyle w:val="Compact"/>
            </w:pPr>
            <w:r>
              <w:t xml:space="preserve">Δ vs base</w:t>
            </w:r>
          </w:p>
        </w:tc>
        <w:tc>
          <w:tcPr/>
          <w:p>
            <w:pPr>
              <w:pStyle w:val="Compact"/>
            </w:pPr>
            <w:r>
              <w:t xml:space="preserve">¿Tiene sentido económico?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esperado</w:t>
            </w:r>
          </w:p>
        </w:tc>
        <w:tc>
          <w:tcPr/>
          <w:p>
            <w:pPr>
              <w:pStyle w:val="Compact"/>
            </w:pPr>
            <w:r>
              <w:t xml:space="preserve">15.07%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Subprime 2009</w:t>
            </w:r>
          </w:p>
        </w:tc>
        <w:tc>
          <w:tcPr/>
          <w:p>
            <w:pPr>
              <w:pStyle w:val="Compact"/>
            </w:pPr>
            <w:r>
              <w:t xml:space="preserve">13.58%</w:t>
            </w:r>
          </w:p>
        </w:tc>
        <w:tc>
          <w:tcPr/>
          <w:p>
            <w:pPr>
              <w:pStyle w:val="Compact"/>
            </w:pPr>
            <w:r>
              <w:t xml:space="preserve">-1.49 pp</w:t>
            </w:r>
          </w:p>
        </w:tc>
        <w:tc>
          <w:tcPr/>
          <w:p>
            <w:pPr>
              <w:pStyle w:val="Compact"/>
            </w:pPr>
            <w:r>
              <w:t xml:space="preserve">Sí (crisis suave)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Estallido + COVID 2019-2020</w:t>
            </w:r>
          </w:p>
        </w:tc>
        <w:tc>
          <w:tcPr/>
          <w:p>
            <w:pPr>
              <w:pStyle w:val="Compact"/>
            </w:pPr>
            <w:r>
              <w:t xml:space="preserve">13.02%</w:t>
            </w:r>
          </w:p>
        </w:tc>
        <w:tc>
          <w:tcPr/>
          <w:p>
            <w:pPr>
              <w:pStyle w:val="Compact"/>
            </w:pPr>
            <w:r>
              <w:t xml:space="preserve">-2.05 pp</w:t>
            </w:r>
          </w:p>
        </w:tc>
        <w:tc>
          <w:tcPr/>
          <w:p>
            <w:pPr>
              <w:pStyle w:val="Compact"/>
            </w:pPr>
            <w:r>
              <w:t xml:space="preserve">Sí (costos altos comprimen margen)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Boom post-COVID 2021</w:t>
            </w:r>
          </w:p>
        </w:tc>
        <w:tc>
          <w:tcPr/>
          <w:p>
            <w:pPr>
              <w:pStyle w:val="Compact"/>
            </w:pPr>
            <w:r>
              <w:t xml:space="preserve">14.71%</w:t>
            </w:r>
          </w:p>
        </w:tc>
        <w:tc>
          <w:tcPr/>
          <w:p>
            <w:pPr>
              <w:pStyle w:val="Compact"/>
            </w:pPr>
            <w:r>
              <w:t xml:space="preserve">-0.36 pp</w:t>
            </w:r>
          </w:p>
        </w:tc>
        <w:tc>
          <w:tcPr/>
          <w:p>
            <w:pPr>
              <w:pStyle w:val="Compact"/>
            </w:pPr>
            <w:r>
              <w:t xml:space="preserve">Sí (boom no impacta materialmente)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Slowdown 2023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22.45%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+7.38 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 (ICOI cayó -16% → mejor margen)</w:t>
            </w:r>
          </w:p>
        </w:tc>
      </w:tr>
    </w:tbl>
    <w:p>
      <w:pPr>
        <w:pStyle w:val="BodyText"/>
      </w:pPr>
      <w:r>
        <w:t xml:space="preserve">Los signos son</w:t>
      </w:r>
      <w:r>
        <w:t xml:space="preserve"> </w:t>
      </w:r>
      <w:r>
        <w:rPr>
          <w:b/>
          <w:bCs/>
        </w:rPr>
        <w:t xml:space="preserve">económicamente correctos y robustos</w:t>
      </w:r>
      <w:r>
        <w:t xml:space="preserve">.</w:t>
      </w:r>
    </w:p>
    <w:bookmarkEnd w:id="78"/>
    <w:bookmarkStart w:id="79" w:name="X25dc40cdba7d67d2eab4938a9652d37e2998721"/>
    <w:p>
      <w:pPr>
        <w:pStyle w:val="Heading2"/>
      </w:pPr>
      <w:r>
        <w:t xml:space="preserve">7.2 Test 2: ¿Las marginales sampleadas reproducen las observadas?</w:t>
      </w:r>
    </w:p>
    <w:p>
      <w:pPr>
        <w:pStyle w:val="FirstParagraph"/>
      </w:pPr>
      <w:r>
        <w:t xml:space="preserve">Diferencias entre sampleadas y empíricas (Edif 4-6p, 5.000 draws):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Sampleado mean</w:t>
            </w:r>
          </w:p>
        </w:tc>
        <w:tc>
          <w:tcPr/>
          <w:p>
            <w:pPr>
              <w:pStyle w:val="Compact"/>
            </w:pPr>
            <w:r>
              <w:t xml:space="preserve">Empírico mean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precio_uf_m2</w:t>
            </w:r>
          </w:p>
        </w:tc>
        <w:tc>
          <w:tcPr/>
          <w:p>
            <w:pPr>
              <w:pStyle w:val="Compact"/>
            </w:pPr>
            <w:r>
              <w:t xml:space="preserve">72.20</w:t>
            </w:r>
          </w:p>
        </w:tc>
        <w:tc>
          <w:tcPr/>
          <w:p>
            <w:pPr>
              <w:pStyle w:val="Compact"/>
            </w:pPr>
            <w:r>
              <w:t xml:space="preserve">72.26</w:t>
            </w:r>
          </w:p>
        </w:tc>
        <w:tc>
          <w:tcPr/>
          <w:p>
            <w:pPr>
              <w:pStyle w:val="Compact"/>
            </w:pPr>
            <w:r>
              <w:t xml:space="preserve">-0.1%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velocidad_uds_mes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-0.9%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plazo_construccion_meses</w:t>
            </w:r>
          </w:p>
        </w:tc>
        <w:tc>
          <w:tcPr/>
          <w:p>
            <w:pPr>
              <w:pStyle w:val="Compact"/>
            </w:pPr>
            <w:r>
              <w:t xml:space="preserve">24.96</w:t>
            </w:r>
          </w:p>
        </w:tc>
        <w:tc>
          <w:tcPr/>
          <w:p>
            <w:pPr>
              <w:pStyle w:val="Compact"/>
            </w:pPr>
            <w:r>
              <w:t xml:space="preserve">24.76</w:t>
            </w:r>
          </w:p>
        </w:tc>
        <w:tc>
          <w:tcPr/>
          <w:p>
            <w:pPr>
              <w:pStyle w:val="Compact"/>
            </w:pPr>
            <w:r>
              <w:t xml:space="preserve">+0.8%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sup_promedio_m2</w:t>
            </w:r>
          </w:p>
        </w:tc>
        <w:tc>
          <w:tcPr/>
          <w:p>
            <w:pPr>
              <w:pStyle w:val="Compact"/>
            </w:pPr>
            <w:r>
              <w:t xml:space="preserve">105.4</w:t>
            </w:r>
          </w:p>
        </w:tc>
        <w:tc>
          <w:tcPr/>
          <w:p>
            <w:pPr>
              <w:pStyle w:val="Compact"/>
            </w:pPr>
            <w:r>
              <w:t xml:space="preserve">104.7</w:t>
            </w:r>
          </w:p>
        </w:tc>
        <w:tc>
          <w:tcPr/>
          <w:p>
            <w:pPr>
              <w:pStyle w:val="Compact"/>
            </w:pPr>
            <w:r>
              <w:t xml:space="preserve">+0.7%</w:t>
            </w:r>
          </w:p>
        </w:tc>
      </w:tr>
    </w:tbl>
    <w:p>
      <w:pPr>
        <w:pStyle w:val="BodyText"/>
      </w:pPr>
      <w:r>
        <w:t xml:space="preserve">Diferencias &lt; 1.5% en todos los casos.</w:t>
      </w:r>
    </w:p>
    <w:bookmarkEnd w:id="79"/>
    <w:bookmarkStart w:id="83" w:name="tornado-qué-variables-mueven-más-el-van"/>
    <w:p>
      <w:pPr>
        <w:pStyle w:val="Heading2"/>
      </w:pPr>
      <w:r>
        <w:t xml:space="preserve">7.3 Tornado: ¿Qué variables mueven más el VAN?</w:t>
      </w:r>
    </w:p>
    <w:p>
      <w:pPr>
        <w:pStyle w:val="CaptionedFigure"/>
      </w:pPr>
      <w:r>
        <w:drawing>
          <wp:inline>
            <wp:extent cx="5334000" cy="2882317"/>
            <wp:effectExtent b="0" l="0" r="0" t="0"/>
            <wp:docPr descr="Tornado de sensibilidad esperado" title="" id="81" name="Picture"/>
            <a:graphic>
              <a:graphicData uri="http://schemas.openxmlformats.org/drawingml/2006/picture">
                <pic:pic>
                  <pic:nvPicPr>
                    <pic:cNvPr descr="figures/08_tornado_esperado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2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Tornado de sensibilidad esperado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Contribución a varianza VAN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Ticket multiplier</w:t>
            </w:r>
          </w:p>
        </w:tc>
        <w:tc>
          <w:tcPr/>
          <w:p>
            <w:pPr>
              <w:pStyle w:val="Compact"/>
            </w:pPr>
            <w:r>
              <w:t xml:space="preserve">~30-40%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construcción (vía residual)</w:t>
            </w:r>
          </w:p>
        </w:tc>
        <w:tc>
          <w:tcPr/>
          <w:p>
            <w:pPr>
              <w:pStyle w:val="Compact"/>
            </w:pPr>
            <w:r>
              <w:t xml:space="preserve">~20-25%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Plazo obra (vía residual)</w:t>
            </w:r>
          </w:p>
        </w:tc>
        <w:tc>
          <w:tcPr/>
          <w:p>
            <w:pPr>
              <w:pStyle w:val="Compact"/>
            </w:pPr>
            <w:r>
              <w:t xml:space="preserve">~15-20%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 venta</w:t>
            </w:r>
          </w:p>
        </w:tc>
        <w:tc>
          <w:tcPr/>
          <w:p>
            <w:pPr>
              <w:pStyle w:val="Compact"/>
            </w:pPr>
            <w:r>
              <w:t xml:space="preserve">~8-12%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 descuento</w:t>
            </w:r>
          </w:p>
        </w:tc>
        <w:tc>
          <w:tcPr/>
          <w:p>
            <w:pPr>
              <w:pStyle w:val="Compact"/>
            </w:pPr>
            <w:r>
              <w:t xml:space="preserve">~3-5%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Resto</w:t>
            </w:r>
          </w:p>
        </w:tc>
        <w:tc>
          <w:tcPr/>
          <w:p>
            <w:pPr>
              <w:pStyle w:val="Compact"/>
            </w:pPr>
            <w:r>
              <w:t xml:space="preserve">~10%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Comparación con versión anterior</w:t>
      </w:r>
      <w:r>
        <w:t xml:space="preserve">: el ticket dominaba 92.6% por falta de costo y plazo como variables. La inclusión de las 4 variables del proyecto balancea el modelo correctamente.</w:t>
      </w:r>
    </w:p>
    <w:bookmarkEnd w:id="83"/>
    <w:bookmarkEnd w:id="84"/>
    <w:bookmarkStart w:id="92" w:name="Xc69656c1b9253d5f29a17fee93bff31dddc9ab8"/>
    <w:p>
      <w:pPr>
        <w:pStyle w:val="Heading1"/>
      </w:pPr>
      <w:r>
        <w:t xml:space="preserve">8. Limitaciones honestas y oportunidades de mejora</w:t>
      </w:r>
    </w:p>
    <w:bookmarkStart w:id="85" w:name="limitaciones-reconocidas"/>
    <w:p>
      <w:pPr>
        <w:pStyle w:val="Heading2"/>
      </w:pPr>
      <w:r>
        <w:t xml:space="preserve">8.1 Limitaciones reconocidas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Limitación</w:t>
            </w:r>
          </w:p>
        </w:tc>
        <w:tc>
          <w:tcPr/>
          <w:p>
            <w:pPr>
              <w:pStyle w:val="Compact"/>
            </w:pPr>
            <w:r>
              <w:t xml:space="preserve">Magnitud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R² regresión velocidad bajo (OLS)</w:t>
            </w:r>
          </w:p>
        </w:tc>
        <w:tc>
          <w:tcPr/>
          <w:p>
            <w:pPr>
              <w:pStyle w:val="Compact"/>
            </w:pPr>
            <w:r>
              <w:t xml:space="preserve">0.02-0.22</w:t>
            </w:r>
          </w:p>
        </w:tc>
        <w:tc>
          <w:tcPr/>
          <w:p>
            <w:pPr>
              <w:pStyle w:val="Compact"/>
            </w:pPr>
            <w:r>
              <w:t xml:space="preserve">El ε residual con su σ se sortea; Random Forest podría reemplazar OLS y subir R² a 0.62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Bajo N en familias periféricas</w:t>
            </w:r>
          </w:p>
        </w:tc>
        <w:tc>
          <w:tcPr/>
          <w:p>
            <w:pPr>
              <w:pStyle w:val="Compact"/>
            </w:pPr>
            <w:r>
              <w:t xml:space="preserve">DS19 (80 trim), TH (116)</w:t>
            </w:r>
          </w:p>
        </w:tc>
        <w:tc>
          <w:tcPr/>
          <w:p>
            <w:pPr>
              <w:pStyle w:val="Compact"/>
            </w:pPr>
            <w:r>
              <w:t xml:space="preserve">Resultados directionalmente correctos pero σ amplia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Costos no calibrados con TINSA</w:t>
            </w:r>
          </w:p>
        </w:tc>
        <w:tc>
          <w:tcPr/>
          <w:p>
            <w:pPr>
              <w:pStyle w:val="Compact"/>
            </w:pPr>
            <w:r>
              <w:t xml:space="preserve">TINSA no tiene costos del developer</w:t>
            </w:r>
          </w:p>
        </w:tc>
        <w:tc>
          <w:tcPr/>
          <w:p>
            <w:pPr>
              <w:pStyle w:val="Compact"/>
            </w:pPr>
            <w:r>
              <w:t xml:space="preserve">σ=3pp asumido como parámetro económico razonable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Linealización Δ-incidencia</w:t>
            </w:r>
          </w:p>
        </w:tc>
        <w:tc>
          <w:tcPr/>
          <w:p>
            <w:pPr>
              <w:pStyle w:val="Compact"/>
            </w:pPr>
            <w:r>
              <w:t xml:space="preserve">Aproximación de primer orden</w:t>
            </w:r>
          </w:p>
        </w:tc>
        <w:tc>
          <w:tcPr/>
          <w:p>
            <w:pPr>
              <w:pStyle w:val="Compact"/>
            </w:pPr>
            <w:r>
              <w:t xml:space="preserve">Centered-difference O(h²); error &lt;2% para shocks ≤10%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usa lags óptimos de IPV</w:t>
            </w:r>
          </w:p>
        </w:tc>
        <w:tc>
          <w:tcPr/>
          <w:p>
            <w:pPr>
              <w:pStyle w:val="Compact"/>
            </w:pPr>
            <w:r>
              <w:t xml:space="preserve">Modelo usa IPV contemporáneo, óptimo es t-2/t-3</w:t>
            </w:r>
          </w:p>
        </w:tc>
        <w:tc>
          <w:tcPr/>
          <w:p>
            <w:pPr>
              <w:pStyle w:val="Compact"/>
            </w:pPr>
            <w:r>
              <w:t xml:space="preserve">Mejora identificada para próxima iteración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estratifica por comuna</w:t>
            </w:r>
          </w:p>
        </w:tc>
        <w:tc>
          <w:tcPr/>
          <w:p>
            <w:pPr>
              <w:pStyle w:val="Compact"/>
            </w:pPr>
            <w:r>
              <w:t xml:space="preserve">Comuna explica 49% del precio (más que familia 10%)</w:t>
            </w:r>
          </w:p>
        </w:tc>
        <w:tc>
          <w:tcPr/>
          <w:p>
            <w:pPr>
              <w:pStyle w:val="Compact"/>
            </w:pPr>
            <w:r>
              <w:t xml:space="preserve">Próxima iteración debería filtrar TINSA por comunas relevantes al AUDP</w:t>
            </w:r>
          </w:p>
        </w:tc>
      </w:tr>
    </w:tbl>
    <w:bookmarkEnd w:id="85"/>
    <w:bookmarkStart w:id="91" w:name="Xefe088c2d1e588c1c9e3c6a8f483d1d758c7bec"/>
    <w:p>
      <w:pPr>
        <w:pStyle w:val="Heading2"/>
      </w:pPr>
      <w:r>
        <w:t xml:space="preserve">8.2 Mejoras IMPLEMENTADAS (Versión 2 del modelo)</w:t>
      </w:r>
    </w:p>
    <w:p>
      <w:pPr>
        <w:pStyle w:val="FirstParagraph"/>
      </w:pPr>
      <w:r>
        <w:t xml:space="preserve">Las 4 primeras mejoras priorizadas se implementaron en una nueva versión del factor model (</w:t>
      </w:r>
      <w:r>
        <w:rPr>
          <w:rStyle w:val="VerbatimChar"/>
        </w:rPr>
        <w:t xml:space="preserve">analysis/build_macro_v2.py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public/macro_factor_v2.js</w:t>
      </w:r>
      <w:r>
        <w:t xml:space="preserve">). Resultados honestos:</w:t>
      </w:r>
    </w:p>
    <w:bookmarkStart w:id="86" w:name="mejora-1-ipv-con-lag-t-3"/>
    <w:p>
      <w:pPr>
        <w:pStyle w:val="Heading3"/>
      </w:pPr>
      <w:r>
        <w:t xml:space="preserve">Mejora 1 ✓: IPV con lag t-3</w:t>
      </w:r>
    </w:p>
    <w:p>
      <w:pPr>
        <w:pStyle w:val="FirstParagraph"/>
      </w:pPr>
      <w:r>
        <w:t xml:space="preserve">Recalibramos σ idiosincrático del precio usando IPV con lag de 3 trimestres en lugar de contemporáneo.</w:t>
      </w:r>
    </w:p>
    <w:p>
      <w:pPr>
        <w:pStyle w:val="BodyText"/>
      </w:pPr>
      <w:r>
        <w:rPr>
          <w:b/>
          <w:bCs/>
        </w:rPr>
        <w:t xml:space="preserve">Resultado</w:t>
      </w:r>
      <w:r>
        <w:t xml:space="preserve">: la diferencia σ_t vs σ_t-3 es</w:t>
      </w:r>
      <w:r>
        <w:t xml:space="preserve"> </w:t>
      </w:r>
      <w:r>
        <w:rPr>
          <w:b/>
          <w:bCs/>
        </w:rPr>
        <w:t xml:space="preserve">marginal por familia</w:t>
      </w:r>
      <w:r>
        <w:t xml:space="preserve"> </w:t>
      </w:r>
      <w:r>
        <w:t xml:space="preserve">(0.03-0.34 pp). Esto contrasta con el efecto fuerte que se ve en pooled (ρ 0.34 → 0.55).</w:t>
      </w:r>
    </w:p>
    <w:p>
      <w:pPr>
        <w:pStyle w:val="BodyText"/>
      </w:pPr>
      <w:r>
        <w:rPr>
          <w:b/>
          <w:bCs/>
        </w:rPr>
        <w:t xml:space="preserve">Por qué</w:t>
      </w:r>
      <w:r>
        <w:t xml:space="preserve">: cuando estratificamos por familia (36-57 obs por celda), el efecto del lag se diluye porque hay más ruido idiosincrático específico al producto. El lag es importante a nivel agregado pero pierde señal a nivel de familia.</w:t>
      </w:r>
    </w:p>
    <w:p>
      <w:pPr>
        <w:pStyle w:val="BodyText"/>
      </w:pPr>
      <w:r>
        <w:rPr>
          <w:b/>
          <w:bCs/>
        </w:rPr>
        <w:t xml:space="preserve">Conclusión</w:t>
      </w:r>
      <w:r>
        <w:t xml:space="preserve">: cambio conceptualmente correcto pero impacto cuantitativo modesto.</w:t>
      </w:r>
    </w:p>
    <w:bookmarkEnd w:id="86"/>
    <w:bookmarkStart w:id="87" w:name="X7503bd91b615e79c53c78d3b231f6d58cb39472"/>
    <w:p>
      <w:pPr>
        <w:pStyle w:val="Heading3"/>
      </w:pPr>
      <w:r>
        <w:t xml:space="preserve">Mejora 2 ✓: Estratificación por comuna AUDP-relevante</w:t>
      </w:r>
    </w:p>
    <w:p>
      <w:pPr>
        <w:pStyle w:val="FirstParagraph"/>
      </w:pPr>
      <w:r>
        <w:t xml:space="preserve">Filtramos TINSA por las</w:t>
      </w:r>
      <w:r>
        <w:t xml:space="preserve"> </w:t>
      </w:r>
      <w:r>
        <w:rPr>
          <w:b/>
          <w:bCs/>
        </w:rPr>
        <w:t xml:space="preserve">7 comunas</w:t>
      </w:r>
      <w:r>
        <w:t xml:space="preserve"> </w:t>
      </w:r>
      <w:r>
        <w:t xml:space="preserve">de la zona periurbana de Santiago: LAMPA, COLINA, BUIN, PADRE HURTADO, SAN BERNARDO, TILTIL, MELIPILLA. Total:</w:t>
      </w:r>
      <w:r>
        <w:t xml:space="preserve"> </w:t>
      </w:r>
      <w:r>
        <w:rPr>
          <w:b/>
          <w:bCs/>
        </w:rPr>
        <w:t xml:space="preserve">14.708 observaciones</w:t>
      </w:r>
      <w:r>
        <w:t xml:space="preserve">, dominadas por COLINA (5.348), BUIN (2.639) y SAN BERNARDO (2.571).</w:t>
      </w:r>
    </w:p>
    <w:p>
      <w:pPr>
        <w:pStyle w:val="BodyText"/>
      </w:pPr>
      <w:r>
        <w:rPr>
          <w:b/>
          <w:bCs/>
        </w:rPr>
        <w:t xml:space="preserve">Resultado</w:t>
      </w:r>
      <w:r>
        <w:t xml:space="preserve">: diferencia real y cuantificable en σ idiosincrático del precio: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Familia</w:t>
            </w:r>
          </w:p>
        </w:tc>
        <w:tc>
          <w:tcPr/>
          <w:p>
            <w:pPr>
              <w:pStyle w:val="Compact"/>
            </w:pPr>
            <w:r>
              <w:t xml:space="preserve">σ AUDP zone</w:t>
            </w:r>
          </w:p>
        </w:tc>
        <w:tc>
          <w:tcPr/>
          <w:p>
            <w:pPr>
              <w:pStyle w:val="Compact"/>
            </w:pPr>
            <w:r>
              <w:t xml:space="preserve">σ nacional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Edif 4-6p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21.69 pp</w:t>
            </w:r>
          </w:p>
        </w:tc>
        <w:tc>
          <w:tcPr/>
          <w:p>
            <w:pPr>
              <w:pStyle w:val="Compact"/>
            </w:pPr>
            <w:r>
              <w:t xml:space="preserve">9.52 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+12.2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Townhouse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21.38 pp</w:t>
            </w:r>
          </w:p>
        </w:tc>
        <w:tc>
          <w:tcPr/>
          <w:p>
            <w:pPr>
              <w:pStyle w:val="Compact"/>
            </w:pPr>
            <w:r>
              <w:t xml:space="preserve">16.21 pp</w:t>
            </w:r>
          </w:p>
        </w:tc>
        <w:tc>
          <w:tcPr/>
          <w:p>
            <w:pPr>
              <w:pStyle w:val="Compact"/>
            </w:pPr>
            <w:r>
              <w:t xml:space="preserve">+5.2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Casa</w:t>
            </w:r>
          </w:p>
        </w:tc>
        <w:tc>
          <w:tcPr/>
          <w:p>
            <w:pPr>
              <w:pStyle w:val="Compact"/>
            </w:pPr>
            <w:r>
              <w:t xml:space="preserve">7.97 pp</w:t>
            </w:r>
          </w:p>
        </w:tc>
        <w:tc>
          <w:tcPr/>
          <w:p>
            <w:pPr>
              <w:pStyle w:val="Compact"/>
            </w:pPr>
            <w:r>
              <w:t xml:space="preserve">7.06 pp</w:t>
            </w:r>
          </w:p>
        </w:tc>
        <w:tc>
          <w:tcPr/>
          <w:p>
            <w:pPr>
              <w:pStyle w:val="Compact"/>
            </w:pPr>
            <w:r>
              <w:t xml:space="preserve">+0.9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DS19</w:t>
            </w:r>
          </w:p>
        </w:tc>
        <w:tc>
          <w:tcPr/>
          <w:p>
            <w:pPr>
              <w:pStyle w:val="Compact"/>
            </w:pPr>
            <w:r>
              <w:t xml:space="preserve">6.40 pp</w:t>
            </w:r>
          </w:p>
        </w:tc>
        <w:tc>
          <w:tcPr/>
          <w:p>
            <w:pPr>
              <w:pStyle w:val="Compact"/>
            </w:pPr>
            <w:r>
              <w:t xml:space="preserve">4.68 pp</w:t>
            </w:r>
          </w:p>
        </w:tc>
        <w:tc>
          <w:tcPr/>
          <w:p>
            <w:pPr>
              <w:pStyle w:val="Compact"/>
            </w:pPr>
            <w:r>
              <w:t xml:space="preserve">+1.7 pp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Interpretación</w:t>
      </w:r>
      <w:r>
        <w:t xml:space="preserve">: los proyectos en la zona AUDP tienen</w:t>
      </w:r>
      <w:r>
        <w:t xml:space="preserve"> </w:t>
      </w:r>
      <w:r>
        <w:rPr>
          <w:b/>
          <w:bCs/>
        </w:rPr>
        <w:t xml:space="preserve">MAYOR variabilidad de precios</w:t>
      </w:r>
      <w:r>
        <w:t xml:space="preserve"> </w:t>
      </w:r>
      <w:r>
        <w:t xml:space="preserve">entre sí que el promedio nacional. Esto es porque la zona incluye comunas heterogéneas (Colina premium con sectores de alta renta + Lampa popular + Buin clase media). El modelo nacional subestima el riesgo de precio para AUDPs específicos.</w:t>
      </w:r>
    </w:p>
    <w:p>
      <w:pPr>
        <w:pStyle w:val="BodyText"/>
      </w:pPr>
      <w:r>
        <w:rPr>
          <w:b/>
          <w:bCs/>
        </w:rPr>
        <w:t xml:space="preserve">Conclusión</w:t>
      </w:r>
      <w:r>
        <w:t xml:space="preserve">: aporte real al modelo. Para evaluación de AUDP debería usarse la calibración AUDP-zone.</w:t>
      </w:r>
    </w:p>
    <w:bookmarkEnd w:id="87"/>
    <w:bookmarkStart w:id="88" w:name="Xc8aa999e0351b2ef905842e46151bd10402a809"/>
    <w:p>
      <w:pPr>
        <w:pStyle w:val="Heading3"/>
      </w:pPr>
      <w:r>
        <w:t xml:space="preserve">Mejora 3 ✓: Regresión polinómica con interacciones para velocidad</w:t>
      </w:r>
    </w:p>
    <w:p>
      <w:pPr>
        <w:pStyle w:val="FirstParagraph"/>
      </w:pPr>
      <w:r>
        <w:t xml:space="preserve">Reemplazamos la regresión OLS lineal por una polinómica con 5 features: IMACEC, IPV, ICOI, IMACEC×IPV (interacción), IMACEC² (no-lineal).</w:t>
      </w:r>
    </w:p>
    <w:p>
      <w:pPr>
        <w:pStyle w:val="BodyText"/>
      </w:pPr>
      <w:r>
        <w:rPr>
          <w:b/>
          <w:bCs/>
        </w:rPr>
        <w:t xml:space="preserve">Resultado</w:t>
      </w:r>
      <w:r>
        <w:t xml:space="preserve">: mejoras heterogéneas por familia: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Familia</w:t>
            </w:r>
          </w:p>
        </w:tc>
        <w:tc>
          <w:tcPr/>
          <w:p>
            <w:pPr>
              <w:pStyle w:val="Compact"/>
            </w:pPr>
            <w:r>
              <w:t xml:space="preserve">R² lineal v1</w:t>
            </w:r>
          </w:p>
        </w:tc>
        <w:tc>
          <w:tcPr/>
          <w:p>
            <w:pPr>
              <w:pStyle w:val="Compact"/>
            </w:pPr>
            <w:r>
              <w:t xml:space="preserve">R² polinómica v2 (AUDP zone)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DS19</w:t>
            </w:r>
          </w:p>
        </w:tc>
        <w:tc>
          <w:tcPr/>
          <w:p>
            <w:pPr>
              <w:pStyle w:val="Compact"/>
            </w:pPr>
            <w:r>
              <w:t xml:space="preserve">0.043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0.157</w:t>
            </w:r>
            <w:r>
              <w:t xml:space="preserve"> </w:t>
            </w:r>
            <w:r>
              <w:t xml:space="preserve">(×3.7)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Townhouse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0.139</w:t>
            </w:r>
            <w:r>
              <w:t xml:space="preserve"> </w:t>
            </w:r>
            <w:r>
              <w:t xml:space="preserve">(×7.3)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Edif 4-6p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0.029 (similar)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Casa</w:t>
            </w:r>
          </w:p>
        </w:tc>
        <w:tc>
          <w:tcPr/>
          <w:p>
            <w:pPr>
              <w:pStyle w:val="Compact"/>
            </w:pPr>
            <w:r>
              <w:t xml:space="preserve">0.224</w:t>
            </w:r>
          </w:p>
        </w:tc>
        <w:tc>
          <w:tcPr/>
          <w:p>
            <w:pPr>
              <w:pStyle w:val="Compact"/>
            </w:pPr>
            <w:r>
              <w:t xml:space="preserve">0.093 (bajó — overfit) ⚠</w:t>
            </w:r>
          </w:p>
        </w:tc>
      </w:tr>
    </w:tbl>
    <w:p>
      <w:pPr>
        <w:pStyle w:val="BodyText"/>
      </w:pPr>
      <w:r>
        <w:rPr>
          <w:b/>
          <w:bCs/>
        </w:rPr>
        <w:t xml:space="preserve">Por qué Casa empeora</w:t>
      </w:r>
      <w:r>
        <w:t xml:space="preserve">: con 57 obs y 5 features, el ratio observaciones/features es 11. La casa lineal tenía mejor ajuste por chance. La polinómica overfit en este caso específico.</w:t>
      </w:r>
    </w:p>
    <w:p>
      <w:pPr>
        <w:pStyle w:val="BodyText"/>
      </w:pPr>
      <w:r>
        <w:rPr>
          <w:b/>
          <w:bCs/>
        </w:rPr>
        <w:t xml:space="preserve">Conclusión</w:t>
      </w:r>
      <w:r>
        <w:t xml:space="preserve">: mejora consistente para DS19 y Townhouse; para Casa la polinómica no aporta. La selección de modelo debería ser caso por caso.</w:t>
      </w:r>
    </w:p>
    <w:bookmarkEnd w:id="88"/>
    <w:bookmarkStart w:id="89" w:name="X64410767b9be1eafebd6929c8c053cbd5c5dfd8"/>
    <w:p>
      <w:pPr>
        <w:pStyle w:val="Heading3"/>
      </w:pPr>
      <w:r>
        <w:t xml:space="preserve">Mejora 4 ✓: Cópula expandida con lags principales</w:t>
      </w:r>
    </w:p>
    <w:p>
      <w:pPr>
        <w:pStyle w:val="FirstParagraph"/>
      </w:pPr>
      <w:r>
        <w:t xml:space="preserve">Construimos cópula t (ν=4) con</w:t>
      </w:r>
      <w:r>
        <w:t xml:space="preserve"> </w:t>
      </w:r>
      <w:r>
        <w:rPr>
          <w:b/>
          <w:bCs/>
        </w:rPr>
        <w:t xml:space="preserve">9 variables</w:t>
      </w:r>
      <w:r>
        <w:t xml:space="preserve"> </w:t>
      </w:r>
      <w:r>
        <w:t xml:space="preserve">(originalmente 5), agregando los lags más relevantes:</w:t>
      </w:r>
    </w:p>
    <w:p>
      <w:pPr>
        <w:pStyle w:val="SourceCode"/>
      </w:pPr>
      <w:r>
        <w:rPr>
          <w:rStyle w:val="VerbatimChar"/>
        </w:rPr>
        <w:t xml:space="preserve">Variables originales (5): IMACEC, Δtasa hipo, Δdesempleo, IPV, ICOI</w:t>
      </w:r>
      <w:r>
        <w:br/>
      </w:r>
      <w:r>
        <w:rPr>
          <w:rStyle w:val="VerbatimChar"/>
        </w:rPr>
        <w:t xml:space="preserve">Lags agregados (4): IMACEC L1, IPV L3 (3 variantes), ICOI L1</w:t>
      </w:r>
      <w:r>
        <w:br/>
      </w:r>
      <w:r>
        <w:rPr>
          <w:rStyle w:val="VerbatimChar"/>
        </w:rPr>
        <w:t xml:space="preserve">Total: 9 variables sobre ~37 trimestres con todos los lags presentes</w:t>
      </w:r>
    </w:p>
    <w:p>
      <w:pPr>
        <w:pStyle w:val="FirstParagraph"/>
      </w:pPr>
      <w:r>
        <w:rPr>
          <w:b/>
          <w:bCs/>
        </w:rPr>
        <w:t xml:space="preserve">Resultado</w:t>
      </w:r>
      <w:r>
        <w:t xml:space="preserve">: ratio observaciones/variables ≈ 4 — al límite de lo aceptable. Los lags se incluyen pero la matriz de correlación es ruidosa por sample chico.</w:t>
      </w:r>
    </w:p>
    <w:p>
      <w:pPr>
        <w:pStyle w:val="BodyText"/>
      </w:pPr>
      <w:r>
        <w:rPr>
          <w:b/>
          <w:bCs/>
        </w:rPr>
        <w:t xml:space="preserve">Conclusión</w:t>
      </w:r>
      <w:r>
        <w:t xml:space="preserve">: implementado pero con alerta sobre robustez. Una calibración más sólida requeriría más data temporal (series ICOI extendidas).</w:t>
      </w:r>
    </w:p>
    <w:bookmarkEnd w:id="89"/>
    <w:bookmarkStart w:id="90" w:name="X4907102f5a0dd9aea494c36ba1632aebe4cd6f6"/>
    <w:p>
      <w:pPr>
        <w:pStyle w:val="Heading3"/>
      </w:pPr>
      <w:r>
        <w:t xml:space="preserve">Mejora 5 ⏳: Cobertura ICOI más larga (pendiente)</w:t>
      </w:r>
    </w:p>
    <w:p>
      <w:pPr>
        <w:pStyle w:val="FirstParagraph"/>
      </w:pPr>
      <w:r>
        <w:t xml:space="preserve">ICOI tiene solo 10 puntos anuales (2013-2024) en la fuente disponible. La CChC publica el índice desde antes en boletines internos pero no en formato máquina-legible.</w:t>
      </w:r>
    </w:p>
    <w:p>
      <w:pPr>
        <w:pStyle w:val="BodyText"/>
      </w:pPr>
      <w:r>
        <w:rPr>
          <w:b/>
          <w:bCs/>
        </w:rPr>
        <w:t xml:space="preserve">Trabajo pendiente</w:t>
      </w:r>
      <w:r>
        <w:t xml:space="preserve">: contactar a CChC para obtener serie histórica completa, o reconstruir desde indicadores proxy (IPC construcción, costos commodities).</w:t>
      </w:r>
    </w:p>
    <w:p>
      <w:pPr>
        <w:pStyle w:val="BodyText"/>
      </w:pPr>
      <w:r>
        <w:rPr>
          <w:b/>
          <w:bCs/>
        </w:rPr>
        <w:t xml:space="preserve">Beneficio esperado</w:t>
      </w:r>
      <w:r>
        <w:t xml:space="preserve">: extender ICOI a 20+ años permite calibrar mejor su volatilidad real y captura ciclos completos (incluido pre-crisis 2008).</w:t>
      </w:r>
    </w:p>
    <w:bookmarkEnd w:id="90"/>
    <w:bookmarkEnd w:id="91"/>
    <w:bookmarkEnd w:id="92"/>
    <w:bookmarkStart w:id="96" w:name="conclusiones-para-el-directorio"/>
    <w:p>
      <w:pPr>
        <w:pStyle w:val="Heading1"/>
      </w:pPr>
      <w:r>
        <w:t xml:space="preserve">9. Conclusiones para el Directorio</w:t>
      </w:r>
    </w:p>
    <w:bookmarkStart w:id="93" w:name="es-estadísticamente-robusto-el-modelo"/>
    <w:p>
      <w:pPr>
        <w:pStyle w:val="Heading2"/>
      </w:pPr>
      <w:r>
        <w:t xml:space="preserve">9.1 ¿Es estadísticamente robusto el modelo?</w:t>
      </w:r>
    </w:p>
    <w:p>
      <w:pPr>
        <w:pStyle w:val="FirstParagraph"/>
      </w:pPr>
      <w:r>
        <w:rPr>
          <w:b/>
          <w:bCs/>
        </w:rPr>
        <w:t xml:space="preserve">Sí, dentro de su alcance, con caveats explícitos.</w:t>
      </w:r>
    </w:p>
    <w:p>
      <w:pPr>
        <w:pStyle w:val="BodyText"/>
      </w:pPr>
      <w:r>
        <w:rPr>
          <w:b/>
          <w:bCs/>
        </w:rPr>
        <w:t xml:space="preserve">Fortalezas</w:t>
      </w:r>
      <w:r>
        <w:t xml:space="preserve">:</w:t>
      </w:r>
      <w:r>
        <w:t xml:space="preserve"> </w:t>
      </w:r>
      <w:r>
        <w:t xml:space="preserve">- Calibrado con datos reales (124k obs TINSA + 401 trim macros)</w:t>
      </w:r>
      <w:r>
        <w:t xml:space="preserve"> </w:t>
      </w:r>
      <w:r>
        <w:t xml:space="preserve">- Marginales empíricas (no asume formas paramétricas)</w:t>
      </w:r>
      <w:r>
        <w:t xml:space="preserve"> </w:t>
      </w:r>
      <w:r>
        <w:t xml:space="preserve">- Cópula con tail dependence (captura riesgo de cola)</w:t>
      </w:r>
      <w:r>
        <w:t xml:space="preserve"> </w:t>
      </w:r>
      <w:r>
        <w:t xml:space="preserve">- Signos económicamente coherentes (validados ex post)</w:t>
      </w:r>
      <w:r>
        <w:t xml:space="preserve"> </w:t>
      </w:r>
      <w:r>
        <w:t xml:space="preserve">- Reproducibilidad bit-exacta (seed determinista)</w:t>
      </w:r>
      <w:r>
        <w:t xml:space="preserve"> </w:t>
      </w:r>
      <w:r>
        <w:t xml:space="preserve">- Cada componente es trazable a fuente oficial</w:t>
      </w:r>
    </w:p>
    <w:p>
      <w:pPr>
        <w:pStyle w:val="BodyText"/>
      </w:pPr>
      <w:r>
        <w:rPr>
          <w:b/>
          <w:bCs/>
        </w:rPr>
        <w:t xml:space="preserve">Debilidades reconocidas</w:t>
      </w:r>
      <w:r>
        <w:t xml:space="preserve">:</w:t>
      </w:r>
      <w:r>
        <w:t xml:space="preserve"> </w:t>
      </w:r>
      <w:r>
        <w:t xml:space="preserve">- Usa IPV contemporáneo cuando el lag óptimo es t-2/t-3</w:t>
      </w:r>
      <w:r>
        <w:t xml:space="preserve"> </w:t>
      </w:r>
      <w:r>
        <w:t xml:space="preserve">- Estratifica por familia (10% varianza) cuando comuna (49%) sería más informativa</w:t>
      </w:r>
      <w:r>
        <w:t xml:space="preserve"> </w:t>
      </w:r>
      <w:r>
        <w:t xml:space="preserve">- OLS lineal en velocidad cuando Random Forest da mejor ajuste</w:t>
      </w:r>
      <w:r>
        <w:t xml:space="preserve"> </w:t>
      </w:r>
      <w:r>
        <w:t xml:space="preserve">- Subestima persistencia temporal de shocks</w:t>
      </w:r>
    </w:p>
    <w:bookmarkEnd w:id="93"/>
    <w:bookmarkStart w:id="94" w:name="para-qué-sirve-y-para-qué-no-sirve"/>
    <w:p>
      <w:pPr>
        <w:pStyle w:val="Heading2"/>
      </w:pPr>
      <w:r>
        <w:t xml:space="preserve">9.2 ¿Para qué sirve y para qué no sirve?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Pregunta del Directorio</w:t>
            </w:r>
          </w:p>
        </w:tc>
        <w:tc>
          <w:tcPr/>
          <w:p>
            <w:pPr>
              <w:pStyle w:val="Compact"/>
            </w:pPr>
            <w:r>
              <w:t xml:space="preserve">¿Lo responde?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el VAN esperado del AUDP X bajo escenario base?</w:t>
            </w:r>
          </w:p>
        </w:tc>
        <w:tc>
          <w:tcPr/>
          <w:p>
            <w:pPr>
              <w:pStyle w:val="Compact"/>
            </w:pPr>
            <w:r>
              <w:t xml:space="preserve">✓ 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probabilidad hay de VAN &lt; 0?</w:t>
            </w:r>
          </w:p>
        </w:tc>
        <w:tc>
          <w:tcPr/>
          <w:p>
            <w:pPr>
              <w:pStyle w:val="Compact"/>
            </w:pPr>
            <w:r>
              <w:t xml:space="preserve">✓ 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AUDP es más resiliente entre 2 candidatos?</w:t>
            </w:r>
          </w:p>
        </w:tc>
        <w:tc>
          <w:tcPr/>
          <w:p>
            <w:pPr>
              <w:pStyle w:val="Compact"/>
            </w:pPr>
            <w:r>
              <w:t xml:space="preserve">✓ 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¿Cuáles son las palancas con mayor impacto en VAN?</w:t>
            </w:r>
          </w:p>
        </w:tc>
        <w:tc>
          <w:tcPr/>
          <w:p>
            <w:pPr>
              <w:pStyle w:val="Compact"/>
            </w:pPr>
            <w:r>
              <w:t xml:space="preserve">✓ Sí (tornado)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pasa con el VAN si replicamos COVID 2020?</w:t>
            </w:r>
          </w:p>
        </w:tc>
        <w:tc>
          <w:tcPr/>
          <w:p>
            <w:pPr>
              <w:pStyle w:val="Compact"/>
            </w:pPr>
            <w:r>
              <w:t xml:space="preserve">✓ Sí (preset)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pasará exactamente con el VAN en 2030?</w:t>
            </w:r>
          </w:p>
        </w:tc>
        <w:tc>
          <w:tcPr/>
          <w:p>
            <w:pPr>
              <w:pStyle w:val="Compact"/>
            </w:pPr>
            <w:r>
              <w:t xml:space="preserve">✗ No — requiere predecir las macros futuras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¿Cómo afecta un cambio regulatorio del DS-19?</w:t>
            </w:r>
          </w:p>
        </w:tc>
        <w:tc>
          <w:tcPr/>
          <w:p>
            <w:pPr>
              <w:pStyle w:val="Compact"/>
            </w:pPr>
            <w:r>
              <w:t xml:space="preserve">✗ No (no hay data en el histórico)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pasa si el dólar sube 30%?</w:t>
            </w:r>
          </w:p>
        </w:tc>
        <w:tc>
          <w:tcPr/>
          <w:p>
            <w:pPr>
              <w:pStyle w:val="Compact"/>
            </w:pPr>
            <w:r>
              <w:t xml:space="preserve">✗ Parcialmente (entraría vía ICOI con lag)</w:t>
            </w:r>
          </w:p>
        </w:tc>
      </w:tr>
    </w:tbl>
    <w:bookmarkEnd w:id="94"/>
    <w:bookmarkStart w:id="95" w:name="recomendación-al-directorio"/>
    <w:p>
      <w:pPr>
        <w:pStyle w:val="Heading2"/>
      </w:pPr>
      <w:r>
        <w:t xml:space="preserve">9.3 Recomendación al Directorio</w:t>
      </w:r>
    </w:p>
    <w:p>
      <w:pPr>
        <w:pStyle w:val="FirstParagraph"/>
      </w:pPr>
      <w:r>
        <w:rPr>
          <w:b/>
          <w:bCs/>
        </w:rPr>
        <w:t xml:space="preserve">Usar el modo Factor Macro como herramienta principal de evaluación de AUDPs</w:t>
      </w:r>
      <w:r>
        <w:t xml:space="preserve">, complementado con análisis cualitativo del contexto regulatorio, comercial y geográfico que el modelo no captura.</w:t>
      </w:r>
    </w:p>
    <w:p>
      <w:pPr>
        <w:pStyle w:val="BodyText"/>
      </w:pPr>
      <w:r>
        <w:rPr>
          <w:b/>
          <w:bCs/>
        </w:rPr>
        <w:t xml:space="preserve">Flujo recomendado para evaluar un AUDP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Evaluar con macros base esperado → distribución del VAN</w:t>
      </w:r>
    </w:p>
    <w:p>
      <w:pPr>
        <w:pStyle w:val="Compact"/>
        <w:numPr>
          <w:ilvl w:val="0"/>
          <w:numId w:val="1018"/>
        </w:numPr>
      </w:pPr>
      <w:r>
        <w:t xml:space="preserve">Re-evaluar con preset Estallido + COVID →</w:t>
      </w:r>
      <w:r>
        <w:t xml:space="preserve"> </w:t>
      </w:r>
      <w:r>
        <w:t xml:space="preserve">“stress severo”</w:t>
      </w:r>
    </w:p>
    <w:p>
      <w:pPr>
        <w:pStyle w:val="Compact"/>
        <w:numPr>
          <w:ilvl w:val="0"/>
          <w:numId w:val="1018"/>
        </w:numPr>
      </w:pPr>
      <w:r>
        <w:t xml:space="preserve">Re-evaluar con preset Boom 2021 →</w:t>
      </w:r>
      <w:r>
        <w:t xml:space="preserve"> </w:t>
      </w:r>
      <w:r>
        <w:t xml:space="preserve">“upside”</w:t>
      </w:r>
    </w:p>
    <w:p>
      <w:pPr>
        <w:pStyle w:val="Compact"/>
        <w:numPr>
          <w:ilvl w:val="0"/>
          <w:numId w:val="1018"/>
        </w:numPr>
      </w:pPr>
      <w:r>
        <w:t xml:space="preserve">Comparar percentiles P5, P50, P95 entre escenarios</w:t>
      </w:r>
    </w:p>
    <w:p>
      <w:pPr>
        <w:pStyle w:val="Compact"/>
        <w:numPr>
          <w:ilvl w:val="0"/>
          <w:numId w:val="1018"/>
        </w:numPr>
      </w:pPr>
      <w:r>
        <w:t xml:space="preserve">Si VAN P5 &lt; 0, profundizar análisis cualitativo</w:t>
      </w:r>
    </w:p>
    <w:p>
      <w:pPr>
        <w:pStyle w:val="Compact"/>
        <w:numPr>
          <w:ilvl w:val="0"/>
          <w:numId w:val="1018"/>
        </w:numPr>
      </w:pPr>
      <w:r>
        <w:t xml:space="preserve">Si la dispersión entre escenarios es baja, el AUDP es resiliente</w:t>
      </w:r>
    </w:p>
    <w:p>
      <w:pPr>
        <w:pStyle w:val="FirstParagraph"/>
      </w:pPr>
      <w:r>
        <w:rPr>
          <w:b/>
          <w:bCs/>
        </w:rPr>
        <w:t xml:space="preserve">Próximos pasos del modelo</w:t>
      </w:r>
      <w:r>
        <w:t xml:space="preserve"> </w:t>
      </w:r>
      <w:r>
        <w:t xml:space="preserve">(orden de prioridad):</w:t>
      </w:r>
    </w:p>
    <w:p>
      <w:pPr>
        <w:pStyle w:val="Compact"/>
        <w:numPr>
          <w:ilvl w:val="0"/>
          <w:numId w:val="1019"/>
        </w:numPr>
      </w:pPr>
      <w:r>
        <w:t xml:space="preserve">Implementar estratificación por comuna (49% varianza)</w:t>
      </w:r>
    </w:p>
    <w:p>
      <w:pPr>
        <w:pStyle w:val="Compact"/>
        <w:numPr>
          <w:ilvl w:val="0"/>
          <w:numId w:val="1019"/>
        </w:numPr>
      </w:pPr>
      <w:r>
        <w:t xml:space="preserve">Cambiar IPV a lag t-2 (correlación sube 0.34 → 0.55)</w:t>
      </w:r>
    </w:p>
    <w:p>
      <w:pPr>
        <w:pStyle w:val="Compact"/>
        <w:numPr>
          <w:ilvl w:val="0"/>
          <w:numId w:val="1019"/>
        </w:numPr>
      </w:pPr>
      <w:r>
        <w:t xml:space="preserve">Reemplazar OLS por Random Forest (R² sube 0.40 → 0.75)</w:t>
      </w:r>
    </w:p>
    <w:p>
      <w:pPr>
        <w:pStyle w:val="Compact"/>
        <w:numPr>
          <w:ilvl w:val="0"/>
          <w:numId w:val="1019"/>
        </w:numPr>
      </w:pPr>
      <w:r>
        <w:t xml:space="preserve">Expandir cópula con lags principales</w:t>
      </w:r>
    </w:p>
    <w:bookmarkEnd w:id="95"/>
    <w:bookmarkEnd w:id="96"/>
    <w:bookmarkStart w:id="97" w:name="anexo-a-glosario"/>
    <w:p>
      <w:pPr>
        <w:pStyle w:val="Heading1"/>
      </w:pPr>
      <w:r>
        <w:t xml:space="preserve">Anexo A — Glosario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AUDP</w:t>
            </w:r>
          </w:p>
        </w:tc>
        <w:tc>
          <w:tcPr/>
          <w:p>
            <w:pPr>
              <w:pStyle w:val="Compact"/>
            </w:pPr>
            <w:r>
              <w:t xml:space="preserve">Área Urbana de Desarrollo Prioritario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TINSA / CIDU</w:t>
            </w:r>
          </w:p>
        </w:tc>
        <w:tc>
          <w:tcPr/>
          <w:p>
            <w:pPr>
              <w:pStyle w:val="Compact"/>
            </w:pPr>
            <w:r>
              <w:t xml:space="preserve">Base de datos transaccional de proyectos inmobiliarios chilenos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Cópula</w:t>
            </w:r>
          </w:p>
        </w:tc>
        <w:tc>
          <w:tcPr/>
          <w:p>
            <w:pPr>
              <w:pStyle w:val="Compact"/>
            </w:pPr>
            <w:r>
              <w:t xml:space="preserve">Función matemática que describe cómo se relacionan variables aleatorias entre 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CVaR</w:t>
            </w:r>
          </w:p>
        </w:tc>
        <w:tc>
          <w:tcPr/>
          <w:p>
            <w:pPr>
              <w:pStyle w:val="Compact"/>
            </w:pPr>
            <w:r>
              <w:t xml:space="preserve">Conditional Value at Risk — promedio del peor X% de los outcomes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IMACEC</w:t>
            </w:r>
          </w:p>
        </w:tc>
        <w:tc>
          <w:tcPr/>
          <w:p>
            <w:pPr>
              <w:pStyle w:val="Compact"/>
            </w:pPr>
            <w:r>
              <w:t xml:space="preserve">Indicador Mensual de Actividad Económica del BCCh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ICOI</w:t>
            </w:r>
          </w:p>
        </w:tc>
        <w:tc>
          <w:tcPr/>
          <w:p>
            <w:pPr>
              <w:pStyle w:val="Compact"/>
            </w:pPr>
            <w:r>
              <w:t xml:space="preserve">Índice de Costos de Construcción de la CChC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IPV</w:t>
            </w:r>
          </w:p>
        </w:tc>
        <w:tc>
          <w:tcPr/>
          <w:p>
            <w:pPr>
              <w:pStyle w:val="Compact"/>
            </w:pPr>
            <w:r>
              <w:t xml:space="preserve">Índice de Precios de Vivienda del BCCh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Lag</w:t>
            </w:r>
          </w:p>
        </w:tc>
        <w:tc>
          <w:tcPr/>
          <w:p>
            <w:pPr>
              <w:pStyle w:val="Compact"/>
            </w:pPr>
            <w:r>
              <w:t xml:space="preserve">Retraso temporal entre dos variables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Monte Carlo</w:t>
            </w:r>
          </w:p>
        </w:tc>
        <w:tc>
          <w:tcPr/>
          <w:p>
            <w:pPr>
              <w:pStyle w:val="Compact"/>
            </w:pPr>
            <w:r>
              <w:t xml:space="preserve">Simulación que genera N escenarios aleatorios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NCOM</w:t>
            </w:r>
          </w:p>
        </w:tc>
        <w:tc>
          <w:tcPr/>
          <w:p>
            <w:pPr>
              <w:pStyle w:val="Compact"/>
            </w:pPr>
            <w:r>
              <w:t xml:space="preserve">Comuna en TINSA (variable más explicativa del precio)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NPISOS</w:t>
            </w:r>
          </w:p>
        </w:tc>
        <w:tc>
          <w:tcPr/>
          <w:p>
            <w:pPr>
              <w:pStyle w:val="Compact"/>
            </w:pPr>
            <w:r>
              <w:t xml:space="preserve">Número de pisos del edificio en TINSA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OLS</w:t>
            </w:r>
          </w:p>
        </w:tc>
        <w:tc>
          <w:tcPr/>
          <w:p>
            <w:pPr>
              <w:pStyle w:val="Compact"/>
            </w:pPr>
            <w:r>
              <w:t xml:space="preserve">Regresión lineal por mínimos cuadrados ordinarios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Proporción de varianza explicada por el modelo (0 a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Modelo no-lineal que captura interacciones entre variables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σ idiosincrático</w:t>
            </w:r>
          </w:p>
        </w:tc>
        <w:tc>
          <w:tcPr/>
          <w:p>
            <w:pPr>
              <w:pStyle w:val="Compact"/>
            </w:pPr>
            <w:r>
              <w:t xml:space="preserve">Desviación estándar del componente no explicado por el modelo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Spearman</w:t>
            </w:r>
          </w:p>
        </w:tc>
        <w:tc>
          <w:tcPr/>
          <w:p>
            <w:pPr>
              <w:pStyle w:val="Compact"/>
            </w:pPr>
            <w:r>
              <w:t xml:space="preserve">Correlación de rangos (invariante a transformaciones monótonas)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 dependence</w:t>
            </w:r>
          </w:p>
        </w:tc>
        <w:tc>
          <w:tcPr/>
          <w:p>
            <w:pPr>
              <w:pStyle w:val="Compact"/>
            </w:pPr>
            <w:r>
              <w:t xml:space="preserve">Probabilidad de eventos extremos correlacionados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Tornado</w:t>
            </w:r>
          </w:p>
        </w:tc>
        <w:tc>
          <w:tcPr/>
          <w:p>
            <w:pPr>
              <w:pStyle w:val="Compact"/>
            </w:pPr>
            <w:r>
              <w:t xml:space="preserve">Visualización de contribución de cada variable a la varianza del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</w:t>
            </w:r>
          </w:p>
        </w:tc>
        <w:tc>
          <w:tcPr/>
          <w:p>
            <w:pPr>
              <w:pStyle w:val="Compact"/>
            </w:pPr>
            <w:r>
              <w:t xml:space="preserve">Value at Risk — peor outcome esperado con probabilidad dada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YoY</w:t>
            </w:r>
          </w:p>
        </w:tc>
        <w:tc>
          <w:tcPr/>
          <w:p>
            <w:pPr>
              <w:pStyle w:val="Compact"/>
            </w:pPr>
            <w:r>
              <w:t xml:space="preserve">Year-over-Year (variación interanual)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ν (nu)</w:t>
            </w:r>
          </w:p>
        </w:tc>
        <w:tc>
          <w:tcPr/>
          <w:p>
            <w:pPr>
              <w:pStyle w:val="Compact"/>
            </w:pPr>
            <w:r>
              <w:t xml:space="preserve">Grados de libertad de la distribución t</w:t>
            </w:r>
          </w:p>
        </w:tc>
      </w:tr>
    </w:tbl>
    <w:bookmarkEnd w:id="97"/>
    <w:bookmarkStart w:id="98" w:name="anexo-b-referencias"/>
    <w:p>
      <w:pPr>
        <w:pStyle w:val="Heading1"/>
      </w:pPr>
      <w:r>
        <w:t xml:space="preserve">Anexo B — Referencias</w:t>
      </w:r>
    </w:p>
    <w:p>
      <w:pPr>
        <w:pStyle w:val="Compact"/>
        <w:numPr>
          <w:ilvl w:val="0"/>
          <w:numId w:val="1020"/>
        </w:numPr>
      </w:pPr>
      <w:r>
        <w:t xml:space="preserve">Sklar, A. (1959).</w:t>
      </w:r>
      <w:r>
        <w:t xml:space="preserve"> </w:t>
      </w:r>
      <w:r>
        <w:t xml:space="preserve">“Fonctions de répartition à n dimensions et leurs marges”</w:t>
      </w:r>
      <w:r>
        <w:t xml:space="preserve">.</w:t>
      </w:r>
      <w:r>
        <w:t xml:space="preserve"> </w:t>
      </w:r>
      <w:r>
        <w:rPr>
          <w:i/>
          <w:iCs/>
        </w:rPr>
        <w:t xml:space="preserve">Publications de l’Institut Statistique de l’Université de Paris</w:t>
      </w:r>
      <w:r>
        <w:t xml:space="preserve">, 8.</w:t>
      </w:r>
    </w:p>
    <w:p>
      <w:pPr>
        <w:pStyle w:val="Compact"/>
        <w:numPr>
          <w:ilvl w:val="0"/>
          <w:numId w:val="1020"/>
        </w:numPr>
      </w:pPr>
      <w:r>
        <w:t xml:space="preserve">Embrechts, P., Lindskog, F., McNeil, A. (2003).</w:t>
      </w:r>
      <w:r>
        <w:t xml:space="preserve"> </w:t>
      </w:r>
      <w:r>
        <w:t xml:space="preserve">“Modelling Dependence with Copulas and Applications to Risk Management”</w:t>
      </w:r>
      <w:r>
        <w:t xml:space="preserve">. Elsevier.</w:t>
      </w:r>
    </w:p>
    <w:p>
      <w:pPr>
        <w:pStyle w:val="Compact"/>
        <w:numPr>
          <w:ilvl w:val="0"/>
          <w:numId w:val="1020"/>
        </w:numPr>
      </w:pPr>
      <w:r>
        <w:t xml:space="preserve">Iman, R. L., Conover, W. J. (1982).</w:t>
      </w:r>
      <w:r>
        <w:t xml:space="preserve"> </w:t>
      </w:r>
      <w:r>
        <w:t xml:space="preserve">“A distribution-free approach to inducing rank correlation among input variables”</w:t>
      </w:r>
      <w:r>
        <w:t xml:space="preserve">.</w:t>
      </w:r>
      <w:r>
        <w:t xml:space="preserve"> </w:t>
      </w:r>
      <w:r>
        <w:rPr>
          <w:i/>
          <w:iCs/>
        </w:rPr>
        <w:t xml:space="preserve">Communications in Statistics</w:t>
      </w:r>
      <w:r>
        <w:t xml:space="preserve">, 11(3).</w:t>
      </w:r>
    </w:p>
    <w:p>
      <w:pPr>
        <w:pStyle w:val="Compact"/>
        <w:numPr>
          <w:ilvl w:val="0"/>
          <w:numId w:val="1020"/>
        </w:numPr>
      </w:pPr>
      <w:r>
        <w:t xml:space="preserve">Li, D. X. (2000).</w:t>
      </w:r>
      <w:r>
        <w:t xml:space="preserve"> </w:t>
      </w:r>
      <w:r>
        <w:t xml:space="preserve">“On Default Correlation: A Copula Function Approach”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Fixed Income</w:t>
      </w:r>
      <w:r>
        <w:t xml:space="preserve">, 9(4).</w:t>
      </w:r>
    </w:p>
    <w:p>
      <w:pPr>
        <w:pStyle w:val="Compact"/>
        <w:numPr>
          <w:ilvl w:val="0"/>
          <w:numId w:val="1020"/>
        </w:numPr>
      </w:pPr>
      <w:r>
        <w:t xml:space="preserve">Demarta, S., McNeil, A. (2005).</w:t>
      </w:r>
      <w:r>
        <w:t xml:space="preserve"> </w:t>
      </w:r>
      <w:r>
        <w:t xml:space="preserve">“The t copula and related copulas”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Statistical Review</w:t>
      </w:r>
      <w:r>
        <w:t xml:space="preserve">, 73(1).</w:t>
      </w:r>
    </w:p>
    <w:p>
      <w:pPr>
        <w:pStyle w:val="Compact"/>
        <w:numPr>
          <w:ilvl w:val="0"/>
          <w:numId w:val="1020"/>
        </w:numPr>
      </w:pPr>
      <w:r>
        <w:t xml:space="preserve">Banco Central de Chile (2024).</w:t>
      </w:r>
      <w:r>
        <w:t xml:space="preserve"> </w:t>
      </w:r>
      <w:r>
        <w:rPr>
          <w:i/>
          <w:iCs/>
        </w:rPr>
        <w:t xml:space="preserve">Manual del IPV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Cámara Chilena de la Construcción (2024).</w:t>
      </w:r>
      <w:r>
        <w:t xml:space="preserve"> </w:t>
      </w:r>
      <w:r>
        <w:rPr>
          <w:i/>
          <w:iCs/>
        </w:rPr>
        <w:t xml:space="preserve">Boletín del ICE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INE (2024).</w:t>
      </w:r>
      <w:r>
        <w:t xml:space="preserve"> </w:t>
      </w:r>
      <w:r>
        <w:rPr>
          <w:i/>
          <w:iCs/>
        </w:rPr>
        <w:t xml:space="preserve">Encuesta Nacional de Empleo — Metodología NESI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Cherubini, U., Luciano, E., Vecchiato, W. (2004).</w:t>
      </w:r>
      <w:r>
        <w:t xml:space="preserve"> </w:t>
      </w:r>
      <w:r>
        <w:rPr>
          <w:i/>
          <w:iCs/>
        </w:rPr>
        <w:t xml:space="preserve">Copula Methods in Finance</w:t>
      </w:r>
      <w:r>
        <w:t xml:space="preserve">. Wiley.</w:t>
      </w:r>
    </w:p>
    <w:p>
      <w:pPr>
        <w:pStyle w:val="Compact"/>
        <w:numPr>
          <w:ilvl w:val="0"/>
          <w:numId w:val="1020"/>
        </w:numPr>
      </w:pPr>
      <w:r>
        <w:t xml:space="preserve">McNeil, A., Frey, R., Embrechts, P. (2015).</w:t>
      </w:r>
      <w:r>
        <w:t xml:space="preserve"> </w:t>
      </w:r>
      <w:r>
        <w:rPr>
          <w:i/>
          <w:iCs/>
        </w:rPr>
        <w:t xml:space="preserve">Quantitative Risk Management</w:t>
      </w:r>
      <w:r>
        <w:t xml:space="preserve">. Princeton University Press.</w:t>
      </w:r>
    </w:p>
    <w:p>
      <w:pPr>
        <w:pStyle w:val="Compact"/>
        <w:numPr>
          <w:ilvl w:val="0"/>
          <w:numId w:val="1020"/>
        </w:numPr>
      </w:pPr>
      <w:r>
        <w:t xml:space="preserve">Metropolis, N., Ulam, S. (1949).</w:t>
      </w:r>
      <w:r>
        <w:t xml:space="preserve"> </w:t>
      </w:r>
      <w:r>
        <w:t xml:space="preserve">“The Monte Carlo Method”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44.</w:t>
      </w:r>
    </w:p>
    <w:p>
      <w:pPr>
        <w:pStyle w:val="Compact"/>
        <w:numPr>
          <w:ilvl w:val="0"/>
          <w:numId w:val="1020"/>
        </w:numPr>
      </w:pPr>
      <w:r>
        <w:t xml:space="preserve">Glasserman, P. (2003).</w:t>
      </w:r>
      <w:r>
        <w:t xml:space="preserve"> </w:t>
      </w:r>
      <w:r>
        <w:rPr>
          <w:i/>
          <w:iCs/>
        </w:rPr>
        <w:t xml:space="preserve">Monte Carlo Methods in Financial Engineering</w:t>
      </w:r>
      <w:r>
        <w:t xml:space="preserve">. Springer.</w:t>
      </w:r>
    </w:p>
    <w:p>
      <w:pPr>
        <w:pStyle w:val="Compact"/>
        <w:numPr>
          <w:ilvl w:val="0"/>
          <w:numId w:val="1020"/>
        </w:numPr>
      </w:pPr>
      <w:r>
        <w:t xml:space="preserve">Breiman, L. (2001).</w:t>
      </w:r>
      <w:r>
        <w:t xml:space="preserve"> </w:t>
      </w:r>
      <w:r>
        <w:t xml:space="preserve">“Random Forests”</w:t>
      </w:r>
      <w:r>
        <w:t xml:space="preserve">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45(1).</w:t>
      </w:r>
    </w:p>
    <w:bookmarkEnd w:id="98"/>
    <w:bookmarkStart w:id="101" w:name="anexo-c-reproducibilidad-técnica"/>
    <w:p>
      <w:pPr>
        <w:pStyle w:val="Heading1"/>
      </w:pPr>
      <w:r>
        <w:t xml:space="preserve">Anexo C — Reproducibilidad técnica</w:t>
      </w:r>
    </w:p>
    <w:bookmarkStart w:id="99" w:name="c.1-pipeline-reproducible"/>
    <w:p>
      <w:pPr>
        <w:pStyle w:val="Heading2"/>
      </w:pPr>
      <w:r>
        <w:t xml:space="preserve">C.1 Pipeline reproducible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batucoterra-cabida/</w:t>
      </w:r>
      <w:r>
        <w:br/>
      </w:r>
      <w:r>
        <w:br/>
      </w:r>
      <w:r>
        <w:rPr>
          <w:rStyle w:val="CommentTok"/>
        </w:rPr>
        <w:t xml:space="preserve"># Recalibrar el modelo desde cero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analysis/build_macro_option_c.py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analysis/build_macro_c_js.py</w:t>
      </w:r>
      <w:r>
        <w:br/>
      </w:r>
      <w:r>
        <w:br/>
      </w:r>
      <w:r>
        <w:rPr>
          <w:rStyle w:val="CommentTok"/>
        </w:rPr>
        <w:t xml:space="preserve"># Análisis profundo (correlaciones con lags + variable importance)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analysis/deep_correlation_analysis.py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analysis/extra_dimensions.py</w:t>
      </w:r>
      <w:r>
        <w:br/>
      </w:r>
      <w:r>
        <w:br/>
      </w:r>
      <w:r>
        <w:rPr>
          <w:rStyle w:val="CommentTok"/>
        </w:rPr>
        <w:t xml:space="preserve"># Generar visualizaciones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analysis/build_visualizations.py</w:t>
      </w:r>
      <w:r>
        <w:br/>
      </w:r>
      <w:r>
        <w:br/>
      </w:r>
      <w:r>
        <w:rPr>
          <w:rStyle w:val="CommentTok"/>
        </w:rPr>
        <w:t xml:space="preserve"># Validar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analysis/test_factor_macro.js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analysis/test_factor_with_sens.js</w:t>
      </w:r>
    </w:p>
    <w:bookmarkEnd w:id="99"/>
    <w:bookmarkStart w:id="100" w:name="c.2-archivos-clave"/>
    <w:p>
      <w:pPr>
        <w:pStyle w:val="Heading2"/>
      </w:pPr>
      <w:r>
        <w:t xml:space="preserve">C.2 Archivos clave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Propósito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analysis/build_macro_option_c.py</w:t>
            </w:r>
          </w:p>
        </w:tc>
        <w:tc>
          <w:tcPr/>
          <w:p>
            <w:pPr>
              <w:pStyle w:val="Compact"/>
            </w:pPr>
            <w:r>
              <w:t xml:space="preserve">Calibración del Factor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analysis/deep_correlation_analysis.py</w:t>
            </w:r>
          </w:p>
        </w:tc>
        <w:tc>
          <w:tcPr/>
          <w:p>
            <w:pPr>
              <w:pStyle w:val="Compact"/>
            </w:pPr>
            <w:r>
              <w:t xml:space="preserve">Análisis lags + Random Forest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analysis/extra_dimensions.py</w:t>
            </w:r>
          </w:p>
        </w:tc>
        <w:tc>
          <w:tcPr/>
          <w:p>
            <w:pPr>
              <w:pStyle w:val="Compact"/>
            </w:pPr>
            <w:r>
              <w:t xml:space="preserve">Análisis comuna, pisos, BHT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analysis/macro_factor_c.json</w:t>
            </w:r>
          </w:p>
        </w:tc>
        <w:tc>
          <w:tcPr/>
          <w:p>
            <w:pPr>
              <w:pStyle w:val="Compact"/>
            </w:pPr>
            <w:r>
              <w:t xml:space="preserve">Modelo calibrado (JSON)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public/macro_factor_c.js</w:t>
            </w:r>
          </w:p>
        </w:tc>
        <w:tc>
          <w:tcPr/>
          <w:p>
            <w:pPr>
              <w:pStyle w:val="Compact"/>
            </w:pPr>
            <w:r>
              <w:t xml:space="preserve">Modelo embebible (12 KB)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public/macro_factor.js</w:t>
            </w:r>
          </w:p>
        </w:tc>
        <w:tc>
          <w:tcPr/>
          <w:p>
            <w:pPr>
              <w:pStyle w:val="Compact"/>
            </w:pPr>
            <w:r>
              <w:t xml:space="preserve">Sampling t-cópula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public/market_copula.js</w:t>
            </w:r>
          </w:p>
        </w:tc>
        <w:tc>
          <w:tcPr/>
          <w:p>
            <w:pPr>
              <w:pStyle w:val="Compact"/>
            </w:pPr>
            <w:r>
              <w:t xml:space="preserve">Utilidades matemáticas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public/simulador-legacy.html</w:t>
            </w:r>
          </w:p>
        </w:tc>
        <w:tc>
          <w:tcPr/>
          <w:p>
            <w:pPr>
              <w:pStyle w:val="Compact"/>
            </w:pPr>
            <w:r>
              <w:t xml:space="preserve">Integración al simulador</w:t>
            </w:r>
          </w:p>
        </w:tc>
      </w:tr>
    </w:tbl>
    <w:p>
      <w:pPr>
        <w:pStyle w:val="BodyText"/>
      </w:pPr>
      <w:r>
        <w:t xml:space="preserve">Todos los scripts son deterministas; mismo input produce mismo output con seed 42.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preparado por el equipo de Modela. Versión Abril 2026 (v3, post análisis profundo).</w:t>
      </w:r>
    </w:p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61" Target="media/rId61.png" /><Relationship Type="http://schemas.openxmlformats.org/officeDocument/2006/relationships/image" Id="rId80" Target="media/rId80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Factorial Estocástico para Valoración de AUDPs</dc:title>
  <dc:creator>Equipo Modela</dc:creator>
  <cp:keywords/>
  <dcterms:created xsi:type="dcterms:W3CDTF">2026-04-28T23:57:11Z</dcterms:created>
  <dcterms:modified xsi:type="dcterms:W3CDTF">2026-04-28T23:57:11Z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Abril 2026 (versión 3)</vt:lpwstr>
  </property>
  <property fmtid="{D5CDD505-2E9C-101B-9397-08002B2CF9AE}" pid="3" name="documentclass">
    <vt:lpwstr>article</vt:lpwstr>
  </property>
  <property fmtid="{D5CDD505-2E9C-101B-9397-08002B2CF9AE}" pid="4" name="fontsize">
    <vt:lpwstr>11pt</vt:lpwstr>
  </property>
  <property fmtid="{D5CDD505-2E9C-101B-9397-08002B2CF9AE}" pid="5" name="geometry">
    <vt:lpwstr>margin=2.5cm</vt:lpwstr>
  </property>
  <property fmtid="{D5CDD505-2E9C-101B-9397-08002B2CF9AE}" pid="6" name="linkcolor">
    <vt:lpwstr>blue</vt:lpwstr>
  </property>
  <property fmtid="{D5CDD505-2E9C-101B-9397-08002B2CF9AE}" pid="7" name="mainfont">
    <vt:lpwstr>Helvetica Neue</vt:lpwstr>
  </property>
  <property fmtid="{D5CDD505-2E9C-101B-9397-08002B2CF9AE}" pid="8" name="numbersections">
    <vt:lpwstr>True</vt:lpwstr>
  </property>
  <property fmtid="{D5CDD505-2E9C-101B-9397-08002B2CF9AE}" pid="9" name="subtitle">
    <vt:lpwstr>Documento Técnico para Directorio · Modela</vt:lpwstr>
  </property>
  <property fmtid="{D5CDD505-2E9C-101B-9397-08002B2CF9AE}" pid="10" name="toc">
    <vt:lpwstr>True</vt:lpwstr>
  </property>
  <property fmtid="{D5CDD505-2E9C-101B-9397-08002B2CF9AE}" pid="11" name="toc-depth">
    <vt:lpwstr>3</vt:lpwstr>
  </property>
</Properties>
</file>