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CA24A" w14:textId="77777777" w:rsidR="005C6B87" w:rsidRPr="005C6B87" w:rsidRDefault="005C6B87" w:rsidP="005C6B87">
      <w:pPr>
        <w:rPr>
          <w:sz w:val="32"/>
          <w:szCs w:val="32"/>
        </w:rPr>
      </w:pPr>
      <w:r w:rsidRPr="005C6B87">
        <w:rPr>
          <w:sz w:val="32"/>
          <w:szCs w:val="32"/>
        </w:rPr>
        <w:t>Dear Editor,</w:t>
      </w:r>
    </w:p>
    <w:p w14:paraId="58DAED1D" w14:textId="77777777" w:rsidR="005C6B87" w:rsidRPr="005C6B87" w:rsidRDefault="005C6B87" w:rsidP="005C6B87">
      <w:pPr>
        <w:rPr>
          <w:sz w:val="32"/>
          <w:szCs w:val="32"/>
        </w:rPr>
      </w:pPr>
      <w:r w:rsidRPr="005C6B87">
        <w:rPr>
          <w:sz w:val="32"/>
          <w:szCs w:val="32"/>
        </w:rPr>
        <w:t xml:space="preserve">Please find enclosed our manuscript for exclusive consideration as a Letter in </w:t>
      </w:r>
      <w:r w:rsidRPr="005C6B87">
        <w:rPr>
          <w:i/>
          <w:iCs/>
          <w:sz w:val="32"/>
          <w:szCs w:val="32"/>
        </w:rPr>
        <w:t>Finance Research Letters</w:t>
      </w:r>
      <w:r w:rsidRPr="005C6B87">
        <w:rPr>
          <w:sz w:val="32"/>
          <w:szCs w:val="32"/>
        </w:rPr>
        <w:t>.</w:t>
      </w:r>
    </w:p>
    <w:p w14:paraId="61C751AB" w14:textId="77777777" w:rsidR="005C6B87" w:rsidRPr="005C6B87" w:rsidRDefault="005C6B87" w:rsidP="005C6B87">
      <w:pPr>
        <w:rPr>
          <w:sz w:val="32"/>
          <w:szCs w:val="32"/>
        </w:rPr>
      </w:pPr>
      <w:r w:rsidRPr="005C6B87">
        <w:rPr>
          <w:sz w:val="32"/>
          <w:szCs w:val="32"/>
        </w:rPr>
        <w:t>This paper addresses a critical, unexamined blind spot in current Basel IV model validation frameworks (e.g., SR 11-7). While practitioners heavily rely on the temporal stability of market regime models, our empirical study across multiple liquid asset classes reveals that this stability is largely an illusion.</w:t>
      </w:r>
    </w:p>
    <w:p w14:paraId="3694E8AF" w14:textId="77777777" w:rsidR="005C6B87" w:rsidRPr="005C6B87" w:rsidRDefault="005C6B87" w:rsidP="005C6B87">
      <w:pPr>
        <w:rPr>
          <w:sz w:val="32"/>
          <w:szCs w:val="32"/>
        </w:rPr>
      </w:pPr>
      <w:r w:rsidRPr="005C6B87">
        <w:rPr>
          <w:sz w:val="32"/>
          <w:szCs w:val="32"/>
        </w:rPr>
        <w:t>Our key empirical contributions are direct and actionable:</w:t>
      </w:r>
    </w:p>
    <w:p w14:paraId="09AF5A11" w14:textId="77777777" w:rsidR="005C6B87" w:rsidRPr="005C6B87" w:rsidRDefault="005C6B87" w:rsidP="005C6B87">
      <w:pPr>
        <w:numPr>
          <w:ilvl w:val="0"/>
          <w:numId w:val="2"/>
        </w:numPr>
        <w:rPr>
          <w:sz w:val="32"/>
          <w:szCs w:val="32"/>
        </w:rPr>
      </w:pPr>
      <w:r w:rsidRPr="005C6B87">
        <w:rPr>
          <w:b/>
          <w:bCs/>
          <w:sz w:val="32"/>
          <w:szCs w:val="32"/>
        </w:rPr>
        <w:t>Representation Uncertainty:</w:t>
      </w:r>
      <w:r w:rsidRPr="005C6B87">
        <w:rPr>
          <w:sz w:val="32"/>
          <w:szCs w:val="32"/>
        </w:rPr>
        <w:t xml:space="preserve"> Cross-representation agreement is persistently low, identifying it as a first-order source of model risk that standard back-testing fails to capture.</w:t>
      </w:r>
    </w:p>
    <w:p w14:paraId="271F0582" w14:textId="77777777" w:rsidR="005C6B87" w:rsidRPr="005C6B87" w:rsidRDefault="005C6B87" w:rsidP="005C6B87">
      <w:pPr>
        <w:numPr>
          <w:ilvl w:val="0"/>
          <w:numId w:val="2"/>
        </w:numPr>
        <w:rPr>
          <w:sz w:val="32"/>
          <w:szCs w:val="32"/>
        </w:rPr>
      </w:pPr>
      <w:r w:rsidRPr="005C6B87">
        <w:rPr>
          <w:b/>
          <w:bCs/>
          <w:sz w:val="32"/>
          <w:szCs w:val="32"/>
        </w:rPr>
        <w:t>The Overlap Artifact:</w:t>
      </w:r>
      <w:r w:rsidRPr="005C6B87">
        <w:rPr>
          <w:sz w:val="32"/>
          <w:szCs w:val="32"/>
        </w:rPr>
        <w:t xml:space="preserve"> Much of the apparent temporal stability is mechanically inflated by rolling-window overlap rather than genuine regime persistence.</w:t>
      </w:r>
    </w:p>
    <w:p w14:paraId="6C232311" w14:textId="77777777" w:rsidR="005C6B87" w:rsidRPr="005C6B87" w:rsidRDefault="005C6B87" w:rsidP="005C6B87">
      <w:pPr>
        <w:numPr>
          <w:ilvl w:val="0"/>
          <w:numId w:val="2"/>
        </w:numPr>
        <w:rPr>
          <w:sz w:val="32"/>
          <w:szCs w:val="32"/>
        </w:rPr>
      </w:pPr>
      <w:r w:rsidRPr="005C6B87">
        <w:rPr>
          <w:b/>
          <w:bCs/>
          <w:sz w:val="32"/>
          <w:szCs w:val="32"/>
        </w:rPr>
        <w:t>A Regulatory Fallback:</w:t>
      </w:r>
      <w:r w:rsidRPr="005C6B87">
        <w:rPr>
          <w:sz w:val="32"/>
          <w:szCs w:val="32"/>
        </w:rPr>
        <w:t xml:space="preserve"> While exact partitions are unstable, we prove that </w:t>
      </w:r>
      <w:r w:rsidRPr="005C6B87">
        <w:rPr>
          <w:b/>
          <w:bCs/>
          <w:sz w:val="32"/>
          <w:szCs w:val="32"/>
        </w:rPr>
        <w:t>coarse risk ordering</w:t>
      </w:r>
      <w:r w:rsidRPr="005C6B87">
        <w:rPr>
          <w:sz w:val="32"/>
          <w:szCs w:val="32"/>
        </w:rPr>
        <w:t xml:space="preserve"> remains highly robust, providing a defensible fallback for governance and capital allocation.</w:t>
      </w:r>
    </w:p>
    <w:p w14:paraId="1B053106" w14:textId="77777777" w:rsidR="005C6B87" w:rsidRPr="005C6B87" w:rsidRDefault="005C6B87" w:rsidP="005C6B87">
      <w:pPr>
        <w:rPr>
          <w:sz w:val="32"/>
          <w:szCs w:val="32"/>
        </w:rPr>
      </w:pPr>
      <w:r w:rsidRPr="005C6B87">
        <w:rPr>
          <w:sz w:val="32"/>
          <w:szCs w:val="32"/>
        </w:rPr>
        <w:t>Given FRL’s mandate for concise, high-impact empirical research, we believe our findings provide immediate value to both academic researchers and risk governance practitioners. This manuscript is original, unpublished, and not under consideration elsewhere.</w:t>
      </w:r>
    </w:p>
    <w:p w14:paraId="313671BF" w14:textId="77777777" w:rsidR="005C6B87" w:rsidRPr="005C6B87" w:rsidRDefault="005C6B87" w:rsidP="005C6B87">
      <w:pPr>
        <w:rPr>
          <w:sz w:val="32"/>
          <w:szCs w:val="32"/>
        </w:rPr>
      </w:pPr>
      <w:r w:rsidRPr="005C6B87">
        <w:rPr>
          <w:sz w:val="32"/>
          <w:szCs w:val="32"/>
        </w:rPr>
        <w:t>Thank you for your time and consideration.</w:t>
      </w:r>
    </w:p>
    <w:p w14:paraId="49E4E787" w14:textId="237BB031" w:rsidR="00927FFB" w:rsidRPr="005C6B87" w:rsidRDefault="005C6B87" w:rsidP="005C6B87">
      <w:pPr>
        <w:rPr>
          <w:sz w:val="32"/>
          <w:szCs w:val="32"/>
        </w:rPr>
      </w:pPr>
      <w:r w:rsidRPr="005C6B87">
        <w:rPr>
          <w:sz w:val="32"/>
          <w:szCs w:val="32"/>
        </w:rPr>
        <w:t>Sincerely,</w:t>
      </w:r>
    </w:p>
    <w:sectPr w:rsidR="00927FFB" w:rsidRPr="005C6B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26894"/>
    <w:multiLevelType w:val="multilevel"/>
    <w:tmpl w:val="64848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3C483B"/>
    <w:multiLevelType w:val="multilevel"/>
    <w:tmpl w:val="9828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819459">
    <w:abstractNumId w:val="0"/>
  </w:num>
  <w:num w:numId="2" w16cid:durableId="1225026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C68"/>
    <w:rsid w:val="0055511B"/>
    <w:rsid w:val="005C6B87"/>
    <w:rsid w:val="00631237"/>
    <w:rsid w:val="006A1FE4"/>
    <w:rsid w:val="00923C68"/>
    <w:rsid w:val="00927FFB"/>
    <w:rsid w:val="00B4702C"/>
    <w:rsid w:val="00E561E0"/>
    <w:rsid w:val="00FD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13FDC"/>
  <w15:chartTrackingRefBased/>
  <w15:docId w15:val="{3B1538D0-BD0F-4FB3-B8FE-BF48A8BE0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1E0"/>
  </w:style>
  <w:style w:type="paragraph" w:styleId="Heading1">
    <w:name w:val="heading 1"/>
    <w:basedOn w:val="Normal"/>
    <w:next w:val="Normal"/>
    <w:link w:val="Heading1Char"/>
    <w:uiPriority w:val="9"/>
    <w:qFormat/>
    <w:rsid w:val="00923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C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C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Kai</dc:creator>
  <cp:keywords/>
  <dc:description/>
  <cp:lastModifiedBy>Zheng Kai</cp:lastModifiedBy>
  <cp:revision>4</cp:revision>
  <dcterms:created xsi:type="dcterms:W3CDTF">2026-03-07T02:21:00Z</dcterms:created>
  <dcterms:modified xsi:type="dcterms:W3CDTF">2026-03-12T08:46:00Z</dcterms:modified>
</cp:coreProperties>
</file>