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Calibri" w:hAnsi="Calibri" w:cs="Calibri" w:asciiTheme="minorHAnsi" w:cstheme="minorHAnsi" w:hAnsiTheme="minorHAnsi"/>
          <w:lang w:val="es-ES_tradnl"/>
        </w:rPr>
      </w:pPr>
      <w:r>
        <w:rPr>
          <w:rFonts w:cs="Calibri" w:cstheme="minorHAnsi"/>
          <w:lang w:val="es-ES_tradnl"/>
        </w:rPr>
      </w:r>
    </w:p>
    <w:p>
      <w:pPr>
        <w:pStyle w:val="NoSpacing"/>
        <w:rPr>
          <w:rFonts w:ascii="Calibri" w:hAnsi="Calibri" w:cs="Calibri" w:asciiTheme="minorHAnsi" w:cstheme="minorHAnsi" w:hAnsiTheme="minorHAnsi"/>
          <w:lang w:val="es-ES_tradnl"/>
        </w:rPr>
      </w:pPr>
      <w:r>
        <w:rPr>
          <w:rFonts w:cs="Calibri" w:cstheme="minorHAnsi"/>
          <w:lang w:val="es-ES_tradnl"/>
        </w:rPr>
      </w:r>
    </w:p>
    <w:p>
      <w:pPr>
        <w:pStyle w:val="Normal"/>
        <w:jc w:val="center"/>
        <w:rPr>
          <w:rFonts w:ascii="Calibri" w:hAnsi="Calibri" w:cs="Calibri" w:asciiTheme="minorHAnsi" w:cstheme="minorHAnsi" w:hAnsiTheme="minorHAnsi"/>
        </w:rPr>
      </w:pPr>
      <w:r>
        <w:rPr/>
        <w:drawing>
          <wp:inline distT="0" distB="0" distL="0" distR="0">
            <wp:extent cx="4804410" cy="1323975"/>
            <wp:effectExtent l="0" t="0" r="0" b="0"/>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tretch>
                      <a:fillRect/>
                    </a:stretch>
                  </pic:blipFill>
                  <pic:spPr bwMode="auto">
                    <a:xfrm>
                      <a:off x="0" y="0"/>
                      <a:ext cx="4804410" cy="1323975"/>
                    </a:xfrm>
                    <a:prstGeom prst="rect">
                      <a:avLst/>
                    </a:prstGeom>
                  </pic:spPr>
                </pic:pic>
              </a:graphicData>
            </a:graphic>
          </wp:inline>
        </w:drawing>
      </w:r>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bookmarkStart w:id="0" w:name="_Toc294684643"/>
      <w:bookmarkStart w:id="1" w:name="_Toc294651259"/>
      <w:bookmarkStart w:id="2" w:name="_Toc294651099"/>
      <w:bookmarkStart w:id="3" w:name="_Toc294651024"/>
      <w:bookmarkStart w:id="4" w:name="_Toc294650943"/>
      <w:bookmarkStart w:id="5" w:name="_Toc294606071"/>
      <w:bookmarkStart w:id="6" w:name="_Toc294560360"/>
      <w:bookmarkStart w:id="7" w:name="_Toc294560185"/>
      <w:bookmarkStart w:id="8" w:name="_Toc294684643"/>
      <w:bookmarkStart w:id="9" w:name="_Toc294651259"/>
      <w:bookmarkStart w:id="10" w:name="_Toc294651099"/>
      <w:bookmarkStart w:id="11" w:name="_Toc294651024"/>
      <w:bookmarkStart w:id="12" w:name="_Toc294650943"/>
      <w:bookmarkStart w:id="13" w:name="_Toc294606071"/>
      <w:bookmarkStart w:id="14" w:name="_Toc294560360"/>
      <w:bookmarkStart w:id="15" w:name="_Toc294560185"/>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p>
    <w:p>
      <w:pPr>
        <w:pStyle w:val="BodyText"/>
        <w:jc w:val="center"/>
        <w:rPr>
          <w:rFonts w:ascii="Calibri" w:hAnsi="Calibri" w:cs="Calibri" w:asciiTheme="minorHAnsi" w:cstheme="minorHAnsi" w:hAnsiTheme="minorHAnsi"/>
          <w:b/>
          <w:bCs/>
          <w:i w:val="false"/>
          <w:i w:val="false"/>
          <w:iCs w:val="false"/>
          <w:sz w:val="40"/>
        </w:rPr>
      </w:pPr>
      <w:bookmarkStart w:id="16" w:name="_Toc294684643"/>
      <w:bookmarkStart w:id="17" w:name="_Toc294651259"/>
      <w:bookmarkStart w:id="18" w:name="_Toc294651099"/>
      <w:bookmarkStart w:id="19" w:name="_Toc294651024"/>
      <w:bookmarkStart w:id="20" w:name="_Toc294650943"/>
      <w:bookmarkStart w:id="21" w:name="_Toc294606071"/>
      <w:bookmarkStart w:id="22" w:name="_Toc294560360"/>
      <w:bookmarkStart w:id="23" w:name="_Toc294560185"/>
      <w:r>
        <w:rPr>
          <w:rFonts w:cs="Calibri" w:ascii="Calibri" w:hAnsi="Calibri" w:asciiTheme="minorHAnsi" w:cstheme="minorHAnsi" w:hAnsiTheme="minorHAnsi"/>
          <w:b/>
          <w:bCs/>
          <w:i w:val="false"/>
          <w:iCs w:val="false"/>
          <w:sz w:val="40"/>
        </w:rPr>
        <w:t>UNIVERSIDAD EUROPEA DE MADRID</w:t>
      </w:r>
      <w:bookmarkEnd w:id="16"/>
      <w:bookmarkEnd w:id="17"/>
      <w:bookmarkEnd w:id="18"/>
      <w:bookmarkEnd w:id="19"/>
      <w:bookmarkEnd w:id="20"/>
      <w:bookmarkEnd w:id="21"/>
      <w:bookmarkEnd w:id="22"/>
      <w:bookmarkEnd w:id="23"/>
    </w:p>
    <w:p>
      <w:pPr>
        <w:pStyle w:val="Normal"/>
        <w:jc w:val="center"/>
        <w:rPr>
          <w:rFonts w:ascii="Calibri" w:hAnsi="Calibri" w:cs="Calibri" w:asciiTheme="minorHAnsi" w:cstheme="minorHAnsi" w:hAnsiTheme="minorHAnsi"/>
          <w:sz w:val="28"/>
        </w:rPr>
      </w:pPr>
      <w:r>
        <w:rPr>
          <w:rFonts w:cs="Calibri" w:cstheme="minorHAnsi"/>
          <w:sz w:val="28"/>
        </w:rPr>
      </w:r>
    </w:p>
    <w:p>
      <w:pPr>
        <w:pStyle w:val="BodyText"/>
        <w:spacing w:lineRule="auto" w:line="480"/>
        <w:ind w:right="-136"/>
        <w:jc w:val="center"/>
        <w:rPr>
          <w:rFonts w:ascii="Calibri" w:hAnsi="Calibri" w:cs="Calibri" w:asciiTheme="minorHAnsi" w:cstheme="minorHAnsi" w:hAnsiTheme="minorHAnsi"/>
          <w:b/>
          <w:bCs/>
          <w:sz w:val="28"/>
        </w:rPr>
      </w:pPr>
      <w:r>
        <w:rPr>
          <w:rFonts w:cs="Calibri" w:ascii="Calibri" w:hAnsi="Calibri" w:asciiTheme="minorHAnsi" w:cstheme="minorHAnsi" w:hAnsiTheme="minorHAnsi"/>
          <w:spacing w:val="-3"/>
          <w:sz w:val="18"/>
          <w:szCs w:val="17"/>
        </w:rPr>
        <w:br w:type="textWrapping" w:clear="all"/>
      </w:r>
      <w:bookmarkStart w:id="24" w:name="_Toc294684644"/>
      <w:bookmarkStart w:id="25" w:name="_Toc294651260"/>
      <w:bookmarkStart w:id="26" w:name="_Toc294651100"/>
      <w:bookmarkStart w:id="27" w:name="_Toc294651025"/>
      <w:bookmarkStart w:id="28" w:name="_Toc294650944"/>
      <w:bookmarkStart w:id="29" w:name="_Toc294606072"/>
      <w:bookmarkStart w:id="30" w:name="_Toc294560361"/>
      <w:bookmarkStart w:id="31" w:name="_Toc294560186"/>
      <w:r>
        <w:rPr>
          <w:rFonts w:cs="Calibri" w:ascii="Calibri" w:hAnsi="Calibri" w:asciiTheme="minorHAnsi" w:cstheme="minorHAnsi" w:hAnsiTheme="minorHAnsi"/>
          <w:b/>
          <w:bCs/>
          <w:i w:val="false"/>
          <w:iCs w:val="false"/>
          <w:sz w:val="32"/>
          <w:szCs w:val="32"/>
        </w:rPr>
        <w:t xml:space="preserve">ESCUELA </w:t>
      </w:r>
      <w:bookmarkEnd w:id="24"/>
      <w:bookmarkEnd w:id="25"/>
      <w:bookmarkEnd w:id="26"/>
      <w:bookmarkEnd w:id="27"/>
      <w:bookmarkEnd w:id="28"/>
      <w:bookmarkEnd w:id="29"/>
      <w:bookmarkEnd w:id="30"/>
      <w:bookmarkEnd w:id="31"/>
      <w:r>
        <w:rPr>
          <w:rFonts w:cs="Calibri" w:ascii="Calibri" w:hAnsi="Calibri" w:asciiTheme="minorHAnsi" w:cstheme="minorHAnsi" w:hAnsiTheme="minorHAnsi"/>
          <w:b/>
          <w:bCs/>
          <w:i w:val="false"/>
          <w:iCs w:val="false"/>
          <w:sz w:val="32"/>
          <w:szCs w:val="32"/>
        </w:rPr>
        <w:t>DE ARQUITECTURA, INGENIERÍA Y DISEÑO</w:t>
      </w:r>
    </w:p>
    <w:p>
      <w:pPr>
        <w:pStyle w:val="Normal"/>
        <w:jc w:val="center"/>
        <w:rPr>
          <w:rFonts w:ascii="Calibri" w:hAnsi="Calibri" w:eastAsia="Times New Roman" w:cs="Calibri" w:asciiTheme="minorHAnsi" w:cstheme="minorHAnsi" w:hAnsiTheme="minorHAnsi"/>
          <w:b/>
          <w:bCs/>
          <w:sz w:val="28"/>
          <w:szCs w:val="28"/>
          <w:lang w:eastAsia="es-ES"/>
        </w:rPr>
      </w:pPr>
      <w:bookmarkStart w:id="32" w:name="_Toc294684646"/>
      <w:bookmarkStart w:id="33" w:name="_Toc294651262"/>
      <w:bookmarkStart w:id="34" w:name="_Toc294651027"/>
      <w:bookmarkStart w:id="35" w:name="_Toc294650946"/>
      <w:bookmarkStart w:id="36" w:name="_Toc294560363"/>
      <w:bookmarkStart w:id="37" w:name="_Toc294560188"/>
      <w:r>
        <w:rPr>
          <w:rFonts w:eastAsia="Times New Roman" w:cs="Calibri" w:cstheme="minorHAnsi"/>
          <w:b/>
          <w:bCs/>
          <w:color w:val="000000"/>
          <w:sz w:val="28"/>
          <w:szCs w:val="28"/>
          <w:lang w:eastAsia="es-ES"/>
        </w:rPr>
        <w:t>MÁSTER UNIVERSITARIO EN INTELIGENCIA ARTIFICIAL</w:t>
      </w:r>
    </w:p>
    <w:p>
      <w:pPr>
        <w:pStyle w:val="Normal"/>
        <w:jc w:val="center"/>
        <w:rPr>
          <w:rFonts w:ascii="Calibri" w:hAnsi="Calibri" w:cs="Calibri" w:asciiTheme="minorHAnsi" w:cstheme="minorHAnsi" w:hAnsiTheme="minorHAnsi"/>
          <w:sz w:val="36"/>
        </w:rPr>
      </w:pPr>
      <w:bookmarkStart w:id="38" w:name="_Toc294684646"/>
      <w:bookmarkStart w:id="39" w:name="_Toc294651262"/>
      <w:bookmarkStart w:id="40" w:name="_Toc294651027"/>
      <w:bookmarkStart w:id="41" w:name="_Toc294650946"/>
      <w:bookmarkStart w:id="42" w:name="_Toc294560363"/>
      <w:bookmarkStart w:id="43" w:name="_Toc294560188"/>
      <w:r>
        <w:rPr>
          <w:rFonts w:cs="Calibri" w:cstheme="minorHAnsi"/>
          <w:sz w:val="36"/>
        </w:rPr>
        <w:t xml:space="preserve">TRABAJO FIN DE </w:t>
      </w:r>
      <w:bookmarkEnd w:id="38"/>
      <w:bookmarkEnd w:id="39"/>
      <w:bookmarkEnd w:id="40"/>
      <w:bookmarkEnd w:id="41"/>
      <w:bookmarkEnd w:id="42"/>
      <w:bookmarkEnd w:id="43"/>
      <w:r>
        <w:rPr>
          <w:rFonts w:cs="Calibri" w:cstheme="minorHAnsi"/>
          <w:sz w:val="36"/>
        </w:rPr>
        <w:t xml:space="preserve">MÁSTER </w:t>
      </w:r>
    </w:p>
    <w:p>
      <w:pPr>
        <w:pStyle w:val="Normal"/>
        <w:jc w:val="center"/>
        <w:rPr>
          <w:rFonts w:ascii="Calibri" w:hAnsi="Calibri" w:cs="Calibri" w:asciiTheme="minorHAnsi" w:cstheme="minorHAnsi" w:hAnsiTheme="minorHAnsi"/>
          <w:b/>
          <w:sz w:val="32"/>
        </w:rPr>
      </w:pPr>
      <w:r>
        <w:rPr>
          <w:rFonts w:cs="Calibri" w:cstheme="minorHAnsi"/>
          <w:b/>
          <w:sz w:val="32"/>
        </w:rPr>
      </w:r>
    </w:p>
    <w:p>
      <w:pPr>
        <w:pStyle w:val="Normal"/>
        <w:jc w:val="center"/>
        <w:rPr>
          <w:rFonts w:ascii="Calibri" w:hAnsi="Calibri" w:cs="Calibri" w:asciiTheme="minorHAnsi" w:cstheme="minorHAnsi" w:hAnsiTheme="minorHAnsi"/>
          <w:b/>
          <w:sz w:val="144"/>
          <w:szCs w:val="44"/>
        </w:rPr>
      </w:pPr>
      <w:r>
        <w:rPr>
          <w:rFonts w:eastAsia="Times New Roman" w:cs="Calibri" w:cstheme="minorHAnsi"/>
          <w:b/>
          <w:bCs/>
          <w:i/>
          <w:iCs/>
          <w:color w:val="000000"/>
          <w:sz w:val="24"/>
          <w:szCs w:val="40"/>
          <w:lang w:eastAsia="es-ES"/>
        </w:rPr>
        <w:t>StrokeLab</w:t>
      </w:r>
      <w:r>
        <w:rPr>
          <w:rFonts w:eastAsia="Times New Roman" w:cs="Calibri" w:cstheme="minorHAnsi"/>
          <w:b/>
          <w:bCs/>
          <w:iCs/>
          <w:color w:val="000000"/>
          <w:sz w:val="24"/>
          <w:szCs w:val="40"/>
          <w:lang w:eastAsia="es-ES"/>
        </w:rPr>
        <w:t>: desarrollo de un sistema de análisis biomecánico explicable para la evaluación de la técnica y la fatiga en natación mediante visión por computador e inteligencia artificial</w:t>
      </w:r>
    </w:p>
    <w:p>
      <w:pPr>
        <w:pStyle w:val="Normal"/>
        <w:jc w:val="center"/>
        <w:rPr>
          <w:rFonts w:ascii="Calibri" w:hAnsi="Calibri" w:cs="Calibri" w:asciiTheme="minorHAnsi" w:cstheme="minorHAnsi" w:hAnsiTheme="minorHAnsi"/>
          <w:b/>
          <w:sz w:val="48"/>
        </w:rPr>
      </w:pPr>
      <w:r>
        <w:rPr>
          <w:rFonts w:cs="Calibri" w:cstheme="minorHAnsi"/>
          <w:b/>
          <w:sz w:val="48"/>
        </w:rPr>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Diana Cruz</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Dirigido por</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______________________________</w:t>
      </w:r>
    </w:p>
    <w:p>
      <w:pPr>
        <w:pStyle w:val="Normal"/>
        <w:jc w:val="center"/>
        <w:rPr>
          <w:rFonts w:ascii="Calibri" w:hAnsi="Calibri" w:cs="Calibri" w:asciiTheme="minorHAnsi" w:cstheme="minorHAnsi" w:hAnsiTheme="minorHAnsi"/>
          <w:b/>
          <w:bCs/>
          <w:sz w:val="28"/>
        </w:rPr>
      </w:pPr>
      <w:r>
        <w:rPr>
          <w:rFonts w:cs="Calibri" w:cstheme="minorHAnsi"/>
          <w:b/>
          <w:bCs/>
          <w:color w:val="000000"/>
          <w:sz w:val="28"/>
        </w:rPr>
        <w:t>CURSO 2025-2026</w:t>
      </w:r>
      <w:r>
        <w:br w:type="page"/>
      </w:r>
    </w:p>
    <w:p>
      <w:pPr>
        <w:pStyle w:val="Normal"/>
        <w:rPr>
          <w:rFonts w:ascii="Calibri" w:hAnsi="Calibri" w:cs="Calibri" w:asciiTheme="minorHAnsi" w:cstheme="minorHAnsi" w:hAnsiTheme="minorHAnsi"/>
          <w:b/>
          <w:bCs/>
          <w:sz w:val="28"/>
        </w:rPr>
      </w:pPr>
      <w:r>
        <w:rPr>
          <w:rFonts w:cs="Calibri" w:cstheme="minorHAnsi"/>
          <w:b/>
          <w:color w:val="000000"/>
        </w:rPr>
        <w:t xml:space="preserve">TÍTULO: </w:t>
      </w:r>
      <w:r>
        <w:rPr>
          <w:rFonts w:cs="Calibri" w:cstheme="minorHAnsi"/>
          <w:b/>
          <w:i/>
          <w:color w:val="000000"/>
        </w:rPr>
        <w:t>StrokeLab</w:t>
      </w:r>
      <w:r>
        <w:rPr>
          <w:rFonts w:cs="Calibri" w:cstheme="minorHAnsi"/>
          <w:b/>
          <w:color w:val="000000"/>
        </w:rPr>
        <w:t>: desarrollo de un sistema de análisis biomecánico explicable para la evaluación de la técnica y la fatiga en natación mediante visión por computador e inteligencia artificial</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AUTOR: Diana Cruz</w:t>
      </w:r>
    </w:p>
    <w:p>
      <w:pPr>
        <w:pStyle w:val="Normal"/>
        <w:ind w:firstLine="708"/>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TITULACIÓN: Máster Universitario en Inteligencia Artificial</w:t>
      </w:r>
    </w:p>
    <w:p>
      <w:pPr>
        <w:pStyle w:val="Normal"/>
        <w:rPr>
          <w:rFonts w:ascii="Calibri" w:hAnsi="Calibri" w:cs="Calibri" w:asciiTheme="minorHAnsi" w:cstheme="minorHAnsi" w:hAnsiTheme="minorHAnsi"/>
        </w:rPr>
      </w:pPr>
      <w:r>
        <w:rPr>
          <w:rFonts w:cs="Calibri" w:cstheme="minorHAnsi"/>
        </w:rPr>
      </w:r>
    </w:p>
    <w:p>
      <w:pPr>
        <w:pStyle w:val="Normal"/>
        <w:jc w:val="left"/>
        <w:rPr>
          <w:rFonts w:ascii="Calibri" w:hAnsi="Calibri" w:cs="Calibri" w:asciiTheme="minorHAnsi" w:cstheme="minorHAnsi" w:hAnsiTheme="minorHAnsi"/>
          <w:color w:val="FF0000"/>
          <w:szCs w:val="48"/>
        </w:rPr>
      </w:pPr>
      <w:r>
        <w:rPr>
          <w:rFonts w:cs="Calibri" w:cstheme="minorHAnsi"/>
          <w:b/>
          <w:color w:val="000000"/>
        </w:rPr>
        <w:t>DIRECTOR/ES DEL PROYECTO: ______________________________</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FECHA: octubre de 2026</w:t>
      </w:r>
    </w:p>
    <w:p>
      <w:pPr>
        <w:pStyle w:val="Normal"/>
        <w:rPr>
          <w:rFonts w:ascii="Calibri" w:hAnsi="Calibri" w:cs="Calibri" w:asciiTheme="minorHAnsi" w:cstheme="minorHAnsi" w:hAnsiTheme="minorHAnsi"/>
          <w:color w:val="FF0000"/>
          <w:szCs w:val="96"/>
        </w:rPr>
      </w:pPr>
      <w:r>
        <w:rPr>
          <w:rFonts w:cs="Calibri" w:cstheme="minorHAnsi"/>
          <w:color w:val="FF0000"/>
          <w:szCs w:val="96"/>
        </w:rPr>
      </w:r>
    </w:p>
    <w:p>
      <w:pPr>
        <w:pStyle w:val="Heading1"/>
        <w:numPr>
          <w:ilvl w:val="0"/>
          <w:numId w:val="0"/>
        </w:numPr>
        <w:ind w:hanging="0" w:left="0"/>
        <w:rPr/>
      </w:pPr>
      <w:bookmarkStart w:id="44" w:name="__RefHeading___Toc9170_350176733"/>
      <w:bookmarkStart w:id="45" w:name="_Toc37845866"/>
      <w:bookmarkStart w:id="46" w:name="_Toc37758881"/>
      <w:bookmarkEnd w:id="44"/>
      <w:r>
        <w:rPr/>
        <w:t>RESUMEN</w:t>
      </w:r>
      <w:bookmarkEnd w:id="45"/>
      <w:bookmarkEnd w:id="46"/>
    </w:p>
    <w:p>
      <w:pPr>
        <w:pStyle w:val="Normal"/>
        <w:jc w:val="both"/>
        <w:rPr/>
      </w:pPr>
      <w:r>
        <w:rPr/>
        <w:t xml:space="preserve">La evaluación de la técnica de nado y de la aparición de la fatiga se basa habitualmente en la observación subjetiva del entrenador o en sistemas instrumentados de coste elevado. Este trabajo presenta </w:t>
      </w:r>
      <w:r>
        <w:rPr>
          <w:i/>
        </w:rPr>
        <w:t>StrokeLab</w:t>
      </w:r>
      <w:r>
        <w:rPr/>
        <w:t>,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El sistema determina automáticamente la vista de la cámara y la familia del estilo, y ofrece un modo de análisis en tiempo real. Se aplicó a 25 secuencias reales de 5 participantes en 4 estilos (44,9 min grabados), de las que obtuvo 6,3 min analizables y 165 ciclos válidos. La frecuencia de ciclo estimada presenta un error relativo del 6,5 % al 8,2 % frente al conteo manual en vista lateral y frontal, y la familia del estilo se identifica en 15 de 19 secuencias. En una secuencia de entrenamiento de 34 min, el sistema detecta un cambio técnico sostenido compatible con la fatiga a partir de t = 748,0 s (aumento de la frecuencia de ciclo), aunque con pocos ciclos válidos y sin referencia fisiológica. Con datos sintéticos de referencia conocida, el error mediano es del 4,7 % en la frecuencia de ciclo, del 1,3 % en la velocidad y del 4,3 % en la distancia por ciclo, y el detector de fatiga alcanza una tasa de detección del 100 % con un 10 % de falsas alarmas. La principal limitación es la escasez de datos reales anotados y la ausencia de una referencia fisiológica de la fatiga.</w:t>
      </w:r>
    </w:p>
    <w:p>
      <w:pPr>
        <w:pStyle w:val="Normal"/>
        <w:rPr/>
      </w:pPr>
      <w:r>
        <w:rPr>
          <w:b/>
        </w:rPr>
        <w:t>Palabras clave:</w:t>
      </w:r>
      <w:r>
        <w:rPr/>
        <w:t xml:space="preserve"> visión por computador; estimación de pose humana; aprendizaje no supervisado; detección de anomalías; inteligencia artificial explicable; biomecánica de la natación</w:t>
      </w:r>
    </w:p>
    <w:p>
      <w:pPr>
        <w:pStyle w:val="NoSpacing"/>
        <w:rPr>
          <w:rFonts w:ascii="Calibri" w:hAnsi="Calibri" w:cs="Calibri" w:asciiTheme="minorHAnsi" w:cstheme="minorHAnsi" w:hAnsiTheme="minorHAnsi"/>
        </w:rPr>
      </w:pPr>
      <w:r>
        <w:rPr>
          <w:rFonts w:cs="Calibri" w:cstheme="minorHAnsi"/>
        </w:rPr>
      </w:r>
    </w:p>
    <w:p>
      <w:pPr>
        <w:pStyle w:val="Heading1"/>
        <w:numPr>
          <w:ilvl w:val="0"/>
          <w:numId w:val="0"/>
        </w:numPr>
        <w:ind w:hanging="0" w:left="0"/>
        <w:rPr/>
      </w:pPr>
      <w:bookmarkStart w:id="47" w:name="__RefHeading___Toc9172_350176733"/>
      <w:bookmarkStart w:id="48" w:name="_Toc37845867"/>
      <w:bookmarkStart w:id="49" w:name="_Toc37758882"/>
      <w:bookmarkEnd w:id="47"/>
      <w:r>
        <w:rPr/>
        <w:t>ABSTRACT</w:t>
      </w:r>
      <w:bookmarkEnd w:id="48"/>
      <w:bookmarkEnd w:id="49"/>
    </w:p>
    <w:p>
      <w:pPr>
        <w:pStyle w:val="Normal"/>
        <w:jc w:val="both"/>
        <w:rPr/>
      </w:pPr>
      <w:r>
        <w:rPr/>
        <w:t xml:space="preserve">Swimming technique and the onset of fatigue are usually assessed through the coach’s subjective observation or through costly instrumented systems. This work presents </w:t>
      </w:r>
      <w:r>
        <w:rPr>
          <w:i/>
        </w:rPr>
        <w:t>StrokeLab</w:t>
      </w:r>
      <w:r>
        <w:rPr/>
        <w:t>,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The system determines the camera view and the stroke family automatically and offers a real-time analysis mode. It was applied to 25 real sequences of 5 participants in 4 strokes (44.9 min recorded), yielding 6.3 min of analysable video and 165 valid cycles. The estimated stroke rate shows a relative error of 6.5 % to 8.2 % against manual counts in side and front views, and the stroke family is identified in 15 of 19 sequences. On a 34-min training sequence, the system detects a sustained technical change compatible with fatigue from t = 748.0 s (higher stroke rate), although with few valid cycles and no physiological reference. On synthetic data with known ground truth, the median error is 4.7 % for stroke rate, 1.3 % for velocity and 4.3 % for distance per stroke, and the fatigue detector reaches a 100 % detection rate with 10 % false alarms. The main limitation is the scarcity of annotated real data and the lack of a physiological fatigue reference.</w:t>
      </w:r>
    </w:p>
    <w:p>
      <w:pPr>
        <w:pStyle w:val="Normal"/>
        <w:rPr/>
      </w:pPr>
      <w:r>
        <w:rPr>
          <w:b/>
        </w:rPr>
        <w:t>Keywords:</w:t>
      </w:r>
      <w:r>
        <w:rPr/>
        <w:t xml:space="preserve"> computer vision; human pose estimation; unsupervised learning; anomaly detection; explainable artificial intelligence; swimming biomechanics</w:t>
      </w:r>
    </w:p>
    <w:p>
      <w:pPr>
        <w:pStyle w:val="NoSpacing"/>
        <w:rPr>
          <w:rFonts w:ascii="Calibri" w:hAnsi="Calibri" w:cs="Calibri" w:asciiTheme="minorHAnsi" w:cstheme="minorHAnsi" w:hAnsiTheme="minorHAnsi"/>
          <w:b/>
        </w:rPr>
      </w:pPr>
      <w:r>
        <w:rPr>
          <w:rFonts w:cs="Calibri" w:cstheme="minorHAnsi"/>
          <w:b/>
        </w:rPr>
      </w:r>
    </w:p>
    <w:p>
      <w:pPr>
        <w:pStyle w:val="Normal"/>
        <w:jc w:val="center"/>
        <w:rPr>
          <w:rFonts w:ascii="Calibri" w:hAnsi="Calibri" w:cs="Calibri" w:asciiTheme="minorHAnsi" w:cstheme="minorHAnsi" w:hAnsiTheme="minorHAnsi"/>
          <w:b/>
          <w:bCs/>
          <w:sz w:val="28"/>
        </w:rPr>
      </w:pPr>
      <w:r>
        <w:rPr>
          <w:rFonts w:cs="Calibri" w:cstheme="minorHAnsi"/>
          <w:b/>
          <w:bCs/>
          <w:sz w:val="28"/>
        </w:rPr>
      </w:r>
      <w:r>
        <w:br w:type="page"/>
      </w:r>
    </w:p>
    <w:p>
      <w:pPr>
        <w:pStyle w:val="Normal"/>
        <w:spacing w:before="0" w:after="120"/>
        <w:rPr>
          <w:rFonts w:ascii="Calibri" w:hAnsi="Calibri" w:cs="Calibri" w:asciiTheme="minorHAnsi" w:cstheme="minorHAnsi" w:hAnsiTheme="minorHAnsi"/>
          <w:b/>
          <w:sz w:val="24"/>
        </w:rPr>
      </w:pPr>
      <w:r>
        <w:rPr>
          <w:rFonts w:cs="Calibri" w:cstheme="minorHAnsi"/>
          <w:b/>
          <w:sz w:val="24"/>
        </w:rPr>
        <w:t>AGRADECIMIENTOS</w:t>
      </w:r>
    </w:p>
    <w:p>
      <w:pPr>
        <w:pStyle w:val="Normal"/>
        <w:rPr>
          <w:rFonts w:ascii="Calibri" w:hAnsi="Calibri" w:cs="Calibri" w:asciiTheme="minorHAnsi" w:cstheme="minorHAnsi" w:hAnsiTheme="minorHAnsi"/>
        </w:rPr>
      </w:pPr>
      <w:r>
        <w:rPr>
          <w:rFonts w:cs="Calibri" w:cstheme="minorHAnsi"/>
          <w:color w:val="000000"/>
        </w:rPr>
        <w:t>Agradezco a mi director/a su orientación durante el proyecto, al club y a los nadadores su colaboración en las grabaciones, y a mi familia su apoyo durante el máster.</w:t>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0"/>
        </w:numPr>
        <w:spacing w:before="0" w:after="240"/>
        <w:ind w:hanging="0" w:left="0"/>
        <w:rPr/>
      </w:pPr>
      <w:bookmarkStart w:id="50" w:name="__RefHeading___Toc9174_350176733"/>
      <w:bookmarkStart w:id="51" w:name="_Toc37845868"/>
      <w:bookmarkStart w:id="52" w:name="_Toc37758883"/>
      <w:bookmarkEnd w:id="50"/>
      <w:r>
        <w:rPr/>
        <w:t>TABLA RESUMEN</w:t>
      </w:r>
      <w:bookmarkEnd w:id="51"/>
      <w:bookmarkEnd w:id="52"/>
    </w:p>
    <w:tbl>
      <w:tblPr>
        <w:tblStyle w:val="Tablaconcuadrcula"/>
        <w:tblW w:w="88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89"/>
        <w:gridCol w:w="4418"/>
      </w:tblGrid>
      <w:tr>
        <w:trPr>
          <w:trHeight w:val="181" w:hRule="atLeast"/>
        </w:trPr>
        <w:tc>
          <w:tcPr>
            <w:tcW w:w="4389" w:type="dxa"/>
            <w:tcBorders/>
          </w:tcPr>
          <w:p>
            <w:pPr>
              <w:pStyle w:val="Normal"/>
              <w:widowControl/>
              <w:spacing w:before="120" w:after="120"/>
              <w:rPr>
                <w:rFonts w:ascii="Calibri" w:hAnsi="Calibri" w:eastAsia="Calibri" w:cs="Times New Roman"/>
                <w:kern w:val="0"/>
                <w:lang w:val="es-ES" w:bidi="ar-SA"/>
              </w:rPr>
            </w:pPr>
            <w:r>
              <w:rPr>
                <w:rFonts w:eastAsia="Calibri" w:cs="Times New Roman"/>
                <w:kern w:val="0"/>
                <w:lang w:val="es-ES" w:bidi="ar-SA"/>
              </w:rPr>
            </w:r>
          </w:p>
        </w:tc>
        <w:tc>
          <w:tcPr>
            <w:tcW w:w="4418" w:type="dxa"/>
            <w:tcBorders/>
          </w:tcPr>
          <w:p>
            <w:pPr>
              <w:pStyle w:val="Normal"/>
              <w:widowControl/>
              <w:spacing w:before="120" w:after="120"/>
              <w:jc w:val="center"/>
              <w:rPr>
                <w:b/>
                <w:bCs/>
              </w:rPr>
            </w:pPr>
            <w:r>
              <w:rPr>
                <w:rFonts w:eastAsia="Calibri" w:cs="Times New Roman"/>
                <w:b/>
                <w:bCs/>
                <w:kern w:val="0"/>
                <w:lang w:val="es-ES" w:bidi="ar-SA"/>
              </w:rPr>
              <w:t>DATOS</w:t>
            </w:r>
          </w:p>
        </w:tc>
      </w:tr>
      <w:tr>
        <w:trPr>
          <w:trHeight w:val="181"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Nombre y apellidos:</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Diana Cruz</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Título del proyecto:</w:t>
            </w:r>
          </w:p>
        </w:tc>
        <w:tc>
          <w:tcPr>
            <w:tcW w:w="4418" w:type="dxa"/>
            <w:tcBorders/>
          </w:tcPr>
          <w:p>
            <w:pPr>
              <w:pStyle w:val="Normal"/>
              <w:widowControl/>
              <w:spacing w:before="120" w:after="120"/>
              <w:jc w:val="center"/>
              <w:rPr>
                <w:color w:val="FF0000"/>
              </w:rPr>
            </w:pPr>
            <w:r>
              <w:rPr>
                <w:rFonts w:eastAsia="Calibri" w:cs="Times New Roman"/>
                <w:i/>
                <w:color w:val="000000"/>
                <w:kern w:val="0"/>
                <w:lang w:val="es-ES" w:bidi="ar-SA"/>
              </w:rPr>
              <w:t>StrokeLab</w:t>
            </w:r>
            <w:r>
              <w:rPr>
                <w:rFonts w:eastAsia="Calibri" w:cs="Times New Roman"/>
                <w:color w:val="000000"/>
                <w:kern w:val="0"/>
                <w:lang w:val="es-ES" w:bidi="ar-SA"/>
              </w:rPr>
              <w:t>: desarrollo de un sistema de análisis biomecánico explicable para la evaluación de la técnica y la fatiga en natación mediante visión por computador e inteligencia artificial</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Directores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______________________________</w:t>
            </w:r>
          </w:p>
        </w:tc>
      </w:tr>
      <w:tr>
        <w:trPr>
          <w:trHeight w:val="374"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se ha realizado en colaboración de una empresa o a petición de una empresa:</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NO</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implementado un producto:</w:t>
            </w:r>
          </w:p>
          <w:p>
            <w:pPr>
              <w:pStyle w:val="Normal"/>
              <w:widowControl/>
              <w:spacing w:before="120" w:after="120"/>
              <w:jc w:val="right"/>
              <w:rPr>
                <w:b/>
                <w:bCs/>
              </w:rPr>
            </w:pPr>
            <w:r>
              <w:rPr>
                <w:rFonts w:eastAsia="Calibri" w:cs="Times New Roman"/>
                <w:kern w:val="0"/>
                <w:sz w:val="20"/>
                <w:szCs w:val="20"/>
                <w:lang w:val="es-ES" w:bidi="ar-SA"/>
              </w:rPr>
              <w:t>(esta entrada se puede marcar junto a la siguiente)</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consistido en el desarrollo de una investigación o innovación:</w:t>
            </w:r>
          </w:p>
          <w:p>
            <w:pPr>
              <w:pStyle w:val="Normal"/>
              <w:widowControl/>
              <w:spacing w:before="120" w:after="120"/>
              <w:jc w:val="right"/>
              <w:rPr>
                <w:b/>
                <w:bCs/>
              </w:rPr>
            </w:pPr>
            <w:r>
              <w:rPr>
                <w:rFonts w:eastAsia="Calibri" w:cs="Times New Roman"/>
                <w:kern w:val="0"/>
                <w:sz w:val="20"/>
                <w:szCs w:val="20"/>
                <w:lang w:val="es-ES" w:bidi="ar-SA"/>
              </w:rPr>
              <w:t>(esta entrada se puede marcar junto a la anterior)</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630"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Objetivo general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Desarrollar un sistema de inteligencia artificial explicable que, a partir de vídeo, cuantifique la eficiencia de la técnica de nado, detecte el inicio de la fatiga técnica y atribuya sus causas a variables biomecánicas.</w:t>
            </w:r>
          </w:p>
        </w:tc>
      </w:tr>
    </w:tbl>
    <w:p>
      <w:pPr>
        <w:pStyle w:val="Normal"/>
        <w:rPr/>
      </w:pPr>
      <w:r>
        <w:rPr/>
      </w:r>
      <w:r>
        <w:br w:type="page"/>
      </w:r>
    </w:p>
    <w:p>
      <w:pPr>
        <w:pStyle w:val="Normal"/>
        <w:spacing w:before="0" w:after="120"/>
        <w:rPr/>
      </w:pPr>
      <w:r>
        <w:rPr/>
      </w:r>
    </w:p>
    <w:p>
      <w:pPr>
        <w:pStyle w:val="Normal"/>
        <w:rPr>
          <w:rFonts w:ascii="Calibri" w:hAnsi="Calibri" w:cs="Calibri" w:asciiTheme="minorHAnsi" w:cstheme="minorHAnsi" w:hAnsiTheme="minorHAnsi"/>
          <w:b/>
          <w:bCs/>
          <w:sz w:val="40"/>
          <w:szCs w:val="40"/>
        </w:rPr>
      </w:pPr>
      <w:r>
        <w:rPr>
          <w:rFonts w:cs="Calibri" w:cstheme="minorHAnsi"/>
          <w:b/>
          <w:bCs/>
          <w:sz w:val="40"/>
          <w:szCs w:val="40"/>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webHidden/>
              <w:rStyle w:val="IndexLink"/>
            </w:rPr>
            <w:instrText xml:space="preserve"> TOC \z \o "1-2" \u \h</w:instrText>
          </w:r>
          <w:r>
            <w:rPr>
              <w:webHidden/>
              <w:rStyle w:val="IndexLink"/>
            </w:rPr>
            <w:fldChar w:fldCharType="separate"/>
          </w:r>
          <w:hyperlink w:anchor="__RefHeading___Toc9170_350176733">
            <w:r>
              <w:rPr>
                <w:webHidden/>
                <w:rStyle w:val="IndexLink"/>
              </w:rPr>
              <w:t>RESUMEN</w:t>
              <w:tab/>
              <w:t>3</w:t>
            </w:r>
          </w:hyperlink>
        </w:p>
        <w:p>
          <w:pPr>
            <w:pStyle w:val="TOC1"/>
            <w:tabs>
              <w:tab w:val="clear" w:pos="8504"/>
              <w:tab w:val="right" w:pos="8503" w:leader="dot"/>
            </w:tabs>
            <w:rPr/>
          </w:pPr>
          <w:hyperlink w:anchor="__RefHeading___Toc9172_350176733">
            <w:r>
              <w:rPr>
                <w:webHidden/>
                <w:rStyle w:val="IndexLink"/>
              </w:rPr>
              <w:t>ABSTRACT</w:t>
              <w:tab/>
              <w:t>4</w:t>
            </w:r>
          </w:hyperlink>
        </w:p>
        <w:p>
          <w:pPr>
            <w:pStyle w:val="TOC1"/>
            <w:tabs>
              <w:tab w:val="clear" w:pos="8504"/>
              <w:tab w:val="right" w:pos="8503" w:leader="dot"/>
            </w:tabs>
            <w:rPr/>
          </w:pPr>
          <w:hyperlink w:anchor="__RefHeading___Toc9174_350176733">
            <w:r>
              <w:rPr>
                <w:webHidden/>
                <w:rStyle w:val="IndexLink"/>
              </w:rPr>
              <w:t>TABLA RESUMEN</w:t>
              <w:tab/>
              <w:t>6</w:t>
            </w:r>
          </w:hyperlink>
        </w:p>
        <w:p>
          <w:pPr>
            <w:pStyle w:val="TOC1"/>
            <w:tabs>
              <w:tab w:val="clear" w:pos="8504"/>
              <w:tab w:val="right" w:pos="8503" w:leader="dot"/>
            </w:tabs>
            <w:rPr/>
          </w:pPr>
          <w:hyperlink w:anchor="__RefHeading___Toc9176_350176733">
            <w:r>
              <w:rPr>
                <w:webHidden/>
                <w:rStyle w:val="IndexLink"/>
              </w:rPr>
              <w:t>Capítulo 1. RESUMEN DEL PROYECTO</w:t>
              <w:tab/>
              <w:t>12</w:t>
            </w:r>
          </w:hyperlink>
        </w:p>
        <w:p>
          <w:pPr>
            <w:pStyle w:val="TOC2"/>
            <w:tabs>
              <w:tab w:val="clear" w:pos="8504"/>
              <w:tab w:val="right" w:pos="8503" w:leader="dot"/>
            </w:tabs>
            <w:rPr/>
          </w:pPr>
          <w:hyperlink w:anchor="__RefHeading___Toc9178_350176733">
            <w:r>
              <w:rPr>
                <w:webHidden/>
                <w:rStyle w:val="IndexLink"/>
              </w:rPr>
              <w:t>1.1 Contexto y justificación</w:t>
              <w:tab/>
              <w:t>12</w:t>
            </w:r>
          </w:hyperlink>
        </w:p>
        <w:p>
          <w:pPr>
            <w:pStyle w:val="TOC2"/>
            <w:tabs>
              <w:tab w:val="clear" w:pos="8504"/>
              <w:tab w:val="right" w:pos="8503" w:leader="dot"/>
            </w:tabs>
            <w:rPr/>
          </w:pPr>
          <w:hyperlink w:anchor="__RefHeading___Toc9180_350176733">
            <w:r>
              <w:rPr>
                <w:webHidden/>
                <w:rStyle w:val="IndexLink"/>
              </w:rPr>
              <w:t>1.2 Planteamiento del problema</w:t>
              <w:tab/>
              <w:t>12</w:t>
            </w:r>
          </w:hyperlink>
        </w:p>
        <w:p>
          <w:pPr>
            <w:pStyle w:val="TOC2"/>
            <w:tabs>
              <w:tab w:val="clear" w:pos="8504"/>
              <w:tab w:val="right" w:pos="8503" w:leader="dot"/>
            </w:tabs>
            <w:rPr/>
          </w:pPr>
          <w:hyperlink w:anchor="__RefHeading___Toc9182_350176733">
            <w:r>
              <w:rPr>
                <w:webHidden/>
                <w:rStyle w:val="IndexLink"/>
              </w:rPr>
              <w:t>1.3 Objetivos del proyecto</w:t>
              <w:tab/>
              <w:t>12</w:t>
            </w:r>
          </w:hyperlink>
        </w:p>
        <w:p>
          <w:pPr>
            <w:pStyle w:val="TOC2"/>
            <w:tabs>
              <w:tab w:val="clear" w:pos="8504"/>
              <w:tab w:val="right" w:pos="8503" w:leader="dot"/>
            </w:tabs>
            <w:rPr/>
          </w:pPr>
          <w:hyperlink w:anchor="__RefHeading___Toc9184_350176733">
            <w:r>
              <w:rPr>
                <w:webHidden/>
                <w:rStyle w:val="IndexLink"/>
              </w:rPr>
              <w:t>1.4 Resultados obtenidos</w:t>
              <w:tab/>
              <w:t>13</w:t>
            </w:r>
          </w:hyperlink>
        </w:p>
        <w:p>
          <w:pPr>
            <w:pStyle w:val="TOC2"/>
            <w:tabs>
              <w:tab w:val="clear" w:pos="8504"/>
              <w:tab w:val="right" w:pos="8503" w:leader="dot"/>
            </w:tabs>
            <w:rPr/>
          </w:pPr>
          <w:hyperlink w:anchor="__RefHeading___Toc9186_350176733">
            <w:r>
              <w:rPr>
                <w:webHidden/>
                <w:rStyle w:val="IndexLink"/>
              </w:rPr>
              <w:t>1.5 Estructura de la memoria</w:t>
              <w:tab/>
              <w:t>13</w:t>
            </w:r>
          </w:hyperlink>
        </w:p>
        <w:p>
          <w:pPr>
            <w:pStyle w:val="TOC1"/>
            <w:tabs>
              <w:tab w:val="clear" w:pos="8504"/>
              <w:tab w:val="right" w:pos="8503" w:leader="dot"/>
            </w:tabs>
            <w:rPr/>
          </w:pPr>
          <w:hyperlink w:anchor="__RefHeading___Toc9188_350176733">
            <w:r>
              <w:rPr>
                <w:webHidden/>
                <w:rStyle w:val="IndexLink"/>
              </w:rPr>
              <w:t>Capítulo 2. ANTECEDENTES / ESTADO DEL ARTE</w:t>
              <w:tab/>
              <w:t>14</w:t>
            </w:r>
          </w:hyperlink>
        </w:p>
        <w:p>
          <w:pPr>
            <w:pStyle w:val="TOC2"/>
            <w:tabs>
              <w:tab w:val="clear" w:pos="8504"/>
              <w:tab w:val="right" w:pos="8503" w:leader="dot"/>
            </w:tabs>
            <w:rPr/>
          </w:pPr>
          <w:hyperlink w:anchor="__RefHeading___Toc9190_350176733">
            <w:r>
              <w:rPr>
                <w:webHidden/>
                <w:rStyle w:val="IndexLink"/>
              </w:rPr>
              <w:t>2.1 Estado del arte</w:t>
              <w:tab/>
              <w:t>14</w:t>
            </w:r>
          </w:hyperlink>
        </w:p>
        <w:p>
          <w:pPr>
            <w:pStyle w:val="TOC2"/>
            <w:tabs>
              <w:tab w:val="clear" w:pos="8504"/>
              <w:tab w:val="right" w:pos="8503" w:leader="dot"/>
            </w:tabs>
            <w:rPr/>
          </w:pPr>
          <w:hyperlink w:anchor="__RefHeading___Toc9192_350176733">
            <w:r>
              <w:rPr>
                <w:webHidden/>
                <w:rStyle w:val="IndexLink"/>
              </w:rPr>
              <w:t>2.2 Contexto y justificación</w:t>
              <w:tab/>
              <w:t>22</w:t>
            </w:r>
          </w:hyperlink>
        </w:p>
        <w:p>
          <w:pPr>
            <w:pStyle w:val="TOC2"/>
            <w:tabs>
              <w:tab w:val="clear" w:pos="8504"/>
              <w:tab w:val="right" w:pos="8503" w:leader="dot"/>
            </w:tabs>
            <w:rPr/>
          </w:pPr>
          <w:hyperlink w:anchor="__RefHeading___Toc9194_350176733">
            <w:r>
              <w:rPr>
                <w:webHidden/>
                <w:rStyle w:val="IndexLink"/>
              </w:rPr>
              <w:t>2.3 Planteamiento del problema</w:t>
              <w:tab/>
              <w:t>22</w:t>
            </w:r>
          </w:hyperlink>
        </w:p>
        <w:p>
          <w:pPr>
            <w:pStyle w:val="TOC1"/>
            <w:tabs>
              <w:tab w:val="clear" w:pos="8504"/>
              <w:tab w:val="right" w:pos="8503" w:leader="dot"/>
            </w:tabs>
            <w:rPr/>
          </w:pPr>
          <w:hyperlink w:anchor="__RefHeading___Toc9196_350176733">
            <w:r>
              <w:rPr>
                <w:webHidden/>
                <w:rStyle w:val="IndexLink"/>
              </w:rPr>
              <w:t>Capítulo 3. OBJETIVOS</w:t>
              <w:tab/>
              <w:t>24</w:t>
            </w:r>
          </w:hyperlink>
        </w:p>
        <w:p>
          <w:pPr>
            <w:pStyle w:val="TOC2"/>
            <w:tabs>
              <w:tab w:val="clear" w:pos="8504"/>
              <w:tab w:val="right" w:pos="8503" w:leader="dot"/>
            </w:tabs>
            <w:rPr/>
          </w:pPr>
          <w:hyperlink w:anchor="__RefHeading___Toc9198_350176733">
            <w:r>
              <w:rPr>
                <w:webHidden/>
                <w:rStyle w:val="IndexLink"/>
              </w:rPr>
              <w:t>3.1 Objetivos generales</w:t>
              <w:tab/>
              <w:t>24</w:t>
            </w:r>
          </w:hyperlink>
        </w:p>
        <w:p>
          <w:pPr>
            <w:pStyle w:val="TOC2"/>
            <w:tabs>
              <w:tab w:val="clear" w:pos="8504"/>
              <w:tab w:val="right" w:pos="8503" w:leader="dot"/>
            </w:tabs>
            <w:rPr/>
          </w:pPr>
          <w:hyperlink w:anchor="__RefHeading___Toc9200_350176733">
            <w:r>
              <w:rPr>
                <w:webHidden/>
                <w:rStyle w:val="IndexLink"/>
              </w:rPr>
              <w:t>3.2 Objetivos específicos</w:t>
              <w:tab/>
              <w:t>24</w:t>
            </w:r>
          </w:hyperlink>
        </w:p>
        <w:p>
          <w:pPr>
            <w:pStyle w:val="TOC2"/>
            <w:tabs>
              <w:tab w:val="clear" w:pos="8504"/>
              <w:tab w:val="right" w:pos="8503" w:leader="dot"/>
            </w:tabs>
            <w:rPr/>
          </w:pPr>
          <w:hyperlink w:anchor="__RefHeading___Toc9202_350176733">
            <w:r>
              <w:rPr>
                <w:webHidden/>
                <w:rStyle w:val="IndexLink"/>
              </w:rPr>
              <w:t>3.3 Beneficios del proyecto</w:t>
              <w:tab/>
              <w:t>24</w:t>
            </w:r>
          </w:hyperlink>
        </w:p>
        <w:p>
          <w:pPr>
            <w:pStyle w:val="TOC1"/>
            <w:tabs>
              <w:tab w:val="clear" w:pos="8504"/>
              <w:tab w:val="right" w:pos="8503" w:leader="dot"/>
            </w:tabs>
            <w:rPr/>
          </w:pPr>
          <w:hyperlink w:anchor="__RefHeading___Toc9204_350176733">
            <w:r>
              <w:rPr>
                <w:webHidden/>
                <w:rStyle w:val="IndexLink"/>
              </w:rPr>
              <w:t>Capítulo 4. DESARROLLO DEL PROYECTO</w:t>
              <w:tab/>
              <w:t>25</w:t>
            </w:r>
          </w:hyperlink>
        </w:p>
        <w:p>
          <w:pPr>
            <w:pStyle w:val="TOC2"/>
            <w:tabs>
              <w:tab w:val="clear" w:pos="8504"/>
              <w:tab w:val="right" w:pos="8503" w:leader="dot"/>
            </w:tabs>
            <w:rPr/>
          </w:pPr>
          <w:hyperlink w:anchor="__RefHeading___Toc9206_350176733">
            <w:r>
              <w:rPr>
                <w:webHidden/>
                <w:rStyle w:val="IndexLink"/>
              </w:rPr>
              <w:t>4.1 Planificación del proyecto</w:t>
              <w:tab/>
              <w:t>25</w:t>
            </w:r>
          </w:hyperlink>
        </w:p>
        <w:p>
          <w:pPr>
            <w:pStyle w:val="TOC2"/>
            <w:tabs>
              <w:tab w:val="clear" w:pos="8504"/>
              <w:tab w:val="right" w:pos="8503" w:leader="dot"/>
            </w:tabs>
            <w:rPr/>
          </w:pPr>
          <w:hyperlink w:anchor="__RefHeading___Toc9208_350176733">
            <w:r>
              <w:rPr>
                <w:webHidden/>
                <w:rStyle w:val="IndexLink"/>
              </w:rPr>
              <w:t>4.2 Descripción de la solución, metodologías y herramientas empleadas</w:t>
              <w:tab/>
              <w:t>25</w:t>
            </w:r>
          </w:hyperlink>
        </w:p>
        <w:p>
          <w:pPr>
            <w:pStyle w:val="TOC2"/>
            <w:tabs>
              <w:tab w:val="clear" w:pos="8504"/>
              <w:tab w:val="right" w:pos="8503" w:leader="dot"/>
            </w:tabs>
            <w:rPr/>
          </w:pPr>
          <w:hyperlink w:anchor="__RefHeading___Toc9210_350176733">
            <w:r>
              <w:rPr>
                <w:webHidden/>
                <w:rStyle w:val="IndexLink"/>
              </w:rPr>
              <w:t>4.3 Recursos requeridos</w:t>
              <w:tab/>
              <w:t>38</w:t>
            </w:r>
          </w:hyperlink>
        </w:p>
        <w:p>
          <w:pPr>
            <w:pStyle w:val="TOC2"/>
            <w:tabs>
              <w:tab w:val="clear" w:pos="8504"/>
              <w:tab w:val="right" w:pos="8503" w:leader="dot"/>
            </w:tabs>
            <w:rPr/>
          </w:pPr>
          <w:hyperlink w:anchor="__RefHeading___Toc9212_350176733">
            <w:r>
              <w:rPr>
                <w:webHidden/>
                <w:rStyle w:val="IndexLink"/>
              </w:rPr>
              <w:t>4.4 Presupuesto</w:t>
              <w:tab/>
              <w:t>38</w:t>
            </w:r>
          </w:hyperlink>
        </w:p>
        <w:p>
          <w:pPr>
            <w:pStyle w:val="TOC2"/>
            <w:tabs>
              <w:tab w:val="clear" w:pos="8504"/>
              <w:tab w:val="right" w:pos="8503" w:leader="dot"/>
            </w:tabs>
            <w:rPr/>
          </w:pPr>
          <w:hyperlink w:anchor="__RefHeading___Toc9214_350176733">
            <w:r>
              <w:rPr>
                <w:webHidden/>
                <w:rStyle w:val="IndexLink"/>
              </w:rPr>
              <w:t>4.5 Viabilidad</w:t>
              <w:tab/>
              <w:t>39</w:t>
            </w:r>
          </w:hyperlink>
        </w:p>
        <w:p>
          <w:pPr>
            <w:pStyle w:val="TOC2"/>
            <w:tabs>
              <w:tab w:val="clear" w:pos="8504"/>
              <w:tab w:val="right" w:pos="8503" w:leader="dot"/>
            </w:tabs>
            <w:rPr/>
          </w:pPr>
          <w:hyperlink w:anchor="__RefHeading___Toc9216_350176733">
            <w:r>
              <w:rPr>
                <w:webHidden/>
                <w:rStyle w:val="IndexLink"/>
              </w:rPr>
              <w:t>4.6 Resultados del proyecto</w:t>
              <w:tab/>
              <w:t>39</w:t>
            </w:r>
          </w:hyperlink>
        </w:p>
        <w:p>
          <w:pPr>
            <w:pStyle w:val="TOC1"/>
            <w:tabs>
              <w:tab w:val="clear" w:pos="8504"/>
              <w:tab w:val="right" w:pos="8503" w:leader="dot"/>
            </w:tabs>
            <w:rPr/>
          </w:pPr>
          <w:hyperlink w:anchor="__RefHeading___Toc9218_350176733">
            <w:r>
              <w:rPr>
                <w:webHidden/>
                <w:rStyle w:val="IndexLink"/>
              </w:rPr>
              <w:t>Capítulo 5. DISCUSIÓN</w:t>
              <w:tab/>
              <w:t>55</w:t>
            </w:r>
          </w:hyperlink>
        </w:p>
        <w:p>
          <w:pPr>
            <w:pStyle w:val="TOC2"/>
            <w:tabs>
              <w:tab w:val="clear" w:pos="8504"/>
              <w:tab w:val="right" w:pos="8503" w:leader="dot"/>
            </w:tabs>
            <w:rPr/>
          </w:pPr>
          <w:hyperlink w:anchor="__RefHeading___Toc9220_350176733">
            <w:r>
              <w:rPr>
                <w:webHidden/>
                <w:rStyle w:val="IndexLink"/>
              </w:rPr>
              <w:t>5.1 Respuesta a las indicaciones del director</w:t>
              <w:tab/>
              <w:t>55</w:t>
            </w:r>
          </w:hyperlink>
        </w:p>
        <w:p>
          <w:pPr>
            <w:pStyle w:val="TOC2"/>
            <w:tabs>
              <w:tab w:val="clear" w:pos="8504"/>
              <w:tab w:val="right" w:pos="8503" w:leader="dot"/>
            </w:tabs>
            <w:rPr/>
          </w:pPr>
          <w:hyperlink w:anchor="__RefHeading___Toc9222_350176733">
            <w:r>
              <w:rPr>
                <w:webHidden/>
                <w:rStyle w:val="IndexLink"/>
              </w:rPr>
              <w:t>5.2 Cambios respecto al planteamiento inicial</w:t>
              <w:tab/>
              <w:t>55</w:t>
            </w:r>
          </w:hyperlink>
        </w:p>
        <w:p>
          <w:pPr>
            <w:pStyle w:val="TOC2"/>
            <w:tabs>
              <w:tab w:val="clear" w:pos="8504"/>
              <w:tab w:val="right" w:pos="8503" w:leader="dot"/>
            </w:tabs>
            <w:rPr/>
          </w:pPr>
          <w:hyperlink w:anchor="__RefHeading___Toc9224_350176733">
            <w:r>
              <w:rPr>
                <w:webHidden/>
                <w:rStyle w:val="IndexLink"/>
              </w:rPr>
              <w:t>5.3 Decisiones metodológicas</w:t>
              <w:tab/>
              <w:t>56</w:t>
            </w:r>
          </w:hyperlink>
        </w:p>
        <w:p>
          <w:pPr>
            <w:pStyle w:val="TOC2"/>
            <w:tabs>
              <w:tab w:val="clear" w:pos="8504"/>
              <w:tab w:val="right" w:pos="8503" w:leader="dot"/>
            </w:tabs>
            <w:rPr/>
          </w:pPr>
          <w:hyperlink w:anchor="__RefHeading___Toc9226_350176733">
            <w:r>
              <w:rPr>
                <w:webHidden/>
                <w:rStyle w:val="IndexLink"/>
              </w:rPr>
              <w:t>5.4 Interpretación de los resultados con datos reales</w:t>
              <w:tab/>
              <w:t>56</w:t>
            </w:r>
          </w:hyperlink>
        </w:p>
        <w:p>
          <w:pPr>
            <w:pStyle w:val="TOC2"/>
            <w:tabs>
              <w:tab w:val="clear" w:pos="8504"/>
              <w:tab w:val="right" w:pos="8503" w:leader="dot"/>
            </w:tabs>
            <w:rPr/>
          </w:pPr>
          <w:hyperlink w:anchor="__RefHeading___Toc9228_350176733">
            <w:r>
              <w:rPr>
                <w:webHidden/>
                <w:rStyle w:val="IndexLink"/>
              </w:rPr>
              <w:t>5.5 Comparación con trabajos relacionados</w:t>
              <w:tab/>
              <w:t>57</w:t>
            </w:r>
          </w:hyperlink>
        </w:p>
        <w:p>
          <w:pPr>
            <w:pStyle w:val="TOC2"/>
            <w:tabs>
              <w:tab w:val="clear" w:pos="8504"/>
              <w:tab w:val="right" w:pos="8503" w:leader="dot"/>
            </w:tabs>
            <w:rPr/>
          </w:pPr>
          <w:hyperlink w:anchor="__RefHeading___Toc9230_350176733">
            <w:r>
              <w:rPr>
                <w:webHidden/>
                <w:rStyle w:val="IndexLink"/>
              </w:rPr>
              <w:t>5.6 Amenazas a la validez</w:t>
              <w:tab/>
              <w:t>57</w:t>
            </w:r>
          </w:hyperlink>
        </w:p>
        <w:p>
          <w:pPr>
            <w:pStyle w:val="TOC2"/>
            <w:tabs>
              <w:tab w:val="clear" w:pos="8504"/>
              <w:tab w:val="right" w:pos="8503" w:leader="dot"/>
            </w:tabs>
            <w:rPr/>
          </w:pPr>
          <w:hyperlink w:anchor="__RefHeading___Toc9232_350176733">
            <w:r>
              <w:rPr>
                <w:webHidden/>
                <w:rStyle w:val="IndexLink"/>
              </w:rPr>
              <w:t>5.7 Limitaciones</w:t>
              <w:tab/>
              <w:t>58</w:t>
            </w:r>
          </w:hyperlink>
        </w:p>
        <w:p>
          <w:pPr>
            <w:pStyle w:val="TOC1"/>
            <w:tabs>
              <w:tab w:val="clear" w:pos="8504"/>
              <w:tab w:val="right" w:pos="8503" w:leader="dot"/>
            </w:tabs>
            <w:rPr/>
          </w:pPr>
          <w:hyperlink w:anchor="__RefHeading___Toc9234_350176733">
            <w:r>
              <w:rPr>
                <w:webHidden/>
                <w:rStyle w:val="IndexLink"/>
              </w:rPr>
              <w:t>Capítulo 6. CONCLUSIONES</w:t>
              <w:tab/>
              <w:t>59</w:t>
            </w:r>
          </w:hyperlink>
        </w:p>
        <w:p>
          <w:pPr>
            <w:pStyle w:val="TOC2"/>
            <w:tabs>
              <w:tab w:val="clear" w:pos="8504"/>
              <w:tab w:val="right" w:pos="8503" w:leader="dot"/>
            </w:tabs>
            <w:rPr/>
          </w:pPr>
          <w:hyperlink w:anchor="__RefHeading___Toc9236_350176733">
            <w:r>
              <w:rPr>
                <w:webHidden/>
                <w:rStyle w:val="IndexLink"/>
              </w:rPr>
              <w:t>6.1 Conclusiones del trabajo</w:t>
              <w:tab/>
              <w:t>59</w:t>
            </w:r>
          </w:hyperlink>
        </w:p>
        <w:p>
          <w:pPr>
            <w:pStyle w:val="TOC2"/>
            <w:tabs>
              <w:tab w:val="clear" w:pos="8504"/>
              <w:tab w:val="right" w:pos="8503" w:leader="dot"/>
            </w:tabs>
            <w:rPr/>
          </w:pPr>
          <w:hyperlink w:anchor="__RefHeading___Toc9238_350176733">
            <w:r>
              <w:rPr>
                <w:webHidden/>
                <w:rStyle w:val="IndexLink"/>
              </w:rPr>
              <w:t>6.2 Conclusiones personales</w:t>
              <w:tab/>
              <w:t>60</w:t>
            </w:r>
          </w:hyperlink>
        </w:p>
        <w:p>
          <w:pPr>
            <w:pStyle w:val="TOC1"/>
            <w:tabs>
              <w:tab w:val="clear" w:pos="8504"/>
              <w:tab w:val="right" w:pos="8503" w:leader="dot"/>
            </w:tabs>
            <w:rPr/>
          </w:pPr>
          <w:hyperlink w:anchor="__RefHeading___Toc9240_350176733">
            <w:r>
              <w:rPr>
                <w:webHidden/>
                <w:rStyle w:val="IndexLink"/>
              </w:rPr>
              <w:t>Capítulo 7. FUTURAS LÍNEAS DE TRABAJO</w:t>
              <w:tab/>
              <w:t>61</w:t>
            </w:r>
          </w:hyperlink>
        </w:p>
        <w:p>
          <w:pPr>
            <w:pStyle w:val="TOC2"/>
            <w:tabs>
              <w:tab w:val="clear" w:pos="8504"/>
              <w:tab w:val="right" w:pos="8503" w:leader="dot"/>
            </w:tabs>
            <w:rPr/>
          </w:pPr>
          <w:hyperlink w:anchor="__RefHeading___Toc9242_350176733">
            <w:r>
              <w:rPr>
                <w:webHidden/>
                <w:rStyle w:val="IndexLink"/>
              </w:rPr>
              <w:t>7.1 Datos y validación experimental</w:t>
              <w:tab/>
              <w:t>61</w:t>
            </w:r>
          </w:hyperlink>
        </w:p>
        <w:p>
          <w:pPr>
            <w:pStyle w:val="TOC2"/>
            <w:tabs>
              <w:tab w:val="clear" w:pos="8504"/>
              <w:tab w:val="right" w:pos="8503" w:leader="dot"/>
            </w:tabs>
            <w:rPr/>
          </w:pPr>
          <w:hyperlink w:anchor="__RefHeading___Toc9244_350176733">
            <w:r>
              <w:rPr>
                <w:webHidden/>
                <w:rStyle w:val="IndexLink"/>
              </w:rPr>
              <w:t>7.2 Modelos de visión</w:t>
              <w:tab/>
              <w:t>61</w:t>
            </w:r>
          </w:hyperlink>
        </w:p>
        <w:p>
          <w:pPr>
            <w:pStyle w:val="TOC2"/>
            <w:tabs>
              <w:tab w:val="clear" w:pos="8504"/>
              <w:tab w:val="right" w:pos="8503" w:leader="dot"/>
            </w:tabs>
            <w:rPr/>
          </w:pPr>
          <w:hyperlink w:anchor="__RefHeading___Toc9246_350176733">
            <w:r>
              <w:rPr>
                <w:webHidden/>
                <w:rStyle w:val="IndexLink"/>
              </w:rPr>
              <w:t>7.3 Extensión del sistema</w:t>
              <w:tab/>
              <w:t>61</w:t>
            </w:r>
          </w:hyperlink>
        </w:p>
        <w:p>
          <w:pPr>
            <w:pStyle w:val="TOC2"/>
            <w:tabs>
              <w:tab w:val="clear" w:pos="8504"/>
              <w:tab w:val="right" w:pos="8503" w:leader="dot"/>
            </w:tabs>
            <w:rPr/>
          </w:pPr>
          <w:hyperlink w:anchor="__RefHeading___Toc9248_350176733">
            <w:r>
              <w:rPr>
                <w:webHidden/>
                <w:rStyle w:val="IndexLink"/>
              </w:rPr>
              <w:t>7.4 Aplicación práctica</w:t>
              <w:tab/>
              <w:t>62</w:t>
            </w:r>
          </w:hyperlink>
        </w:p>
        <w:p>
          <w:pPr>
            <w:pStyle w:val="TOC1"/>
            <w:tabs>
              <w:tab w:val="clear" w:pos="8504"/>
              <w:tab w:val="right" w:pos="8503" w:leader="dot"/>
            </w:tabs>
            <w:rPr/>
          </w:pPr>
          <w:hyperlink w:anchor="__RefHeading___Toc9250_350176733">
            <w:r>
              <w:rPr>
                <w:webHidden/>
                <w:rStyle w:val="IndexLink"/>
              </w:rPr>
              <w:t>Capítulo 8. REFERENCIAS</w:t>
              <w:tab/>
              <w:t>63</w:t>
            </w:r>
          </w:hyperlink>
        </w:p>
        <w:p>
          <w:pPr>
            <w:pStyle w:val="TOC1"/>
            <w:tabs>
              <w:tab w:val="clear" w:pos="8504"/>
              <w:tab w:val="right" w:pos="8503" w:leader="dot"/>
            </w:tabs>
            <w:rPr/>
          </w:pPr>
          <w:hyperlink w:anchor="__RefHeading___Toc9252_350176733">
            <w:r>
              <w:rPr>
                <w:webHidden/>
                <w:rStyle w:val="IndexLink"/>
              </w:rPr>
              <w:t>Capítulo 9. ANEXOS</w:t>
              <w:tab/>
              <w:t>66</w:t>
            </w:r>
          </w:hyperlink>
        </w:p>
        <w:p>
          <w:pPr>
            <w:pStyle w:val="TOC2"/>
            <w:tabs>
              <w:tab w:val="clear" w:pos="8504"/>
              <w:tab w:val="right" w:pos="8503" w:leader="dot"/>
            </w:tabs>
            <w:rPr/>
          </w:pPr>
          <w:hyperlink w:anchor="__RefHeading___Toc9254_350176733">
            <w:r>
              <w:rPr>
                <w:webHidden/>
                <w:rStyle w:val="IndexLink"/>
              </w:rPr>
              <w:t>9.1 Anexo A. Guía de ejecución</w:t>
              <w:tab/>
              <w:t>66</w:t>
            </w:r>
          </w:hyperlink>
        </w:p>
        <w:p>
          <w:pPr>
            <w:pStyle w:val="TOC2"/>
            <w:tabs>
              <w:tab w:val="clear" w:pos="8504"/>
              <w:tab w:val="right" w:pos="8503" w:leader="dot"/>
            </w:tabs>
            <w:rPr/>
          </w:pPr>
          <w:hyperlink w:anchor="__RefHeading___Toc9256_350176733">
            <w:r>
              <w:rPr>
                <w:webHidden/>
                <w:rStyle w:val="IndexLink"/>
              </w:rPr>
              <w:t>9.2 Anexo B. Estructura del código</w:t>
              <w:tab/>
              <w:t>67</w:t>
            </w:r>
          </w:hyperlink>
        </w:p>
        <w:p>
          <w:pPr>
            <w:pStyle w:val="TOC2"/>
            <w:tabs>
              <w:tab w:val="clear" w:pos="8504"/>
              <w:tab w:val="right" w:pos="8503" w:leader="dot"/>
            </w:tabs>
            <w:rPr/>
          </w:pPr>
          <w:hyperlink w:anchor="__RefHeading___Toc9258_350176733">
            <w:r>
              <w:rPr>
                <w:webHidden/>
                <w:rStyle w:val="IndexLink"/>
              </w:rPr>
              <w:t>9.3 Anexo C. Pruebas automáticas</w:t>
              <w:tab/>
              <w:t>67</w:t>
            </w:r>
          </w:hyperlink>
        </w:p>
        <w:p>
          <w:pPr>
            <w:pStyle w:val="TOC2"/>
            <w:tabs>
              <w:tab w:val="clear" w:pos="8504"/>
              <w:tab w:val="right" w:pos="8503" w:leader="dot"/>
            </w:tabs>
            <w:rPr/>
          </w:pPr>
          <w:hyperlink w:anchor="__RefHeading___Toc9260_350176733">
            <w:r>
              <w:rPr>
                <w:webHidden/>
                <w:rStyle w:val="IndexLink"/>
              </w:rPr>
              <w:t>9.4 Anexo D. Resultados por secuencia del conjunto real</w:t>
              <w:tab/>
              <w:t>68</w:t>
            </w:r>
          </w:hyperlink>
        </w:p>
        <w:p>
          <w:pPr>
            <w:pStyle w:val="TOC2"/>
            <w:tabs>
              <w:tab w:val="clear" w:pos="8504"/>
              <w:tab w:val="right" w:pos="8503" w:leader="dot"/>
            </w:tabs>
            <w:rPr/>
          </w:pPr>
          <w:hyperlink w:anchor="__RefHeading___Toc9262_350176733">
            <w:r>
              <w:rPr>
                <w:webHidden/>
                <w:rStyle w:val="IndexLink"/>
              </w:rPr>
              <w:t>9.5 Anexo E. Parámetros del sistema</w:t>
              <w:tab/>
              <w:t>69</w:t>
            </w:r>
          </w:hyperlink>
        </w:p>
        <w:p>
          <w:pPr>
            <w:pStyle w:val="TOC2"/>
            <w:tabs>
              <w:tab w:val="clear" w:pos="8504"/>
              <w:tab w:val="right" w:pos="8503" w:leader="dot"/>
            </w:tabs>
            <w:rPr/>
          </w:pPr>
          <w:hyperlink w:anchor="__RefHeading___Toc9264_350176733">
            <w:r>
              <w:rPr>
                <w:webHidden/>
                <w:rStyle w:val="IndexLink"/>
              </w:rPr>
              <w:t>9.6 Anexo F. Diccionario de variables por ciclo</w:t>
              <w:tab/>
              <w:t>70</w:t>
            </w:r>
          </w:hyperlink>
          <w:r>
            <w:rPr>
              <w:rStyle w:val="IndexLink"/>
            </w:rPr>
            <w:fldChar w:fldCharType="end"/>
          </w:r>
        </w:p>
      </w:sdtContent>
    </w:sdt>
    <w:p>
      <w:pPr>
        <w:pStyle w:val="Normal"/>
        <w:spacing w:lineRule="auto" w:line="240" w:before="0" w:after="0"/>
        <w:jc w:val="left"/>
        <w:rPr>
          <w:rFonts w:ascii="Calibri" w:hAnsi="Calibri" w:cs="Calibri" w:asciiTheme="minorHAnsi" w:cstheme="minorHAnsi" w:hAnsiTheme="minorHAnsi"/>
          <w:color w:val="FF0000"/>
          <w:szCs w:val="96"/>
        </w:rPr>
      </w:pPr>
      <w:r>
        <w:rPr>
          <w:rFonts w:cs="Calibri" w:cstheme="minorHAnsi"/>
          <w:color w:val="FF0000"/>
          <w:szCs w:val="96"/>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Figuras</w:t>
      </w:r>
    </w:p>
    <w:p>
      <w:pPr>
        <w:pStyle w:val="TableofFigures"/>
        <w:tabs>
          <w:tab w:val="clear" w:pos="8504"/>
          <w:tab w:val="right" w:pos="8503" w:leader="dot"/>
        </w:tabs>
        <w:rPr/>
      </w:pPr>
      <w:r>
        <w:fldChar w:fldCharType="begin"/>
      </w:r>
      <w:r>
        <w:rPr/>
        <w:instrText xml:space="preserve"> TOC \c "Figura" \h </w:instrText>
      </w:r>
      <w:r>
        <w:rPr/>
        <w:fldChar w:fldCharType="separate"/>
      </w:r>
      <w:hyperlink w:anchor="Figura!0|sequence">
        <w:r>
          <w:rPr/>
          <w:t>Figura 1. Planificación temporal del proyecto (diagrama de Gantt).</w:t>
          <w:tab/>
          <w:t>25</w:t>
        </w:r>
      </w:hyperlink>
    </w:p>
    <w:p>
      <w:pPr>
        <w:pStyle w:val="TableofFigures"/>
        <w:tabs>
          <w:tab w:val="clear" w:pos="8504"/>
          <w:tab w:val="right" w:pos="8503" w:leader="dot"/>
        </w:tabs>
        <w:rPr/>
      </w:pPr>
      <w:hyperlink w:anchor="Figura!1|sequence">
        <w:r>
          <w:rPr/>
          <w:t xml:space="preserve">Figura 2. Arquitectura de </w:t>
        </w:r>
        <w:r>
          <w:rPr>
            <w:i/>
          </w:rPr>
          <w:t>StrokeLab</w:t>
        </w:r>
        <w:r>
          <w:rPr/>
          <w:t>: vertical de visión y vertical tabular.</w:t>
          <w:tab/>
          <w:t>26</w:t>
        </w:r>
      </w:hyperlink>
    </w:p>
    <w:p>
      <w:pPr>
        <w:pStyle w:val="TableofFigures"/>
        <w:tabs>
          <w:tab w:val="clear" w:pos="8504"/>
          <w:tab w:val="right" w:pos="8503" w:leader="dot"/>
        </w:tabs>
        <w:rPr/>
      </w:pPr>
      <w:hyperlink w:anchor="Figura!2|sequence">
        <w:r>
          <w:rPr/>
          <w:t>Figura 3. Señal de profundidad de la mano y brazadas detectadas (participante P1, secuencia GX011614).</w:t>
          <w:tab/>
          <w:t>30</w:t>
        </w:r>
      </w:hyperlink>
    </w:p>
    <w:p>
      <w:pPr>
        <w:pStyle w:val="TableofFigures"/>
        <w:tabs>
          <w:tab w:val="clear" w:pos="8504"/>
          <w:tab w:val="right" w:pos="8503" w:leader="dot"/>
        </w:tabs>
        <w:rPr/>
      </w:pPr>
      <w:hyperlink w:anchor="Figura!3|sequence">
        <w:r>
          <w:rPr/>
          <w:t>Figura 4. Panel del vídeo anotado sobre datos sintéticos (t = 70 s; inicio de la fatiga en t = 51,9 s).</w:t>
          <w:tab/>
          <w:t>34</w:t>
        </w:r>
      </w:hyperlink>
    </w:p>
    <w:p>
      <w:pPr>
        <w:pStyle w:val="TableofFigures"/>
        <w:tabs>
          <w:tab w:val="clear" w:pos="8504"/>
          <w:tab w:val="right" w:pos="8503" w:leader="dot"/>
        </w:tabs>
        <w:rPr/>
      </w:pPr>
      <w:hyperlink w:anchor="Figura!4|sequence">
        <w:r>
          <w:rPr/>
          <w:t>Figura 5. Datos sintéticos: puntuación de anomalía por ciclo, umbral e inicio de la fatiga.</w:t>
          <w:tab/>
          <w:t>41</w:t>
        </w:r>
      </w:hyperlink>
    </w:p>
    <w:p>
      <w:pPr>
        <w:pStyle w:val="TableofFigures"/>
        <w:tabs>
          <w:tab w:val="clear" w:pos="8504"/>
          <w:tab w:val="right" w:pos="8503" w:leader="dot"/>
        </w:tabs>
        <w:rPr/>
      </w:pPr>
      <w:hyperlink w:anchor="Figura!5|sequence">
        <w:r>
          <w:rPr/>
          <w:t>Figura 6. Datos sintéticos: atribución SHAP global de la puntuación de fatiga.</w:t>
          <w:tab/>
          <w:t>41</w:t>
        </w:r>
      </w:hyperlink>
    </w:p>
    <w:p>
      <w:pPr>
        <w:pStyle w:val="TableofFigures"/>
        <w:tabs>
          <w:tab w:val="clear" w:pos="8504"/>
          <w:tab w:val="right" w:pos="8503" w:leader="dot"/>
        </w:tabs>
        <w:rPr/>
      </w:pPr>
      <w:hyperlink w:anchor="Figura!6|sequence">
        <w:r>
          <w:rPr/>
          <w:t>Figura 7. Datos sintéticos: atribución SHAP local en el ciclo de inicio de la fatiga.</w:t>
          <w:tab/>
          <w:t>42</w:t>
        </w:r>
      </w:hyperlink>
    </w:p>
    <w:p>
      <w:pPr>
        <w:pStyle w:val="TableofFigures"/>
        <w:tabs>
          <w:tab w:val="clear" w:pos="8504"/>
          <w:tab w:val="right" w:pos="8503" w:leader="dot"/>
        </w:tabs>
        <w:rPr/>
      </w:pPr>
      <w:hyperlink w:anchor="Figura!7|sequence">
        <w:r>
          <w:rPr/>
          <w:t>Figura 8. Datos sintéticos (vista lateral): velocidad, frecuencia y distancia por ciclo estimadas frente a la referencia.</w:t>
          <w:tab/>
          <w:t>43</w:t>
        </w:r>
      </w:hyperlink>
    </w:p>
    <w:p>
      <w:pPr>
        <w:pStyle w:val="TableofFigures"/>
        <w:tabs>
          <w:tab w:val="clear" w:pos="8504"/>
          <w:tab w:val="right" w:pos="8503" w:leader="dot"/>
        </w:tabs>
        <w:rPr/>
      </w:pPr>
      <w:hyperlink w:anchor="Figura!8|sequence">
        <w:r>
          <w:rPr/>
          <w:t>Figura 9. Clasificación del estilo en datos sintéticos: matriz de confusión por vídeo y atribución SHAP por estilo.</w:t>
          <w:tab/>
          <w:t>44</w:t>
        </w:r>
      </w:hyperlink>
    </w:p>
    <w:p>
      <w:pPr>
        <w:pStyle w:val="TableofFigures"/>
        <w:tabs>
          <w:tab w:val="clear" w:pos="8504"/>
          <w:tab w:val="right" w:pos="8503" w:leader="dot"/>
        </w:tabs>
        <w:rPr/>
      </w:pPr>
      <w:hyperlink w:anchor="Figura!9|sequence">
        <w:r>
          <w:rPr/>
          <w:t>Figura 10. Conjunto real: duración grabada, tiempo analizable y ciclos válidos por secuencia.</w:t>
          <w:tab/>
          <w:t>45</w:t>
        </w:r>
      </w:hyperlink>
    </w:p>
    <w:p>
      <w:pPr>
        <w:pStyle w:val="TableofFigures"/>
        <w:tabs>
          <w:tab w:val="clear" w:pos="8504"/>
          <w:tab w:val="right" w:pos="8503" w:leader="dot"/>
        </w:tabs>
        <w:rPr/>
      </w:pPr>
      <w:hyperlink w:anchor="Figura!10|sequence">
        <w:r>
          <w:rPr/>
          <w:t>Figura 11. Distribución por ciclo de la frecuencia de ciclo, la flexión del codo y la inclinación del tronco por participante y estilo (ciclos laterales).</w:t>
          <w:tab/>
          <w:t>47</w:t>
        </w:r>
      </w:hyperlink>
    </w:p>
    <w:p>
      <w:pPr>
        <w:pStyle w:val="TableofFigures"/>
        <w:tabs>
          <w:tab w:val="clear" w:pos="8504"/>
          <w:tab w:val="right" w:pos="8503" w:leader="dot"/>
        </w:tabs>
        <w:rPr/>
      </w:pPr>
      <w:hyperlink w:anchor="Figura!11|sequence">
        <w:r>
          <w:rPr/>
          <w:t>Figura 12. Secuencia GX010731 (P5): puntuación de anomalía por ciclo, umbral de la fase base y frecuencia y flexión del codo por ciclo.</w:t>
          <w:tab/>
          <w:t>48</w:t>
        </w:r>
      </w:hyperlink>
    </w:p>
    <w:p>
      <w:pPr>
        <w:pStyle w:val="TableofFigures"/>
        <w:tabs>
          <w:tab w:val="clear" w:pos="8504"/>
          <w:tab w:val="right" w:pos="8503" w:leader="dot"/>
        </w:tabs>
        <w:rPr/>
      </w:pPr>
      <w:hyperlink w:anchor="Figura!12|sequence">
        <w:r>
          <w:rPr/>
          <w:t>Figura 13. Secuencia GX010731 (P5): atribución SHAP de la puntuación de anomalía.</w:t>
          <w:tab/>
          <w:t>49</w:t>
        </w:r>
      </w:hyperlink>
    </w:p>
    <w:p>
      <w:pPr>
        <w:pStyle w:val="TableofFigures"/>
        <w:tabs>
          <w:tab w:val="clear" w:pos="8504"/>
          <w:tab w:val="right" w:pos="8503" w:leader="dot"/>
        </w:tabs>
        <w:rPr/>
      </w:pPr>
      <w:hyperlink w:anchor="Figura!13|sequence">
        <w:r>
          <w:rPr/>
          <w:t>Figura 14. Secuencia GX010731 (P5): atribución SHAP en el ciclo de inicio de la fatiga.</w:t>
          <w:tab/>
          <w:t>49</w:t>
        </w:r>
      </w:hyperlink>
    </w:p>
    <w:p>
      <w:pPr>
        <w:pStyle w:val="TableofFigures"/>
        <w:tabs>
          <w:tab w:val="clear" w:pos="8504"/>
          <w:tab w:val="right" w:pos="8503" w:leader="dot"/>
        </w:tabs>
        <w:rPr/>
      </w:pPr>
      <w:hyperlink w:anchor="Figura!14|sequence">
        <w:r>
          <w:rPr/>
          <w:t>Figura 15. Sesión P5 · crol · gopro: puntuación de anomalía por ciclo y umbral de la fase base.</w:t>
          <w:tab/>
          <w:t>51</w:t>
        </w:r>
      </w:hyperlink>
    </w:p>
    <w:p>
      <w:pPr>
        <w:pStyle w:val="TableofFigures"/>
        <w:tabs>
          <w:tab w:val="clear" w:pos="8504"/>
          <w:tab w:val="right" w:pos="8503" w:leader="dot"/>
        </w:tabs>
        <w:rPr/>
      </w:pPr>
      <w:hyperlink w:anchor="Figura!15|sequence">
        <w:r>
          <w:rPr/>
          <w:t>Figura 16. Datos sintéticos: inicio de la fatiga detectado (media ± desviación típica) según los parámetros del detector.</w:t>
          <w:tab/>
          <w:t>52</w:t>
        </w:r>
      </w:hyperlink>
      <w:r>
        <w:rPr/>
        <w:fldChar w:fldCharType="end"/>
      </w:r>
    </w:p>
    <w:p>
      <w:pPr>
        <w:pStyle w:val="Normal"/>
        <w:rPr/>
      </w:pPr>
      <w:r>
        <w:rPr/>
      </w:r>
    </w:p>
    <w:p>
      <w:pPr>
        <w:pStyle w:val="Normal"/>
        <w:rPr/>
      </w:pPr>
      <w:r>
        <w:rPr/>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Tablas</w:t>
      </w:r>
    </w:p>
    <w:p>
      <w:pPr>
        <w:pStyle w:val="TableofFigures"/>
        <w:tabs>
          <w:tab w:val="clear" w:pos="8504"/>
          <w:tab w:val="right" w:pos="8503" w:leader="dot"/>
        </w:tabs>
        <w:rPr/>
      </w:pPr>
      <w:r>
        <w:fldChar w:fldCharType="begin"/>
      </w:r>
      <w:r>
        <w:rPr/>
        <w:instrText xml:space="preserve"> TOC \c "Tabla" \h </w:instrText>
      </w:r>
      <w:r>
        <w:rPr/>
        <w:fldChar w:fldCharType="separate"/>
      </w:r>
      <w:hyperlink w:anchor="Tabla!0|sequence">
        <w:r>
          <w:rPr/>
          <w:t>Tabla 1. Modelos de estimación de pose considerados. AP: precisión media en COCO según las publicaciones originales.</w:t>
          <w:tab/>
          <w:t>17</w:t>
        </w:r>
      </w:hyperlink>
    </w:p>
    <w:p>
      <w:pPr>
        <w:pStyle w:val="TableofFigures"/>
        <w:tabs>
          <w:tab w:val="clear" w:pos="8504"/>
          <w:tab w:val="right" w:pos="8503" w:leader="dot"/>
        </w:tabs>
        <w:rPr/>
      </w:pPr>
      <w:hyperlink w:anchor="Tabla!1|sequence">
        <w:r>
          <w:rPr/>
          <w:t>Tabla 2. Comparativa en la CPU del ordenador personal (4 hilos) sobre la secuencia GX011614 (5120 × 2880 píxeles). La detección ronda el 36 % porque el nadador solo está en el encuadre durante parte del vídeo.</w:t>
          <w:tab/>
          <w:t>28</w:t>
        </w:r>
      </w:hyperlink>
    </w:p>
    <w:p>
      <w:pPr>
        <w:pStyle w:val="TableofFigures"/>
        <w:tabs>
          <w:tab w:val="clear" w:pos="8504"/>
          <w:tab w:val="right" w:pos="8503" w:leader="dot"/>
        </w:tabs>
        <w:rPr/>
      </w:pPr>
      <w:hyperlink w:anchor="Tabla!2|sequence">
        <w:r>
          <w:rPr/>
          <w:t>Tabla 3. Definición del ciclo de brazada según el estilo de nado.</w:t>
          <w:tab/>
          <w:t>31</w:t>
        </w:r>
      </w:hyperlink>
    </w:p>
    <w:p>
      <w:pPr>
        <w:pStyle w:val="TableofFigures"/>
        <w:tabs>
          <w:tab w:val="clear" w:pos="8504"/>
          <w:tab w:val="right" w:pos="8503" w:leader="dot"/>
        </w:tabs>
        <w:rPr/>
      </w:pPr>
      <w:hyperlink w:anchor="Tabla!3|sequence">
        <w:r>
          <w:rPr/>
          <w:t>Tabla 4. Variables calculadas por ciclo de brazada.</w:t>
          <w:tab/>
          <w:t>32</w:t>
        </w:r>
      </w:hyperlink>
    </w:p>
    <w:p>
      <w:pPr>
        <w:pStyle w:val="TableofFigures"/>
        <w:tabs>
          <w:tab w:val="clear" w:pos="8504"/>
          <w:tab w:val="right" w:pos="8503" w:leader="dot"/>
        </w:tabs>
        <w:rPr/>
      </w:pPr>
      <w:hyperlink w:anchor="Tabla!4|sequence">
        <w:r>
          <w:rPr/>
          <w:t>Tabla 5. Composición del conjunto de datos real.</w:t>
          <w:tab/>
          <w:t>36</w:t>
        </w:r>
      </w:hyperlink>
    </w:p>
    <w:p>
      <w:pPr>
        <w:pStyle w:val="TableofFigures"/>
        <w:tabs>
          <w:tab w:val="clear" w:pos="8504"/>
          <w:tab w:val="right" w:pos="8503" w:leader="dot"/>
        </w:tabs>
        <w:rPr/>
      </w:pPr>
      <w:hyperlink w:anchor="Tabla!5|sequence">
        <w:r>
          <w:rPr/>
          <w:t>Tabla 6. Archivos generados por el análisis de un vídeo.</w:t>
          <w:tab/>
          <w:t>38</w:t>
        </w:r>
      </w:hyperlink>
    </w:p>
    <w:p>
      <w:pPr>
        <w:pStyle w:val="TableofFigures"/>
        <w:tabs>
          <w:tab w:val="clear" w:pos="8504"/>
          <w:tab w:val="right" w:pos="8503" w:leader="dot"/>
        </w:tabs>
        <w:rPr/>
      </w:pPr>
      <w:hyperlink w:anchor="Tabla!6|sequence">
        <w:r>
          <w:rPr/>
          <w:t>Tabla 7. Datos sintéticos: estimaciones del sistema frente a la referencia programada.</w:t>
          <w:tab/>
          <w:t>43</w:t>
        </w:r>
      </w:hyperlink>
    </w:p>
    <w:p>
      <w:pPr>
        <w:pStyle w:val="TableofFigures"/>
        <w:tabs>
          <w:tab w:val="clear" w:pos="8504"/>
          <w:tab w:val="right" w:pos="8503" w:leader="dot"/>
        </w:tabs>
        <w:rPr/>
      </w:pPr>
      <w:hyperlink w:anchor="Tabla!7|sequence">
        <w:r>
          <w:rPr/>
          <w:t>Tabla 8. Conjunto real: tiempo analizable y ciclos válidos por participante y estilo.</w:t>
          <w:tab/>
          <w:t>46</w:t>
        </w:r>
      </w:hyperlink>
    </w:p>
    <w:p>
      <w:pPr>
        <w:pStyle w:val="TableofFigures"/>
        <w:tabs>
          <w:tab w:val="clear" w:pos="8504"/>
          <w:tab w:val="right" w:pos="8503" w:leader="dot"/>
        </w:tabs>
        <w:rPr/>
      </w:pPr>
      <w:hyperlink w:anchor="Tabla!8|sequence">
        <w:r>
          <w:rPr/>
          <w:t>Tabla 9. Frecuencia de ciclo estimada (media de la secuencia) frente al conteo manual.</w:t>
          <w:tab/>
          <w:t>47</w:t>
        </w:r>
      </w:hyperlink>
    </w:p>
    <w:p>
      <w:pPr>
        <w:pStyle w:val="TableofFigures"/>
        <w:tabs>
          <w:tab w:val="clear" w:pos="8504"/>
          <w:tab w:val="right" w:pos="8503" w:leader="dot"/>
        </w:tabs>
        <w:rPr/>
      </w:pPr>
      <w:hyperlink w:anchor="Tabla!9|sequence">
        <w:r>
          <w:rPr/>
          <w:t>Tabla 10. Variables por ciclo (media ± desviación típica) de los ciclos laterales por participante y estilo. Los ángulos son la media de los lados izquierdo y derecho.</w:t>
          <w:tab/>
          <w:t>47</w:t>
        </w:r>
      </w:hyperlink>
    </w:p>
    <w:p>
      <w:pPr>
        <w:pStyle w:val="TableofFigures"/>
        <w:tabs>
          <w:tab w:val="clear" w:pos="8504"/>
          <w:tab w:val="right" w:pos="8503" w:leader="dot"/>
        </w:tabs>
        <w:rPr/>
      </w:pPr>
      <w:hyperlink w:anchor="Tabla!10|sequence">
        <w:r>
          <w:rPr/>
          <w:t>Tabla 11. Resultado del análisis de fatiga en las sesiones con más de una secuencia.</w:t>
          <w:tab/>
          <w:t>51</w:t>
        </w:r>
      </w:hyperlink>
    </w:p>
    <w:p>
      <w:pPr>
        <w:pStyle w:val="TableofFigures"/>
        <w:tabs>
          <w:tab w:val="clear" w:pos="8504"/>
          <w:tab w:val="right" w:pos="8503" w:leader="dot"/>
        </w:tabs>
        <w:rPr/>
      </w:pPr>
      <w:hyperlink w:anchor="Tabla!11|sequence">
        <w:r>
          <w:rPr/>
          <w:t>Tabla 12. Datos sintéticos: tasa de detección / tasa de falsas alarmas / inicio medio según la fase base, el percentil del umbral y los ciclos consecutivos k (10 secuencias con fatiga y 10 sin fatiga por configuración). En negrita, la configuración empleada.</w:t>
          <w:tab/>
          <w:t>53</w:t>
        </w:r>
      </w:hyperlink>
    </w:p>
    <w:p>
      <w:pPr>
        <w:pStyle w:val="TableofFigures"/>
        <w:tabs>
          <w:tab w:val="clear" w:pos="8504"/>
          <w:tab w:val="right" w:pos="8503" w:leader="dot"/>
        </w:tabs>
        <w:rPr/>
      </w:pPr>
      <w:hyperlink w:anchor="Tabla!12|sequence">
        <w:r>
          <w:rPr/>
          <w:t>Tabla 13. Datos sintéticos: error relativo mediano de la frecuencia de ciclo (y número medio de ciclos válidos) según el ruido de posición y la proporción de puntos perdidos.</w:t>
          <w:tab/>
          <w:t>54</w:t>
        </w:r>
      </w:hyperlink>
    </w:p>
    <w:p>
      <w:pPr>
        <w:pStyle w:val="TableofFigures"/>
        <w:tabs>
          <w:tab w:val="clear" w:pos="8504"/>
          <w:tab w:val="right" w:pos="8503" w:leader="dot"/>
        </w:tabs>
        <w:rPr/>
      </w:pPr>
      <w:hyperlink w:anchor="Tabla!13|sequence">
        <w:r>
          <w:rPr/>
          <w:t>Tabla 14. Ángulos 2D frente a 3D en la vista lateral de la secuencia GX011614 (85 fotogramas).</w:t>
          <w:tab/>
          <w:t>55</w:t>
        </w:r>
      </w:hyperlink>
    </w:p>
    <w:p>
      <w:pPr>
        <w:pStyle w:val="TableofFigures"/>
        <w:tabs>
          <w:tab w:val="clear" w:pos="8504"/>
          <w:tab w:val="right" w:pos="8503" w:leader="dot"/>
        </w:tabs>
        <w:rPr/>
      </w:pPr>
      <w:hyperlink w:anchor="Tabla!14|sequence">
        <w:r>
          <w:rPr/>
          <w:t>Tabla 15. Indicaciones del director y su implementación.</w:t>
          <w:tab/>
          <w:t>56</w:t>
        </w:r>
      </w:hyperlink>
    </w:p>
    <w:p>
      <w:pPr>
        <w:pStyle w:val="TableofFigures"/>
        <w:tabs>
          <w:tab w:val="clear" w:pos="8504"/>
          <w:tab w:val="right" w:pos="8503" w:leader="dot"/>
        </w:tabs>
        <w:rPr/>
      </w:pPr>
      <w:hyperlink w:anchor="Tabla!15|sequence">
        <w:r>
          <w:rPr/>
          <w:t>Tabla 16. Grado de cumplimiento de los objetivos específicos.</w:t>
          <w:tab/>
          <w:t>60</w:t>
        </w:r>
      </w:hyperlink>
    </w:p>
    <w:p>
      <w:pPr>
        <w:pStyle w:val="TableofFigures"/>
        <w:tabs>
          <w:tab w:val="clear" w:pos="8504"/>
          <w:tab w:val="right" w:pos="8503" w:leader="dot"/>
        </w:tabs>
        <w:rPr/>
      </w:pPr>
      <w:hyperlink w:anchor="Tabla!16|sequence">
        <w:r>
          <w:rPr/>
          <w:t xml:space="preserve">Tabla 17. Módulos del código de </w:t>
        </w:r>
        <w:r>
          <w:rPr>
            <w:i/>
          </w:rPr>
          <w:t>StrokeLab</w:t>
        </w:r>
        <w:r>
          <w:rPr/>
          <w:t>.</w:t>
          <w:tab/>
          <w:t>68</w:t>
        </w:r>
      </w:hyperlink>
    </w:p>
    <w:p>
      <w:pPr>
        <w:pStyle w:val="TableofFigures"/>
        <w:tabs>
          <w:tab w:val="clear" w:pos="8504"/>
          <w:tab w:val="right" w:pos="8503" w:leader="dot"/>
        </w:tabs>
        <w:rPr/>
      </w:pPr>
      <w:hyperlink w:anchor="Tabla!17|sequence">
        <w:r>
          <w:rPr/>
          <w:t>Tabla 18. Resultados del análisis por secuencia del conjunto real. El tiempo analizable es el que supera los filtros anatómicos y de tronco girado; el estilo estimado procede de las reglas biomecánicas (entre paréntesis, solo la familia).</w:t>
          <w:tab/>
          <w:t>69</w:t>
        </w:r>
      </w:hyperlink>
    </w:p>
    <w:p>
      <w:pPr>
        <w:pStyle w:val="TableofFigures"/>
        <w:tabs>
          <w:tab w:val="clear" w:pos="8504"/>
          <w:tab w:val="right" w:pos="8503" w:leader="dot"/>
        </w:tabs>
        <w:rPr/>
      </w:pPr>
      <w:hyperlink w:anchor="Tabla!18|sequence">
        <w:r>
          <w:rPr/>
          <w:t>Tabla 19. Parámetros principales del sistema y su justificación.</w:t>
          <w:tab/>
          <w:t>70</w:t>
        </w:r>
      </w:hyperlink>
    </w:p>
    <w:p>
      <w:pPr>
        <w:pStyle w:val="TableofFigures"/>
        <w:tabs>
          <w:tab w:val="clear" w:pos="8504"/>
          <w:tab w:val="right" w:pos="8503" w:leader="dot"/>
        </w:tabs>
        <w:rPr/>
      </w:pPr>
      <w:hyperlink w:anchor="Tabla!19|sequence">
        <w:r>
          <w:rPr/>
          <w:t>Tabla 20. Variables por ciclo del archivo variables_por_ciclo.csv.</w:t>
          <w:tab/>
          <w:t>71</w:t>
        </w:r>
      </w:hyperlink>
      <w:r>
        <w:rPr/>
        <w:fldChar w:fldCharType="end"/>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color w:val="000000"/>
          <w:sz w:val="40"/>
          <w:szCs w:val="40"/>
        </w:rPr>
        <w:t>Índice de Ecuaciones</w:t>
      </w:r>
    </w:p>
    <w:p>
      <w:pPr>
        <w:pStyle w:val="TableofFigures"/>
        <w:tabs>
          <w:tab w:val="clear" w:pos="8504"/>
          <w:tab w:val="right" w:pos="8503" w:leader="dot"/>
        </w:tabs>
        <w:rPr/>
      </w:pPr>
      <w:r>
        <w:fldChar w:fldCharType="begin"/>
      </w:r>
      <w:r>
        <w:rPr/>
        <w:instrText xml:space="preserve"> TOC \c "Ecuación" \h </w:instrText>
      </w:r>
      <w:r>
        <w:rPr/>
        <w:fldChar w:fldCharType="separate"/>
      </w:r>
      <w:hyperlink w:anchor="Ecuaci%25C3%25B3n!0|sequence">
        <w:r>
          <w:rPr/>
          <w:t>Ecuación 1. Velocidad media de nado a partir de la frecuencia y la distancia por ciclo</w:t>
          <w:tab/>
          <w:t>15</w:t>
        </w:r>
      </w:hyperlink>
    </w:p>
    <w:p>
      <w:pPr>
        <w:pStyle w:val="TableofFigures"/>
        <w:tabs>
          <w:tab w:val="clear" w:pos="8504"/>
          <w:tab w:val="right" w:pos="8503" w:leader="dot"/>
        </w:tabs>
        <w:rPr/>
      </w:pPr>
      <w:hyperlink w:anchor="Ecuaci%25C3%25B3n!1|sequence">
        <w:r>
          <w:rPr/>
          <w:t>Ecuación 2. Índice de brazada (stroke index)</w:t>
          <w:tab/>
          <w:t>15</w:t>
        </w:r>
      </w:hyperlink>
    </w:p>
    <w:p>
      <w:pPr>
        <w:pStyle w:val="TableofFigures"/>
        <w:tabs>
          <w:tab w:val="clear" w:pos="8504"/>
          <w:tab w:val="right" w:pos="8503" w:leader="dot"/>
        </w:tabs>
        <w:rPr/>
      </w:pPr>
      <w:hyperlink w:anchor="Ecuaci%25C3%25B3n!2|sequence">
        <w:r>
          <w:rPr/>
          <w:t>Ecuación 3. Similitud de puntos clave (OKS)</w:t>
          <w:tab/>
          <w:t>18</w:t>
        </w:r>
      </w:hyperlink>
    </w:p>
    <w:p>
      <w:pPr>
        <w:pStyle w:val="TableofFigures"/>
        <w:tabs>
          <w:tab w:val="clear" w:pos="8504"/>
          <w:tab w:val="right" w:pos="8503" w:leader="dot"/>
        </w:tabs>
        <w:rPr/>
      </w:pPr>
      <w:hyperlink w:anchor="Ecuaci%25C3%25B3n!3|sequence">
        <w:r>
          <w:rPr/>
          <w:t>Ecuación 4. Porcentaje de puntos correctos (PCK)</w:t>
          <w:tab/>
          <w:t>18</w:t>
        </w:r>
      </w:hyperlink>
    </w:p>
    <w:p>
      <w:pPr>
        <w:pStyle w:val="TableofFigures"/>
        <w:tabs>
          <w:tab w:val="clear" w:pos="8504"/>
          <w:tab w:val="right" w:pos="8503" w:leader="dot"/>
        </w:tabs>
        <w:rPr/>
      </w:pPr>
      <w:hyperlink w:anchor="Ecuaci%25C3%25B3n!4|sequence">
        <w:r>
          <w:rPr/>
          <w:t>Ecuación 5. Precisión media (AP) y su promedio sobre umbrales de OKS (mAP)</w:t>
          <w:tab/>
          <w:t>19</w:t>
        </w:r>
      </w:hyperlink>
    </w:p>
    <w:p>
      <w:pPr>
        <w:pStyle w:val="TableofFigures"/>
        <w:tabs>
          <w:tab w:val="clear" w:pos="8504"/>
          <w:tab w:val="right" w:pos="8503" w:leader="dot"/>
        </w:tabs>
        <w:rPr/>
      </w:pPr>
      <w:hyperlink w:anchor="Ecuaci%25C3%25B3n!5|sequence">
        <w:r>
          <w:rPr/>
          <w:t>Ecuación 6. Puntuación de anomalía de Isolation Forest</w:t>
          <w:tab/>
          <w:t>20</w:t>
        </w:r>
      </w:hyperlink>
    </w:p>
    <w:p>
      <w:pPr>
        <w:pStyle w:val="TableofFigures"/>
        <w:tabs>
          <w:tab w:val="clear" w:pos="8504"/>
          <w:tab w:val="right" w:pos="8503" w:leader="dot"/>
        </w:tabs>
        <w:rPr/>
      </w:pPr>
      <w:hyperlink w:anchor="Ecuaci%25C3%25B3n!6|sequence">
        <w:r>
          <w:rPr/>
          <w:t>Ecuación 7. Factor de normalización de Isolation Forest</w:t>
          <w:tab/>
          <w:t>20</w:t>
        </w:r>
      </w:hyperlink>
    </w:p>
    <w:p>
      <w:pPr>
        <w:pStyle w:val="TableofFigures"/>
        <w:tabs>
          <w:tab w:val="clear" w:pos="8504"/>
          <w:tab w:val="right" w:pos="8503" w:leader="dot"/>
        </w:tabs>
        <w:rPr/>
      </w:pPr>
      <w:hyperlink w:anchor="Ecuaci%25C3%25B3n!7|sequence">
        <w:r>
          <w:rPr/>
          <w:t>Ecuación 8. Función objetivo de PELT con coste cuadrático</w:t>
          <w:tab/>
          <w:t>21</w:t>
        </w:r>
      </w:hyperlink>
    </w:p>
    <w:p>
      <w:pPr>
        <w:pStyle w:val="TableofFigures"/>
        <w:tabs>
          <w:tab w:val="clear" w:pos="8504"/>
          <w:tab w:val="right" w:pos="8503" w:leader="dot"/>
        </w:tabs>
        <w:rPr/>
      </w:pPr>
      <w:hyperlink w:anchor="Ecuaci%25C3%25B3n!8|sequence">
        <w:r>
          <w:rPr/>
          <w:t>Ecuación 9. Índice de impureza de Gini de un nodo</w:t>
          <w:tab/>
          <w:t>21</w:t>
        </w:r>
      </w:hyperlink>
    </w:p>
    <w:p>
      <w:pPr>
        <w:pStyle w:val="TableofFigures"/>
        <w:tabs>
          <w:tab w:val="clear" w:pos="8504"/>
          <w:tab w:val="right" w:pos="8503" w:leader="dot"/>
        </w:tabs>
        <w:rPr/>
      </w:pPr>
      <w:hyperlink w:anchor="Ecuaci%25C3%25B3n!9|sequence">
        <w:r>
          <w:rPr/>
          <w:t>Ecuación 10. Valor de Shapley de la variable j</w:t>
          <w:tab/>
          <w:t>22</w:t>
        </w:r>
      </w:hyperlink>
    </w:p>
    <w:p>
      <w:pPr>
        <w:pStyle w:val="TableofFigures"/>
        <w:tabs>
          <w:tab w:val="clear" w:pos="8504"/>
          <w:tab w:val="right" w:pos="8503" w:leader="dot"/>
        </w:tabs>
        <w:rPr/>
      </w:pPr>
      <w:hyperlink w:anchor="Ecuaci%25C3%25B3n!10|sequence">
        <w:r>
          <w:rPr/>
          <w:t>Ecuación 11. Descomposición aditiva de SHAP</w:t>
          <w:tab/>
          <w:t>22</w:t>
        </w:r>
      </w:hyperlink>
    </w:p>
    <w:p>
      <w:pPr>
        <w:pStyle w:val="TableofFigures"/>
        <w:tabs>
          <w:tab w:val="clear" w:pos="8504"/>
          <w:tab w:val="right" w:pos="8503" w:leader="dot"/>
        </w:tabs>
        <w:rPr/>
      </w:pPr>
      <w:hyperlink w:anchor="Ecuaci%25C3%25B3n!11|sequence">
        <w:r>
          <w:rPr/>
          <w:t>Ecuación 12. Fuerza de arrastre hidrodinámico</w:t>
          <w:tab/>
          <w:t>23</w:t>
        </w:r>
      </w:hyperlink>
    </w:p>
    <w:p>
      <w:pPr>
        <w:pStyle w:val="TableofFigures"/>
        <w:tabs>
          <w:tab w:val="clear" w:pos="8504"/>
          <w:tab w:val="right" w:pos="8503" w:leader="dot"/>
        </w:tabs>
        <w:rPr/>
      </w:pPr>
      <w:hyperlink w:anchor="Ecuaci%25C3%25B3n!12|sequence">
        <w:r>
          <w:rPr/>
          <w:t>Ecuación 13. Potencia necesaria para vencer el arrastre</w:t>
          <w:tab/>
          <w:t>23</w:t>
        </w:r>
      </w:hyperlink>
    </w:p>
    <w:p>
      <w:pPr>
        <w:pStyle w:val="TableofFigures"/>
        <w:tabs>
          <w:tab w:val="clear" w:pos="8504"/>
          <w:tab w:val="right" w:pos="8503" w:leader="dot"/>
        </w:tabs>
        <w:rPr/>
      </w:pPr>
      <w:hyperlink w:anchor="Ecuaci%25C3%25B3n!13|sequence">
        <w:r>
          <w:rPr/>
          <w:t>Ecuación 14. Ángulo articular en el punto b</w:t>
          <w:tab/>
          <w:t>30</w:t>
        </w:r>
      </w:hyperlink>
    </w:p>
    <w:p>
      <w:pPr>
        <w:pStyle w:val="TableofFigures"/>
        <w:tabs>
          <w:tab w:val="clear" w:pos="8504"/>
          <w:tab w:val="right" w:pos="8503" w:leader="dot"/>
        </w:tabs>
        <w:rPr/>
      </w:pPr>
      <w:hyperlink w:anchor="Ecuaci%25C3%25B3n!14|sequence">
        <w:r>
          <w:rPr/>
          <w:t>Ecuación 15. Señal de profundidad de la mano en vista lateral</w:t>
          <w:tab/>
          <w:t>30</w:t>
        </w:r>
      </w:hyperlink>
    </w:p>
    <w:p>
      <w:pPr>
        <w:pStyle w:val="TableofFigures"/>
        <w:tabs>
          <w:tab w:val="clear" w:pos="8504"/>
          <w:tab w:val="right" w:pos="8503" w:leader="dot"/>
        </w:tabs>
        <w:rPr/>
      </w:pPr>
      <w:hyperlink w:anchor="Ecuaci%25C3%25B3n!15|sequence">
        <w:r>
          <w:rPr/>
          <w:t>Ecuación 16. Señal de recorrido de la muñeca en vista frontal</w:t>
          <w:tab/>
          <w:t>31</w:t>
        </w:r>
      </w:hyperlink>
    </w:p>
    <w:p>
      <w:pPr>
        <w:pStyle w:val="TableofFigures"/>
        <w:tabs>
          <w:tab w:val="clear" w:pos="8504"/>
          <w:tab w:val="right" w:pos="8503" w:leader="dot"/>
        </w:tabs>
        <w:rPr/>
      </w:pPr>
      <w:hyperlink w:anchor="Ecuaci%25C3%25B3n!16|sequence">
        <w:r>
          <w:rPr/>
          <w:t>Ecuación 17. Estandarización respecto a la fase base</w:t>
          <w:tab/>
          <w:t>33</w:t>
        </w:r>
      </w:hyperlink>
    </w:p>
    <w:p>
      <w:pPr>
        <w:pStyle w:val="TableofFigures"/>
        <w:tabs>
          <w:tab w:val="clear" w:pos="8504"/>
          <w:tab w:val="right" w:pos="8503" w:leader="dot"/>
        </w:tabs>
        <w:rPr/>
      </w:pPr>
      <w:hyperlink w:anchor="Ecuaci%25C3%25B3n!17|sequence">
        <w:r>
          <w:rPr/>
          <w:t>Ecuación 18. Error relativo de una magnitud estimada</w:t>
          <w:tab/>
          <w:t>41</w:t>
        </w:r>
      </w:hyperlink>
    </w:p>
    <w:p>
      <w:pPr>
        <w:pStyle w:val="TableofFigures"/>
        <w:tabs>
          <w:tab w:val="clear" w:pos="8504"/>
          <w:tab w:val="right" w:pos="8503" w:leader="dot"/>
        </w:tabs>
        <w:rPr/>
      </w:pPr>
      <w:hyperlink w:anchor="Ecuaci%25C3%25B3n!18|sequence">
        <w:r>
          <w:rPr/>
          <w:t>Ecuación 19. Coeficiente de variación</w:t>
          <w:tab/>
          <w:t>41</w:t>
        </w:r>
      </w:hyperlink>
      <w:r>
        <w:rPr/>
        <w:fldChar w:fldCharType="end"/>
      </w:r>
    </w:p>
    <w:p>
      <w:pPr>
        <w:pStyle w:val="Normal"/>
        <w:rPr/>
      </w:pPr>
      <w:r>
        <w:rPr/>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4"/>
        </w:numPr>
        <w:spacing w:before="0" w:after="240"/>
        <w:rPr/>
      </w:pPr>
      <w:bookmarkStart w:id="53" w:name="__RefHeading___Toc9176_350176733"/>
      <w:bookmarkStart w:id="54" w:name="_Toc37845869"/>
      <w:bookmarkStart w:id="55" w:name="_Toc37758884"/>
      <w:bookmarkEnd w:id="53"/>
      <w:r>
        <w:rPr/>
        <w:t>RESUMEN DEL PROYECTO</w:t>
      </w:r>
      <w:bookmarkEnd w:id="54"/>
      <w:bookmarkEnd w:id="55"/>
    </w:p>
    <w:p>
      <w:pPr>
        <w:pStyle w:val="Heading2"/>
        <w:numPr>
          <w:ilvl w:val="1"/>
          <w:numId w:val="5"/>
        </w:numPr>
        <w:rPr/>
      </w:pPr>
      <w:bookmarkStart w:id="56" w:name="__RefHeading___Toc9178_350176733"/>
      <w:bookmarkStart w:id="57" w:name="_Toc37845870"/>
      <w:bookmarkStart w:id="58" w:name="_Toc37758885"/>
      <w:bookmarkEnd w:id="56"/>
      <w:r>
        <w:rPr/>
        <w:t>Contexto y justificación</w:t>
      </w:r>
      <w:bookmarkEnd w:id="57"/>
      <w:bookmarkEnd w:id="58"/>
    </w:p>
    <w:p>
      <w:pPr>
        <w:pStyle w:val="Normal"/>
        <w:jc w:val="both"/>
        <w:rPr/>
      </w:pPr>
      <w:r>
        <w:rPr/>
        <w:t>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hyperlink w:anchor="ref_craig1979">
        <w:r>
          <w:rPr>
            <w:rStyle w:val="ListLabel316"/>
            <w:color w:val="1F4E79"/>
          </w:rPr>
          <w:t>1</w:t>
        </w:r>
      </w:hyperlink>
      <w:r>
        <w:rPr/>
        <w:t xml:space="preserve">, </w:t>
      </w:r>
      <w:hyperlink w:anchor="ref_alberty2005">
        <w:r>
          <w:rPr>
            <w:rStyle w:val="ListLabel316"/>
            <w:color w:val="1F4E79"/>
          </w:rPr>
          <w:t>2</w:t>
        </w:r>
      </w:hyperlink>
      <w:r>
        <w:rPr/>
        <w:t>]. En el entrenamiento habitual, estos cambios se valoran mediante observación visual, un procedimiento subjetivo que no permite determinar con precisión el instante en que comienzan ni la variable técnica que se altera en primer lugar.</w:t>
      </w:r>
    </w:p>
    <w:p>
      <w:pPr>
        <w:pStyle w:val="Normal"/>
        <w:jc w:val="both"/>
        <w:rPr/>
      </w:pPr>
      <w:r>
        <w:rPr/>
        <w:t>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pStyle w:val="Normal"/>
        <w:jc w:val="both"/>
        <w:rPr/>
      </w:pPr>
      <w:r>
        <w:rPr/>
        <w:t>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pPr>
        <w:pStyle w:val="Heading2"/>
        <w:numPr>
          <w:ilvl w:val="1"/>
          <w:numId w:val="6"/>
        </w:numPr>
        <w:rPr/>
      </w:pPr>
      <w:bookmarkStart w:id="59" w:name="__RefHeading___Toc9180_350176733"/>
      <w:bookmarkStart w:id="60" w:name="_Toc37845871"/>
      <w:bookmarkStart w:id="61" w:name="_Toc37758886"/>
      <w:bookmarkEnd w:id="59"/>
      <w:r>
        <w:rPr/>
        <w:t>Planteamiento del problema</w:t>
      </w:r>
      <w:bookmarkEnd w:id="60"/>
      <w:bookmarkEnd w:id="61"/>
    </w:p>
    <w:p>
      <w:pPr>
        <w:pStyle w:val="Normal"/>
        <w:jc w:val="both"/>
        <w:rPr/>
      </w:pPr>
      <w:r>
        <w:rPr/>
        <w:t xml:space="preserve">No se dispone de una herramienta accesible que, a partir de un único vídeo y sin instrumentación adicional, cuantifique la </w:t>
      </w:r>
      <w:r>
        <w:rPr>
          <w:b/>
        </w:rPr>
        <w:t>eficiencia de la técnica de nado</w:t>
      </w:r>
      <w:r>
        <w:rPr/>
        <w:t xml:space="preserve">, realice la </w:t>
      </w:r>
      <w:r>
        <w:rPr>
          <w:b/>
        </w:rPr>
        <w:t>detección del inicio de la fatiga técnica</w:t>
      </w:r>
      <w:r>
        <w:rPr/>
        <w:t xml:space="preserve"> y proporcione la </w:t>
      </w:r>
      <w:r>
        <w:rPr>
          <w:b/>
        </w:rPr>
        <w:t>atribución de esa fatiga a variables biomecánicas interpretables</w:t>
      </w:r>
      <w:r>
        <w:rPr/>
        <w:t xml:space="preserve"> por el entrenador. Los sistemas comerciales requieren sensores inerciales, varias cámaras o marcadores, y entregan métricas sin explicar su relación con el estado del nadador.</w:t>
      </w:r>
    </w:p>
    <w:p>
      <w:pPr>
        <w:pStyle w:val="Normal"/>
        <w:jc w:val="both"/>
        <w:rPr/>
      </w:pPr>
      <w:r>
        <w:rPr/>
        <w:t>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pPr>
        <w:pStyle w:val="Heading2"/>
        <w:numPr>
          <w:ilvl w:val="1"/>
          <w:numId w:val="7"/>
        </w:numPr>
        <w:rPr/>
      </w:pPr>
      <w:bookmarkStart w:id="62" w:name="__RefHeading___Toc9182_350176733"/>
      <w:bookmarkStart w:id="63" w:name="_Toc37845872"/>
      <w:bookmarkStart w:id="64" w:name="_Toc37758887"/>
      <w:bookmarkEnd w:id="62"/>
      <w:r>
        <w:rPr/>
        <w:t>Objetivos del proyecto</w:t>
      </w:r>
      <w:bookmarkEnd w:id="63"/>
      <w:bookmarkEnd w:id="64"/>
    </w:p>
    <w:p>
      <w:pPr>
        <w:pStyle w:val="Normal"/>
        <w:jc w:val="both"/>
        <w:rPr/>
      </w:pPr>
      <w:r>
        <w:rPr/>
        <w:t>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pPr>
        <w:pStyle w:val="Heading2"/>
        <w:numPr>
          <w:ilvl w:val="1"/>
          <w:numId w:val="8"/>
        </w:numPr>
        <w:rPr/>
      </w:pPr>
      <w:bookmarkStart w:id="65" w:name="__RefHeading___Toc9184_350176733"/>
      <w:bookmarkStart w:id="66" w:name="_Toc37845873"/>
      <w:bookmarkStart w:id="67" w:name="_Toc37758888"/>
      <w:bookmarkStart w:id="68" w:name="_Ref36545721"/>
      <w:bookmarkEnd w:id="65"/>
      <w:r>
        <w:rPr/>
        <w:t>Resultados obtenidos</w:t>
      </w:r>
      <w:bookmarkEnd w:id="66"/>
      <w:bookmarkEnd w:id="67"/>
      <w:bookmarkEnd w:id="68"/>
    </w:p>
    <w:p>
      <w:pPr>
        <w:pStyle w:val="ListParagraph"/>
        <w:numPr>
          <w:ilvl w:val="0"/>
          <w:numId w:val="3"/>
        </w:numPr>
        <w:spacing w:before="0" w:after="0"/>
        <w:contextualSpacing/>
        <w:jc w:val="both"/>
        <w:rPr/>
      </w:pPr>
      <w:r>
        <w:rPr/>
        <w:t>Sistema completo de análisis para un vídeo o para un conjunto de vídeos, ejecutable en la CPU de un ordenador personal y acelerado con GPU cuando se dispone de ella, con pruebas automáticas.</w:t>
      </w:r>
    </w:p>
    <w:p>
      <w:pPr>
        <w:pStyle w:val="ListParagraph"/>
        <w:numPr>
          <w:ilvl w:val="0"/>
          <w:numId w:val="3"/>
        </w:numPr>
        <w:spacing w:before="0" w:after="0"/>
        <w:contextualSpacing/>
        <w:jc w:val="both"/>
        <w:rPr/>
      </w:pPr>
      <w:r>
        <w:rPr/>
        <w:t>Comparativa de modelos de estimación de pose sobre vídeo subacuático real y selección justificada del modelo.</w:t>
      </w:r>
    </w:p>
    <w:p>
      <w:pPr>
        <w:pStyle w:val="ListParagraph"/>
        <w:numPr>
          <w:ilvl w:val="0"/>
          <w:numId w:val="3"/>
        </w:numPr>
        <w:spacing w:before="0" w:after="0"/>
        <w:contextualSpacing/>
        <w:jc w:val="both"/>
        <w:rPr/>
      </w:pPr>
      <w:r>
        <w:rPr/>
        <w:t>Segmentación del nado en ciclos de brazada en vista lateral y frontal, con un error relativo de la frecuencia de ciclo del 6,5 % al 8,2 % frente al conteo manual en tres secuencias reales.</w:t>
      </w:r>
    </w:p>
    <w:p>
      <w:pPr>
        <w:pStyle w:val="ListParagraph"/>
        <w:numPr>
          <w:ilvl w:val="0"/>
          <w:numId w:val="3"/>
        </w:numPr>
        <w:spacing w:before="0" w:after="0"/>
        <w:contextualSpacing/>
        <w:jc w:val="both"/>
        <w:rPr/>
      </w:pPr>
      <w:r>
        <w:rPr/>
        <w:t>Determinación automática de la vista de la cámara por tramos y estimación de la familia del estilo mediante reglas biomecánicas.</w:t>
      </w:r>
    </w:p>
    <w:p>
      <w:pPr>
        <w:pStyle w:val="ListParagraph"/>
        <w:numPr>
          <w:ilvl w:val="0"/>
          <w:numId w:val="3"/>
        </w:numPr>
        <w:spacing w:before="0" w:after="0"/>
        <w:contextualSpacing/>
        <w:jc w:val="both"/>
        <w:rPr/>
      </w:pPr>
      <w:r>
        <w:rPr/>
        <w:t>Detección del inicio de la fatiga y atribución por variable validadas con datos sintéticos de referencia conocida: errores medianos del 4,7 % (frecuencia de ciclo), 1,3 % (velocidad) y 4,3 % (distancia por ciclo).</w:t>
      </w:r>
    </w:p>
    <w:p>
      <w:pPr>
        <w:pStyle w:val="ListParagraph"/>
        <w:numPr>
          <w:ilvl w:val="0"/>
          <w:numId w:val="3"/>
        </w:numPr>
        <w:spacing w:before="0" w:after="0"/>
        <w:contextualSpacing/>
        <w:jc w:val="both"/>
        <w:rPr/>
      </w:pPr>
      <w:r>
        <w:rPr/>
        <w:t>Modo de análisis en tiempo real que muestra el estado de fatiga y sus causas ciclo a ciclo.</w:t>
      </w:r>
    </w:p>
    <w:p>
      <w:pPr>
        <w:pStyle w:val="ListParagraph"/>
        <w:numPr>
          <w:ilvl w:val="0"/>
          <w:numId w:val="3"/>
        </w:numPr>
        <w:spacing w:before="0" w:after="0"/>
        <w:contextualSpacing/>
        <w:jc w:val="both"/>
        <w:rPr/>
      </w:pPr>
      <w:r>
        <w:rPr/>
        <w:t>Aplicación a un conjunto real de 25 secuencias de 5 participantes (44,9 min grabados, 165 ciclos válidos), con perfiles de frecuencia y técnica por participante y el análisis de fatiga de una secuencia continua de 34 min.</w:t>
      </w:r>
    </w:p>
    <w:p>
      <w:pPr>
        <w:pStyle w:val="ListParagraph"/>
        <w:numPr>
          <w:ilvl w:val="0"/>
          <w:numId w:val="3"/>
        </w:numPr>
        <w:spacing w:before="0" w:after="0"/>
        <w:contextualSpacing/>
        <w:jc w:val="both"/>
        <w:rPr/>
      </w:pPr>
      <w:r>
        <w:rPr/>
        <w:t>Análisis de sensibilidad del detector de fatiga y de robustez del conteo de ciclos frente al ruido, con datos sintéticos.</w:t>
      </w:r>
    </w:p>
    <w:p>
      <w:pPr>
        <w:pStyle w:val="ListParagraph"/>
        <w:numPr>
          <w:ilvl w:val="0"/>
          <w:numId w:val="3"/>
        </w:numPr>
        <w:spacing w:before="0" w:after="0"/>
        <w:contextualSpacing/>
        <w:jc w:val="both"/>
        <w:rPr/>
      </w:pPr>
      <w:r>
        <w:rPr/>
        <w:t>Evaluación de la reconstrucción 3D frente a la 2D, con identificación de sus límites en la extremidad inferior.</w:t>
      </w:r>
    </w:p>
    <w:p>
      <w:pPr>
        <w:pStyle w:val="Heading2"/>
        <w:numPr>
          <w:ilvl w:val="1"/>
          <w:numId w:val="9"/>
        </w:numPr>
        <w:rPr/>
      </w:pPr>
      <w:bookmarkStart w:id="69" w:name="__RefHeading___Toc9186_350176733"/>
      <w:bookmarkStart w:id="70" w:name="_Toc37845874"/>
      <w:bookmarkStart w:id="71" w:name="_Toc37758889"/>
      <w:bookmarkEnd w:id="69"/>
      <w:r>
        <w:rPr/>
        <w:t>Estructura de la memoria</w:t>
      </w:r>
      <w:bookmarkEnd w:id="70"/>
      <w:bookmarkEnd w:id="71"/>
    </w:p>
    <w:p>
      <w:pPr>
        <w:pStyle w:val="Normal"/>
        <w:jc w:val="both"/>
        <w:rPr/>
      </w:pPr>
      <w:r>
        <w:rPr/>
        <w:t>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pPr>
        <w:pStyle w:val="NoSpacing"/>
        <w:jc w:val="both"/>
        <w:rPr>
          <w:rFonts w:ascii="Calibri" w:hAnsi="Calibri" w:cs="Calibri" w:asciiTheme="minorHAnsi" w:cstheme="minorHAnsi" w:hAnsiTheme="minorHAnsi"/>
          <w:color w:val="FF0000"/>
        </w:rPr>
      </w:pPr>
      <w:r>
        <w:rPr>
          <w:rFonts w:cs="Calibri" w:cstheme="minorHAnsi"/>
          <w:color w:val="FF0000"/>
        </w:rPr>
      </w:r>
    </w:p>
    <w:p>
      <w:pPr>
        <w:pStyle w:val="NoSpacing"/>
        <w:rPr>
          <w:rFonts w:ascii="Calibri" w:hAnsi="Calibri" w:cs="Calibri" w:asciiTheme="minorHAnsi" w:cstheme="minorHAnsi" w:hAnsiTheme="minorHAnsi"/>
        </w:rPr>
      </w:pPr>
      <w:r>
        <w:rPr>
          <w:rFonts w:cs="Calibri" w:cstheme="minorHAnsi"/>
        </w:rPr>
      </w:r>
    </w:p>
    <w:p>
      <w:pPr>
        <w:pStyle w:val="Normal"/>
        <w:spacing w:lineRule="auto" w:line="240" w:before="120" w:after="0"/>
        <w:rPr>
          <w:rFonts w:ascii="Calibri" w:hAnsi="Calibri" w:cs="Calibri" w:asciiTheme="minorHAnsi" w:cstheme="minorHAnsi" w:hAnsiTheme="minorHAnsi"/>
          <w:sz w:val="24"/>
          <w:szCs w:val="24"/>
          <w:lang w:eastAsia="es-ES"/>
        </w:rPr>
      </w:pPr>
      <w:r>
        <w:rPr>
          <w:rFonts w:cs="Calibri" w:cstheme="minorHAnsi"/>
          <w:sz w:val="24"/>
          <w:szCs w:val="24"/>
          <w:lang w:eastAsia="es-ES"/>
        </w:rPr>
      </w:r>
    </w:p>
    <w:p>
      <w:pPr>
        <w:pStyle w:val="Heading1"/>
        <w:numPr>
          <w:ilvl w:val="0"/>
          <w:numId w:val="10"/>
        </w:numPr>
        <w:rPr/>
      </w:pPr>
      <w:bookmarkStart w:id="72" w:name="__RefHeading___Toc9188_350176733"/>
      <w:bookmarkStart w:id="73" w:name="_Toc37845875"/>
      <w:bookmarkStart w:id="74" w:name="_Toc37758890"/>
      <w:bookmarkEnd w:id="72"/>
      <w:r>
        <w:rPr/>
        <w:t>ANTECEDENTES / ESTADO DEL ARTE</w:t>
      </w:r>
      <w:bookmarkEnd w:id="73"/>
      <w:bookmarkEnd w:id="74"/>
    </w:p>
    <w:p>
      <w:pPr>
        <w:pStyle w:val="Heading2"/>
        <w:numPr>
          <w:ilvl w:val="1"/>
          <w:numId w:val="11"/>
        </w:numPr>
        <w:rPr/>
      </w:pPr>
      <w:bookmarkStart w:id="75" w:name="__RefHeading___Toc9190_350176733"/>
      <w:bookmarkStart w:id="76" w:name="_Toc37845876"/>
      <w:bookmarkStart w:id="77" w:name="_Toc37758891"/>
      <w:bookmarkEnd w:id="75"/>
      <w:r>
        <w:rPr/>
        <w:t>Estado del arte</w:t>
      </w:r>
      <w:bookmarkEnd w:id="76"/>
      <w:bookmarkEnd w:id="77"/>
    </w:p>
    <w:p>
      <w:pPr>
        <w:pStyle w:val="Normal"/>
        <w:jc w:val="both"/>
        <w:rPr/>
      </w:pPr>
      <w:r>
        <w:rPr/>
        <w:t xml:space="preserve">Este capítulo introduce los conceptos en los que se apoya </w:t>
      </w:r>
      <w:r>
        <w:rPr>
          <w:i/>
        </w:rPr>
        <w:t>StrokeLab</w:t>
      </w:r>
      <w:r>
        <w:rPr/>
        <w:t>. En cada apartado se presenta la teoría y el estado del arte; el Capítulo 4 describe cómo se ha adaptado cada técnica al análisis de la natación.</w:t>
      </w:r>
    </w:p>
    <w:p>
      <w:pPr>
        <w:pStyle w:val="Heading3"/>
        <w:keepNext w:val="true"/>
        <w:numPr>
          <w:ilvl w:val="2"/>
          <w:numId w:val="12"/>
        </w:numPr>
        <w:rPr/>
      </w:pPr>
      <w:r>
        <w:rPr/>
        <w:t>Biomecánica del crol y eficiencia de la técnica de nado</w:t>
      </w:r>
    </w:p>
    <w:p>
      <w:pPr>
        <w:pStyle w:val="Normal"/>
        <w:jc w:val="both"/>
        <w:rPr/>
      </w:pPr>
      <w:r>
        <w:rPr/>
        <w:t>El nado se describe mediante ciclos de brazada. En crol, un ciclo comprende dos brazadas, una de cada brazo. Las tres magnitudes básicas son la frecuencia de ciclo, SR (</w:t>
      </w:r>
      <w:r>
        <w:rPr>
          <w:i/>
        </w:rPr>
        <w:t>stroke rate</w:t>
      </w:r>
      <w:r>
        <w:rPr/>
        <w:t>, frecuencia de brazada), la distancia por ciclo, DPS (</w:t>
      </w:r>
      <w:r>
        <w:rPr>
          <w:i/>
        </w:rPr>
        <w:t>distance per stroke</w:t>
      </w:r>
      <w:r>
        <w:rPr/>
        <w:t>, distancia por ciclo) y la velocidad media de nado, que se relacionan según la Ecuación 1 [</w:t>
      </w:r>
      <w:hyperlink w:anchor="ref_craig1979">
        <w:r>
          <w:rPr>
            <w:rStyle w:val="ListLabel316"/>
            <w:color w:val="1F4E79"/>
          </w:rPr>
          <w:t>1</w:t>
        </w:r>
      </w:hyperlink>
      <w:r>
        <w:rPr/>
        <w:t>].</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f>
            <m:num>
              <m:r>
                <w:rPr>
                  <w:rFonts w:ascii="Cambria Math" w:hAnsi="Cambria Math"/>
                </w:rPr>
                <m:t xml:space="preserve">SR</m:t>
              </m:r>
              <m:r>
                <w:rPr>
                  <w:rFonts w:ascii="Cambria Math" w:hAnsi="Cambria Math"/>
                </w:rPr>
                <m:t xml:space="preserve">·</m:t>
              </m:r>
              <m:r>
                <w:rPr>
                  <w:rFonts w:ascii="Cambria Math" w:hAnsi="Cambria Math"/>
                </w:rPr>
                <m:t xml:space="preserve">DPS</m:t>
              </m:r>
            </m:num>
            <m:den>
              <m:r>
                <w:rPr>
                  <w:rFonts w:ascii="Cambria Math" w:hAnsi="Cambria Math"/>
                </w:rPr>
                <m:t xml:space="preserve">60</m:t>
              </m:r>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w:t>
      </w:r>
      <w:r>
        <w:rPr/>
        <w:fldChar w:fldCharType="end"/>
      </w:r>
      <w:r>
        <w:rPr/>
        <w:t>. Velocidad media de nado a partir de la frecuencia y la distancia por ciclo</w:t>
      </w:r>
    </w:p>
    <w:p>
      <w:pPr>
        <w:pStyle w:val="Normal"/>
        <w:keepNext w:val="true"/>
        <w:rPr/>
      </w:pPr>
      <w:r>
        <w:rPr/>
        <w:t>donde:</w:t>
      </w:r>
    </w:p>
    <w:p>
      <w:pPr>
        <w:pStyle w:val="ListParagraph"/>
        <w:keepNext w:val="true"/>
        <w:numPr>
          <w:ilvl w:val="0"/>
          <w:numId w:val="3"/>
        </w:numPr>
        <w:spacing w:before="0" w:after="0"/>
        <w:contextualSpacing/>
        <w:rPr/>
      </w:pPr>
      <w:r>
        <w:rPr>
          <w:i/>
        </w:rPr>
        <w:t>v</w:t>
      </w:r>
      <w:r>
        <w:rPr/>
        <w:t>: velocidad media de nado (m/s)</w:t>
      </w:r>
    </w:p>
    <w:p>
      <w:pPr>
        <w:pStyle w:val="ListParagraph"/>
        <w:keepNext w:val="true"/>
        <w:numPr>
          <w:ilvl w:val="0"/>
          <w:numId w:val="3"/>
        </w:numPr>
        <w:spacing w:before="0" w:after="0"/>
        <w:contextualSpacing/>
        <w:rPr/>
      </w:pPr>
      <w:r>
        <w:rPr/>
        <w:t>SR: frecuencia de ciclo (</w:t>
      </w:r>
      <w:r>
        <w:rPr>
          <w:i/>
        </w:rPr>
        <w:t>stroke rate</w:t>
      </w:r>
      <w:r>
        <w:rPr/>
        <w:t>), en ciclos por minuto (ciclos/min); el factor 60 la convierte a ciclos por segundo</w:t>
      </w:r>
    </w:p>
    <w:p>
      <w:pPr>
        <w:pStyle w:val="ListParagraph"/>
        <w:keepNext w:val="false"/>
        <w:numPr>
          <w:ilvl w:val="0"/>
          <w:numId w:val="3"/>
        </w:numPr>
        <w:spacing w:before="0" w:after="0"/>
        <w:contextualSpacing/>
        <w:rPr/>
      </w:pPr>
      <w:r>
        <w:rPr/>
        <w:t>DPS: distancia recorrida en un ciclo (</w:t>
      </w:r>
      <w:r>
        <w:rPr>
          <w:i/>
        </w:rPr>
        <w:t>distance per stroke</w:t>
      </w:r>
      <w:r>
        <w:rPr/>
        <w:t>), en metros (m)</w:t>
      </w:r>
    </w:p>
    <w:p>
      <w:pPr>
        <w:pStyle w:val="Normal"/>
        <w:jc w:val="both"/>
        <w:rPr/>
      </w:pPr>
      <w:r>
        <w:rPr/>
        <w:t>Para una misma velocidad, los nadadores más eficientes emplean una frecuencia menor y una distancia por ciclo mayor. Costill et al. [</w:t>
      </w:r>
      <w:hyperlink w:anchor="ref_costill1985">
        <w:r>
          <w:rPr>
            <w:rStyle w:val="ListLabel316"/>
            <w:color w:val="1F4E79"/>
          </w:rPr>
          <w:t>3</w:t>
        </w:r>
      </w:hyperlink>
      <w:r>
        <w:rPr/>
        <w:t>] propusieron el índice de brazada, SI (</w:t>
      </w:r>
      <w:r>
        <w:rPr>
          <w:i/>
        </w:rPr>
        <w:t>stroke index</w:t>
      </w:r>
      <w:r>
        <w:rPr/>
        <w:t>, índice de brazada), como indicador de la economía del nado (Ecuación 2).</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SI</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DPS</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2</w:t>
      </w:r>
      <w:r>
        <w:rPr/>
        <w:fldChar w:fldCharType="end"/>
      </w:r>
      <w:r>
        <w:rPr/>
        <w:t>. Índice de brazada (stroke index)</w:t>
      </w:r>
    </w:p>
    <w:p>
      <w:pPr>
        <w:pStyle w:val="Normal"/>
        <w:keepNext w:val="true"/>
        <w:rPr/>
      </w:pPr>
      <w:r>
        <w:rPr/>
        <w:t>donde:</w:t>
      </w:r>
    </w:p>
    <w:p>
      <w:pPr>
        <w:pStyle w:val="ListParagraph"/>
        <w:keepNext w:val="true"/>
        <w:numPr>
          <w:ilvl w:val="0"/>
          <w:numId w:val="3"/>
        </w:numPr>
        <w:spacing w:before="0" w:after="0"/>
        <w:contextualSpacing/>
        <w:rPr/>
      </w:pPr>
      <w:r>
        <w:rPr/>
        <w:t>SI: índice de brazada (m²/s); valores mayores indican una técnica más económica</w:t>
      </w:r>
    </w:p>
    <w:p>
      <w:pPr>
        <w:pStyle w:val="ListParagraph"/>
        <w:keepNext w:val="true"/>
        <w:numPr>
          <w:ilvl w:val="0"/>
          <w:numId w:val="3"/>
        </w:numPr>
        <w:spacing w:before="0" w:after="0"/>
        <w:contextualSpacing/>
        <w:rPr/>
      </w:pPr>
      <w:r>
        <w:rPr>
          <w:i/>
        </w:rPr>
        <w:t>v</w:t>
      </w:r>
      <w:r>
        <w:rPr/>
        <w:t>: velocidad media (m/s)</w:t>
      </w:r>
    </w:p>
    <w:p>
      <w:pPr>
        <w:pStyle w:val="ListParagraph"/>
        <w:keepNext w:val="false"/>
        <w:numPr>
          <w:ilvl w:val="0"/>
          <w:numId w:val="3"/>
        </w:numPr>
        <w:spacing w:before="0" w:after="0"/>
        <w:contextualSpacing/>
        <w:rPr/>
      </w:pPr>
      <w:r>
        <w:rPr/>
        <w:t>DPS: distancia por ciclo (m)</w:t>
      </w:r>
    </w:p>
    <w:p>
      <w:pPr>
        <w:pStyle w:val="Normal"/>
        <w:jc w:val="both"/>
        <w:rPr/>
      </w:pPr>
      <w:r>
        <w:rPr/>
        <w:t>Otros factores asociados a la eficiencia propulsiva son la flexión del codo durante el agarre (</w:t>
      </w:r>
      <w:r>
        <w:rPr>
          <w:i/>
        </w:rPr>
        <w:t>catch</w:t>
      </w:r>
      <w:r>
        <w:rPr/>
        <w:t>, fase en que la mano empieza a empujar el agua), la amplitud de la brazada, la simetría entre ambos brazos y la alineación horizontal del cuerpo, que reduce el área frontal y, con ella, la resistencia [</w:t>
      </w:r>
      <w:hyperlink w:anchor="ref_toussaint1992">
        <w:r>
          <w:rPr>
            <w:rStyle w:val="ListLabel316"/>
            <w:color w:val="1F4E79"/>
          </w:rPr>
          <w:t>4</w:t>
        </w:r>
      </w:hyperlink>
      <w:r>
        <w:rPr/>
        <w:t xml:space="preserve">, </w:t>
      </w:r>
      <w:hyperlink w:anchor="ref_chollet2000">
        <w:r>
          <w:rPr>
            <w:rStyle w:val="ListLabel316"/>
            <w:color w:val="1F4E79"/>
          </w:rPr>
          <w:t>5</w:t>
        </w:r>
      </w:hyperlink>
      <w:r>
        <w:rPr/>
        <w:t>].</w:t>
      </w:r>
    </w:p>
    <w:p>
      <w:pPr>
        <w:pStyle w:val="Heading3"/>
        <w:keepNext w:val="true"/>
        <w:numPr>
          <w:ilvl w:val="2"/>
          <w:numId w:val="13"/>
        </w:numPr>
        <w:rPr/>
      </w:pPr>
      <w:r>
        <w:rPr/>
        <w:t>La fatiga en natación</w:t>
      </w:r>
    </w:p>
    <w:p>
      <w:pPr>
        <w:pStyle w:val="Normal"/>
        <w:jc w:val="both"/>
        <w:rPr/>
      </w:pPr>
      <w:r>
        <w:rPr/>
        <w:t>La fatiga técnica se manifiesta como un cambio progresivo del patrón de nado: disminuye la distancia por ciclo, que a menudo se compensa con un aumento de la frecuencia, y se alteran la coordinación entre brazos y la variación de la velocidad dentro del ciclo [</w:t>
      </w:r>
      <w:hyperlink w:anchor="ref_alberty2005">
        <w:r>
          <w:rPr>
            <w:rStyle w:val="ListLabel316"/>
            <w:color w:val="1F4E79"/>
          </w:rPr>
          <w:t>2</w:t>
        </w:r>
      </w:hyperlink>
      <w:r>
        <w:rPr/>
        <w:t>]. Estos cambios son individuales: cada nadador se fatiga de manera distinta. Por ello, una referencia poblacional resulta menos informativa que la comparación del nadador con su propio estado de partida, enfoque que adopta este trabajo.</w:t>
      </w:r>
    </w:p>
    <w:p>
      <w:pPr>
        <w:pStyle w:val="Heading3"/>
        <w:keepNext w:val="true"/>
        <w:numPr>
          <w:ilvl w:val="2"/>
          <w:numId w:val="14"/>
        </w:numPr>
        <w:rPr/>
      </w:pPr>
      <w:r>
        <w:rPr/>
        <w:t>Visión por computador y aprendizaje profundo</w:t>
      </w:r>
    </w:p>
    <w:p>
      <w:pPr>
        <w:pStyle w:val="Normal"/>
        <w:jc w:val="both"/>
        <w:rPr/>
      </w:pPr>
      <w:r>
        <w:rPr/>
        <w:t>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deep learning</w:t>
      </w:r>
      <w:r>
        <w:rPr/>
        <w:t>), en el que una red neuronal con muchas capas aprende directamente de los datos las representaciones necesarias para la tarea [</w:t>
      </w:r>
      <w:hyperlink w:anchor="ref_lecun2015">
        <w:r>
          <w:rPr>
            <w:rStyle w:val="ListLabel316"/>
            <w:color w:val="1F4E79"/>
          </w:rPr>
          <w:t>6</w:t>
        </w:r>
      </w:hyperlink>
      <w:r>
        <w:rPr/>
        <w:t>].</w:t>
      </w:r>
    </w:p>
    <w:p>
      <w:pPr>
        <w:pStyle w:val="Normal"/>
        <w:jc w:val="both"/>
        <w:rPr/>
      </w:pPr>
      <w:r>
        <w:rPr/>
        <w:t>La arquitectura de referencia es la red neuronal convolucional, CNN (</w:t>
      </w:r>
      <w:r>
        <w:rPr>
          <w:i/>
        </w:rPr>
        <w:t>convolutional neural network</w:t>
      </w:r>
      <w:r>
        <w:rPr/>
        <w:t>). Cada capa convolucional aplica filtros pequeños que se desplazan por la imagen y producen mapas de características (</w:t>
      </w:r>
      <w:r>
        <w:rPr>
          <w:i/>
        </w:rPr>
        <w:t>feature maps</w:t>
      </w:r>
      <w:r>
        <w:rP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transformers</w:t>
      </w:r>
      <w:r>
        <w:rPr/>
        <w:t>, basados en mecanismos de atención que relacionan todas las partes de la entrada entre sí [</w:t>
      </w:r>
      <w:hyperlink w:anchor="ref_vaswani2017">
        <w:r>
          <w:rPr>
            <w:rStyle w:val="ListLabel316"/>
            <w:color w:val="1F4E79"/>
          </w:rPr>
          <w:t>7</w:t>
        </w:r>
      </w:hyperlink>
      <w:r>
        <w:rPr/>
        <w:t>], se han trasladado a la visión con resultados de referencia.</w:t>
      </w:r>
    </w:p>
    <w:p>
      <w:pPr>
        <w:pStyle w:val="Normal"/>
        <w:jc w:val="both"/>
        <w:rPr/>
      </w:pPr>
      <w:r>
        <w:rPr/>
        <w:t>El entrenamiento de estas redes requiere grandes conjuntos de imágenes anotadas. Cuando los datos de la tarea son escasos, se recurre al aprendizaje por transferencia (</w:t>
      </w:r>
      <w:r>
        <w:rPr>
          <w:i/>
        </w:rPr>
        <w:t>transfer learning</w:t>
      </w:r>
      <w:r>
        <w:rPr/>
        <w:t>): se parte de un modelo ya entrenado en un conjunto amplio y genérico y se reutiliza, directamente o con un ajuste fino (</w:t>
      </w:r>
      <w:r>
        <w:rPr>
          <w:i/>
        </w:rPr>
        <w:t>fine-tuning</w:t>
      </w:r>
      <w:r>
        <w:rPr/>
        <w:t>), en el problema concreto [</w:t>
      </w:r>
      <w:hyperlink w:anchor="ref_pan2010">
        <w:r>
          <w:rPr>
            <w:rStyle w:val="ListLabel316"/>
            <w:color w:val="1F4E79"/>
          </w:rPr>
          <w:t>8</w:t>
        </w:r>
      </w:hyperlink>
      <w:r>
        <w:rPr/>
        <w:t xml:space="preserve">]. Esta es la estrategia adoptada en </w:t>
      </w:r>
      <w:r>
        <w:rPr>
          <w:i/>
        </w:rPr>
        <w:t>StrokeLab</w:t>
      </w:r>
      <w:r>
        <w:rPr/>
        <w:t>.</w:t>
      </w:r>
    </w:p>
    <w:p>
      <w:pPr>
        <w:pStyle w:val="Heading3"/>
        <w:keepNext w:val="true"/>
        <w:numPr>
          <w:ilvl w:val="2"/>
          <w:numId w:val="15"/>
        </w:numPr>
        <w:rPr/>
      </w:pPr>
      <w:r>
        <w:rPr/>
        <w:t>Estimación de la pose humana</w:t>
      </w:r>
    </w:p>
    <w:p>
      <w:pPr>
        <w:pStyle w:val="Normal"/>
        <w:jc w:val="both"/>
        <w:rPr/>
      </w:pPr>
      <w:r>
        <w:rPr/>
        <w:t>La estimación de la pose humana consiste en localizar en la imagen un conjunto predefinido de puntos anatómicos (</w:t>
      </w:r>
      <w:r>
        <w:rPr>
          <w:i/>
        </w:rPr>
        <w:t>keypoints</w:t>
      </w:r>
      <w:r>
        <w:rPr/>
        <w:t>, puntos clave), como hombros, codos, muñecas, caderas, rodillas y tobillos. El formato más extendido es el del conjunto COCO (</w:t>
      </w:r>
      <w:r>
        <w:rPr>
          <w:i/>
        </w:rPr>
        <w:t>Common Objects in Context</w:t>
      </w:r>
      <w:r>
        <w:rPr/>
        <w:t>), con 17 puntos por persona [</w:t>
      </w:r>
      <w:hyperlink w:anchor="ref_lin2014">
        <w:r>
          <w:rPr>
            <w:rStyle w:val="ListLabel316"/>
            <w:color w:val="1F4E79"/>
          </w:rPr>
          <w:t>9</w:t>
        </w:r>
      </w:hyperlink>
      <w:r>
        <w:rPr/>
        <w:t>]. Existen dos paradigmas principales:</w:t>
      </w:r>
    </w:p>
    <w:p>
      <w:pPr>
        <w:pStyle w:val="ListParagraph"/>
        <w:numPr>
          <w:ilvl w:val="0"/>
          <w:numId w:val="3"/>
        </w:numPr>
        <w:spacing w:before="0" w:after="0"/>
        <w:contextualSpacing/>
        <w:jc w:val="both"/>
        <w:rPr/>
      </w:pPr>
      <w:r>
        <w:rPr>
          <w:b/>
        </w:rPr>
        <w:t>Descendente</w:t>
      </w:r>
      <w:r>
        <w:rPr/>
        <w:t xml:space="preserve"> (</w:t>
      </w:r>
      <w:r>
        <w:rPr>
          <w:i/>
        </w:rPr>
        <w:t>top-down</w:t>
      </w:r>
      <w:r>
        <w:rPr/>
        <w:t>): primero se detecta cada persona con un detector de objetos y después se estiman sus puntos dentro del recuadro. Es más preciso, pero su coste crece con el número de personas.</w:t>
      </w:r>
    </w:p>
    <w:p>
      <w:pPr>
        <w:pStyle w:val="ListParagraph"/>
        <w:numPr>
          <w:ilvl w:val="0"/>
          <w:numId w:val="3"/>
        </w:numPr>
        <w:spacing w:before="0" w:after="0"/>
        <w:contextualSpacing/>
        <w:jc w:val="both"/>
        <w:rPr/>
      </w:pPr>
      <w:r>
        <w:rPr>
          <w:b/>
        </w:rPr>
        <w:t>Ascendente</w:t>
      </w:r>
      <w:r>
        <w:rPr/>
        <w:t xml:space="preserve"> (</w:t>
      </w:r>
      <w:r>
        <w:rPr>
          <w:i/>
        </w:rPr>
        <w:t>bottom-up</w:t>
      </w:r>
      <w:r>
        <w:rPr/>
        <w:t>): se detectan todos los puntos de la imagen y después se agrupan por persona, como en OpenPose, que emplea campos de afinidad entre partes [</w:t>
      </w:r>
      <w:hyperlink w:anchor="ref_cao2017">
        <w:r>
          <w:rPr>
            <w:rStyle w:val="ListLabel316"/>
            <w:color w:val="1F4E79"/>
          </w:rPr>
          <w:t>10</w:t>
        </w:r>
      </w:hyperlink>
      <w:r>
        <w:rPr/>
        <w:t>].</w:t>
      </w:r>
    </w:p>
    <w:p>
      <w:pPr>
        <w:pStyle w:val="Normal"/>
        <w:jc w:val="both"/>
        <w:rPr/>
      </w:pPr>
      <w:r>
        <w:rPr/>
        <w:t>En cuanto a la salida de la red, los métodos basados en mapas de calor (</w:t>
      </w:r>
      <w:r>
        <w:rPr>
          <w:i/>
        </w:rPr>
        <w:t>heatmaps</w:t>
      </w:r>
      <w:r>
        <w:rPr/>
        <w:t>) predicen para cada articulación una imagen de probabilidad cuyo máximo indica su posición, como HRNet, que mantiene representaciones de alta resolución en toda la red [</w:t>
      </w:r>
      <w:hyperlink w:anchor="ref_sun2019">
        <w:r>
          <w:rPr>
            <w:rStyle w:val="ListLabel316"/>
            <w:color w:val="1F4E79"/>
          </w:rPr>
          <w:t>11</w:t>
        </w:r>
      </w:hyperlink>
      <w:r>
        <w:rPr/>
        <w:t>]. Los métodos de regresión predicen directamente las coordenadas. La familia YOLO (</w:t>
      </w:r>
      <w:r>
        <w:rPr>
          <w:i/>
        </w:rPr>
        <w:t>You Only Look Once</w:t>
      </w:r>
      <w:r>
        <w:rPr/>
        <w:t>) resuelve la detección de objetos en una única pasada de la red [</w:t>
      </w:r>
      <w:hyperlink w:anchor="ref_redmon2016">
        <w:r>
          <w:rPr>
            <w:rStyle w:val="ListLabel316"/>
            <w:color w:val="1F4E79"/>
          </w:rPr>
          <w:t>12</w:t>
        </w:r>
      </w:hyperlink>
      <w:r>
        <w:rPr/>
        <w:t>]; YOLO-Pose extiende esta idea y predice, en la misma pasada, el recuadro de cada persona y sus puntos, con una función de pérdida basada en la similitud de puntos clave [</w:t>
      </w:r>
      <w:hyperlink w:anchor="ref_maji2022">
        <w:r>
          <w:rPr>
            <w:rStyle w:val="ListLabel316"/>
            <w:color w:val="1F4E79"/>
          </w:rPr>
          <w:t>13</w:t>
        </w:r>
      </w:hyperlink>
      <w:r>
        <w:rPr/>
        <w:t>]. Ultralytics distribuye versiones de distintos tamaños (</w:t>
      </w:r>
      <w:r>
        <w:rPr>
          <w:i/>
        </w:rPr>
        <w:t>nano</w:t>
      </w:r>
      <w:r>
        <w:rPr/>
        <w:t xml:space="preserve">, </w:t>
      </w:r>
      <w:r>
        <w:rPr>
          <w:i/>
        </w:rPr>
        <w:t>small</w:t>
      </w:r>
      <w:r>
        <w:rPr/>
        <w:t xml:space="preserve">, </w:t>
      </w:r>
      <w:r>
        <w:rPr>
          <w:i/>
        </w:rPr>
        <w:t>medium</w:t>
      </w:r>
      <w:r>
        <w:rPr/>
        <w:t>) preentrenadas en COCO [</w:t>
      </w:r>
      <w:hyperlink w:anchor="ref_jocher2023">
        <w:r>
          <w:rPr>
            <w:rStyle w:val="ListLabel316"/>
            <w:color w:val="1F4E79"/>
          </w:rPr>
          <w:t>14</w:t>
        </w:r>
      </w:hyperlink>
      <w:r>
        <w:rPr/>
        <w:t>].</w:t>
      </w:r>
    </w:p>
    <w:p>
      <w:pPr>
        <w:pStyle w:val="Normal"/>
        <w:jc w:val="both"/>
        <w:rPr/>
      </w:pPr>
      <w:r>
        <w:rPr/>
        <w:t xml:space="preserve">Para dispositivos con recursos limitados se han desarrollado modelos ligeros de una sola persona: MoveNet, con una red MobileNetV2 y entrada de 192 × 192 píxeles en su versión </w:t>
      </w:r>
      <w:r>
        <w:rPr>
          <w:i/>
        </w:rPr>
        <w:t>Lightning</w:t>
      </w:r>
      <w:r>
        <w:rPr/>
        <w:t xml:space="preserve"> [</w:t>
      </w:r>
      <w:hyperlink w:anchor="ref_google2021">
        <w:r>
          <w:rPr>
            <w:rStyle w:val="ListLabel316"/>
            <w:color w:val="1F4E79"/>
          </w:rPr>
          <w:t>15</w:t>
        </w:r>
      </w:hyperlink>
      <w:r>
        <w:rPr/>
        <w:t>], y BlazePose, que estima 33 puntos [</w:t>
      </w:r>
      <w:hyperlink w:anchor="ref_bazarevsky2020">
        <w:r>
          <w:rPr>
            <w:rStyle w:val="ListLabel316"/>
            <w:color w:val="1F4E79"/>
          </w:rPr>
          <w:t>16</w:t>
        </w:r>
      </w:hyperlink>
      <w:r>
        <w:rPr/>
        <w:t xml:space="preserve">]. En el extremo opuesto, ViTPose emplea un </w:t>
      </w:r>
      <w:r>
        <w:rPr>
          <w:i/>
        </w:rPr>
        <w:t>transformer</w:t>
      </w:r>
      <w:r>
        <w:rPr/>
        <w:t xml:space="preserve"> de visión y alcanza los mejores resultados en COCO a costa de un elevado coste computacional [</w:t>
      </w:r>
      <w:hyperlink w:anchor="ref_xu2022">
        <w:r>
          <w:rPr>
            <w:rStyle w:val="ListLabel316"/>
            <w:color w:val="1F4E79"/>
          </w:rPr>
          <w:t>17</w:t>
        </w:r>
      </w:hyperlink>
      <w:r>
        <w:rPr/>
        <w:t>]. La Tabla 1 resume los modelos considerados.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w:t>
      </w:r>
      <w:r>
        <w:rPr/>
        <w:fldChar w:fldCharType="end"/>
      </w:r>
      <w:r>
        <w:rPr/>
        <w:t>. Modelos de estimación de pose considerados. AP: precisión media en COCO según las publicaciones originales.</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4"/>
        <w:gridCol w:w="1361"/>
        <w:gridCol w:w="1927"/>
        <w:gridCol w:w="1588"/>
        <w:gridCol w:w="2041"/>
      </w:tblGrid>
      <w:tr>
        <w:trPr>
          <w:tblHeader w:val="true"/>
          <w:cantSplit w:val="true"/>
        </w:trPr>
        <w:tc>
          <w:tcPr>
            <w:tcW w:w="215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Modelo</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Paradigma</w:t>
            </w:r>
          </w:p>
        </w:tc>
        <w:tc>
          <w:tcPr>
            <w:tcW w:w="192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Arquitectura</w:t>
            </w:r>
          </w:p>
        </w:tc>
        <w:tc>
          <w:tcPr>
            <w:tcW w:w="15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AP en COCO</w:t>
            </w:r>
          </w:p>
        </w:tc>
        <w:tc>
          <w:tcPr>
            <w:tcW w:w="204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Papel en este trabajo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OpenPose [</w:t>
            </w:r>
            <w:hyperlink w:anchor="ref_cao2017">
              <w:r>
                <w:rPr>
                  <w:rStyle w:val="ListLabel317"/>
                  <w:rFonts w:eastAsia="Calibri" w:cs="Times New Roman"/>
                  <w:color w:val="1F4E79"/>
                  <w:kern w:val="0"/>
                  <w:sz w:val="16"/>
                  <w:lang w:val="es-ES" w:bidi="ar-SA"/>
                </w:rPr>
                <w:t>10</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Ascendente</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y campos de afinidad</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61,8 (test-dev)</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Referencia histórica</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HRNet-W48 [</w:t>
            </w:r>
            <w:hyperlink w:anchor="ref_sun2019">
              <w:r>
                <w:rPr>
                  <w:rStyle w:val="ListLabel317"/>
                  <w:rFonts w:eastAsia="Calibri" w:cs="Times New Roman"/>
                  <w:color w:val="1F4E79"/>
                  <w:kern w:val="0"/>
                  <w:sz w:val="16"/>
                  <w:lang w:val="es-ES" w:bidi="ar-SA"/>
                </w:rPr>
                <w:t>11</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 alta resolución</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75,5 (test-dev)</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No usado (coste en CPU)</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50,4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 elegido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YOLO11n-Pose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YOLOv8s-Pose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60,0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MoveNet Lightning [</w:t>
            </w:r>
            <w:hyperlink w:anchor="ref_google2021">
              <w:r>
                <w:rPr>
                  <w:rStyle w:val="ListLabel317"/>
                  <w:rFonts w:eastAsia="Calibri" w:cs="Times New Roman"/>
                  <w:color w:val="1F4E79"/>
                  <w:kern w:val="0"/>
                  <w:sz w:val="16"/>
                  <w:lang w:val="es-ES" w:bidi="ar-SA"/>
                </w:rPr>
                <w:t>15</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MobileNetV2</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Sin AP comparable publicada</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 opción</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BlazePose [</w:t>
            </w:r>
            <w:hyperlink w:anchor="ref_bazarevsky2020">
              <w:r>
                <w:rPr>
                  <w:rStyle w:val="ListLabel317"/>
                  <w:rFonts w:eastAsia="Calibri" w:cs="Times New Roman"/>
                  <w:color w:val="1F4E79"/>
                  <w:kern w:val="0"/>
                  <w:sz w:val="16"/>
                  <w:lang w:val="es-ES" w:bidi="ar-SA"/>
                </w:rPr>
                <w:t>16</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ligera, 33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Evaluado con PCK propio</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Opción</w:t>
            </w:r>
          </w:p>
        </w:tc>
      </w:tr>
      <w:tr>
        <w:trPr>
          <w:cantSplit w:val="true"/>
        </w:trPr>
        <w:tc>
          <w:tcPr>
            <w:tcW w:w="215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ViTPose-G [</w:t>
            </w:r>
            <w:hyperlink w:anchor="ref_xu2022">
              <w:r>
                <w:rPr>
                  <w:rStyle w:val="ListLabel317"/>
                  <w:rFonts w:eastAsia="Calibri" w:cs="Times New Roman"/>
                  <w:color w:val="1F4E79"/>
                  <w:kern w:val="0"/>
                  <w:sz w:val="16"/>
                  <w:lang w:val="es-ES" w:bidi="ar-SA"/>
                </w:rPr>
                <w:t>17</w:t>
              </w:r>
            </w:hyperlink>
            <w:r>
              <w:rPr>
                <w:rFonts w:eastAsia="Calibri" w:cs="Times New Roman"/>
                <w:kern w:val="0"/>
                <w:sz w:val="16"/>
                <w:lang w:val="es-ES" w:bidi="ar-SA"/>
              </w:rPr>
              <w:t>]</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92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Transformer de visión</w:t>
            </w:r>
          </w:p>
        </w:tc>
        <w:tc>
          <w:tcPr>
            <w:tcW w:w="15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80,9 (test-dev)</w:t>
            </w:r>
          </w:p>
        </w:tc>
        <w:tc>
          <w:tcPr>
            <w:tcW w:w="204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Trabajo futuro</w:t>
            </w:r>
          </w:p>
        </w:tc>
      </w:tr>
    </w:tbl>
    <w:p>
      <w:pPr>
        <w:pStyle w:val="Normal"/>
        <w:jc w:val="both"/>
        <w:rPr/>
      </w:pPr>
      <w:r>
        <w:rPr/>
      </w:r>
    </w:p>
    <w:p>
      <w:pPr>
        <w:pStyle w:val="Normal"/>
        <w:jc w:val="both"/>
        <w:rPr/>
      </w:pPr>
      <w:r>
        <w:rPr/>
        <w:t>La estimación de pose en natación presenta dificultades específicas: refracción, burbujas, iluminación variable, oclusión parcial del cuerpo por la superficie del agua y escasez de imágenes anotadas [</w:t>
      </w:r>
      <w:hyperlink w:anchor="ref_einfalt2018">
        <w:r>
          <w:rPr>
            <w:rStyle w:val="ListLabel316"/>
            <w:color w:val="1F4E79"/>
          </w:rPr>
          <w:t>18</w:t>
        </w:r>
      </w:hyperlink>
      <w:r>
        <w:rPr/>
        <w:t>]. El conjunto sintético SwimXYZ ofrece secuencias generadas por ordenador de los cuatro estilos para entrenar y evaluar modelos en este dominio [</w:t>
      </w:r>
      <w:hyperlink w:anchor="ref_fiche2023">
        <w:r>
          <w:rPr>
            <w:rStyle w:val="ListLabel316"/>
            <w:color w:val="1F4E79"/>
          </w:rPr>
          <w:t>19</w:t>
        </w:r>
      </w:hyperlink>
      <w:r>
        <w:rPr/>
        <w:t>].</w:t>
      </w:r>
    </w:p>
    <w:p>
      <w:pPr>
        <w:pStyle w:val="Heading3"/>
        <w:keepNext w:val="true"/>
        <w:numPr>
          <w:ilvl w:val="2"/>
          <w:numId w:val="16"/>
        </w:numPr>
        <w:rPr/>
      </w:pPr>
      <w:r>
        <w:rPr/>
        <w:t>Métricas de evaluación de la estimación de pose</w:t>
      </w:r>
    </w:p>
    <w:p>
      <w:pPr>
        <w:pStyle w:val="Normal"/>
        <w:jc w:val="both"/>
        <w:rPr/>
      </w:pPr>
      <w:r>
        <w:rPr/>
        <w:t>La precisión de un modelo de pose se mide comparando los puntos estimados con anotaciones manuales de referencia (</w:t>
      </w:r>
      <w:r>
        <w:rPr>
          <w:i/>
        </w:rPr>
        <w:t>ground truth</w:t>
      </w:r>
      <w:r>
        <w:rPr/>
        <w:t>). La métrica oficial de COCO es la similitud de puntos clave, OKS (</w:t>
      </w:r>
      <w:r>
        <w:rPr>
          <w:i/>
        </w:rPr>
        <w:t>Object Keypoint Similarity</w:t>
      </w:r>
      <w:r>
        <w:rPr/>
        <w:t>), que desempeña el papel de la intersección sobre la unión en la detección de objetos [</w:t>
      </w:r>
      <w:hyperlink w:anchor="ref_lin2014">
        <w:r>
          <w:rPr>
            <w:rStyle w:val="ListLabel316"/>
            <w:color w:val="1F4E79"/>
          </w:rPr>
          <w:t>9</w:t>
        </w:r>
      </w:hyperlink>
      <w:r>
        <w:rPr/>
        <w:t>] (Ecuación 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OKS</m:t>
          </m:r>
          <m:r>
            <w:rPr>
              <w:rFonts w:ascii="Cambria Math" w:hAnsi="Cambria Math"/>
            </w:rPr>
            <m:t xml:space="preserve">=</m:t>
          </m:r>
          <m:f>
            <m:num>
              <m:nary>
                <m:naryPr>
                  <m:chr m:val="∑"/>
                  <m:supHide m:val="1"/>
                </m:naryPr>
                <m:sub>
                  <m:r>
                    <w:rPr>
                      <w:rFonts w:ascii="Cambria Math" w:hAnsi="Cambria Math"/>
                    </w:rPr>
                    <m:t xml:space="preserve">i</m:t>
                  </m:r>
                </m:sub>
                <m:sup/>
                <m:e>
                  <m:r>
                    <w:rPr>
                      <w:rFonts w:ascii="Cambria Math" w:hAnsi="Cambria Math"/>
                    </w:rPr>
                    <m:t xml:space="preserve">exp</m:t>
                  </m:r>
                  <m:d>
                    <m:dPr>
                      <m:begChr m:val="("/>
                      <m:endChr m:val=")"/>
                    </m:dPr>
                    <m:e>
                      <m:r>
                        <w:rPr>
                          <w:rFonts w:ascii="Cambria Math" w:hAnsi="Cambria Math"/>
                        </w:rPr>
                        <m:t xml:space="preserve">−</m:t>
                      </m:r>
                      <m:f>
                        <m:num>
                          <m:sSup>
                            <m:e>
                              <m:sSub>
                                <m:e>
                                  <m:r>
                                    <w:rPr>
                                      <w:rFonts w:ascii="Cambria Math" w:hAnsi="Cambria Math"/>
                                    </w:rPr>
                                    <m:t xml:space="preserve">d</m:t>
                                  </m:r>
                                </m:e>
                                <m:sub>
                                  <m:r>
                                    <w:rPr>
                                      <w:rFonts w:ascii="Cambria Math" w:hAnsi="Cambria Math"/>
                                    </w:rPr>
                                    <m:t xml:space="preserve">i</m:t>
                                  </m:r>
                                </m:sub>
                              </m:sSub>
                            </m:e>
                            <m:sup>
                              <m:r>
                                <w:rPr>
                                  <w:rFonts w:ascii="Cambria Math" w:hAnsi="Cambria Math"/>
                                </w:rPr>
                                <m:t xml:space="preserve">2</m:t>
                              </m:r>
                            </m:sup>
                          </m:sSup>
                        </m:num>
                        <m:den>
                          <m:r>
                            <w:rPr>
                              <w:rFonts w:ascii="Cambria Math" w:hAnsi="Cambria Math"/>
                            </w:rPr>
                            <m:t xml:space="preserve">2</m:t>
                          </m:r>
                          <m:sSup>
                            <m:e>
                              <m:r>
                                <w:rPr>
                                  <w:rFonts w:ascii="Cambria Math" w:hAnsi="Cambria Math"/>
                                </w:rPr>
                                <m:t xml:space="preserve">s</m:t>
                              </m:r>
                            </m:e>
                            <m:sup>
                              <m:r>
                                <w:rPr>
                                  <w:rFonts w:ascii="Cambria Math" w:hAnsi="Cambria Math"/>
                                </w:rPr>
                                <m:t xml:space="preserve">2</m:t>
                              </m:r>
                            </m:sup>
                          </m:sSup>
                          <m:sSup>
                            <m:e>
                              <m:sSub>
                                <m:e>
                                  <m:r>
                                    <w:rPr>
                                      <w:rFonts w:ascii="Cambria Math" w:hAnsi="Cambria Math"/>
                                    </w:rPr>
                                    <m:t xml:space="preserve">k</m:t>
                                  </m:r>
                                </m:e>
                                <m:sub>
                                  <m:r>
                                    <w:rPr>
                                      <w:rFonts w:ascii="Cambria Math" w:hAnsi="Cambria Math"/>
                                    </w:rPr>
                                    <m:t xml:space="preserve">i</m:t>
                                  </m:r>
                                </m:sub>
                              </m:sSub>
                            </m:e>
                            <m:sup>
                              <m:r>
                                <w:rPr>
                                  <w:rFonts w:ascii="Cambria Math" w:hAnsi="Cambria Math"/>
                                </w:rPr>
                                <m:t xml:space="preserve">2</m:t>
                              </m:r>
                            </m:sup>
                          </m:sSup>
                        </m:den>
                      </m:f>
                    </m:e>
                  </m:d>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num>
            <m:den>
              <m:nary>
                <m:naryPr>
                  <m:chr m:val="∑"/>
                  <m:supHide m:val="1"/>
                </m:naryPr>
                <m:sub>
                  <m:r>
                    <w:rPr>
                      <w:rFonts w:ascii="Cambria Math" w:hAnsi="Cambria Math"/>
                    </w:rPr>
                    <m:t xml:space="preserve">i</m:t>
                  </m:r>
                </m:sub>
                <m:sup/>
                <m:e>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3</w:t>
      </w:r>
      <w:r>
        <w:rPr/>
        <w:fldChar w:fldCharType="end"/>
      </w:r>
      <w:r>
        <w:rPr/>
        <w:t>. Similitud de puntos clave (OKS)</w:t>
      </w:r>
    </w:p>
    <w:p>
      <w:pPr>
        <w:pStyle w:val="Normal"/>
        <w:keepNext w:val="true"/>
        <w:rPr/>
      </w:pPr>
      <w:r>
        <w:rPr/>
        <w:t>donde:</w:t>
      </w:r>
    </w:p>
    <w:p>
      <w:pPr>
        <w:pStyle w:val="ListParagraph"/>
        <w:keepNext w:val="true"/>
        <w:numPr>
          <w:ilvl w:val="0"/>
          <w:numId w:val="3"/>
        </w:numPr>
        <w:spacing w:before="0" w:after="0"/>
        <w:contextualSpacing/>
        <w:rPr/>
      </w:pPr>
      <w:r>
        <w:rPr>
          <w:i/>
        </w:rPr>
        <w:t>d</w:t>
      </w:r>
      <w:r>
        <w:rPr>
          <w:vertAlign w:val="subscript"/>
        </w:rPr>
        <w:t>i</w:t>
      </w:r>
      <w:r>
        <w:rPr/>
        <w:t xml:space="preserve">: distancia euclídea entre el punto estimado y el anotado de la articulación </w:t>
      </w:r>
      <w:r>
        <w:rPr>
          <w:i/>
        </w:rPr>
        <w:t>i</w:t>
      </w:r>
      <w:r>
        <w:rPr/>
        <w:t xml:space="preserve"> (píxeles)</w:t>
      </w:r>
    </w:p>
    <w:p>
      <w:pPr>
        <w:pStyle w:val="ListParagraph"/>
        <w:keepNext w:val="true"/>
        <w:numPr>
          <w:ilvl w:val="0"/>
          <w:numId w:val="3"/>
        </w:numPr>
        <w:spacing w:before="0" w:after="0"/>
        <w:contextualSpacing/>
        <w:rPr/>
      </w:pPr>
      <w:r>
        <w:rPr>
          <w:i/>
        </w:rPr>
        <w:t>s</w:t>
      </w:r>
      <w:r>
        <w:rPr/>
        <w:t>: escala del objeto, raíz cuadrada del área de la persona (píxeles)</w:t>
      </w:r>
    </w:p>
    <w:p>
      <w:pPr>
        <w:pStyle w:val="ListParagraph"/>
        <w:keepNext w:val="true"/>
        <w:numPr>
          <w:ilvl w:val="0"/>
          <w:numId w:val="3"/>
        </w:numPr>
        <w:spacing w:before="0" w:after="0"/>
        <w:contextualSpacing/>
        <w:rPr/>
      </w:pPr>
      <w:r>
        <w:rPr>
          <w:i/>
        </w:rPr>
        <w:t>k</w:t>
      </w:r>
      <w:r>
        <w:rPr>
          <w:vertAlign w:val="subscript"/>
        </w:rPr>
        <w:t>i</w:t>
      </w:r>
      <w:r>
        <w:rPr/>
        <w:t>: constante de tolerancia propia de cada articulación (adimensional)</w:t>
      </w:r>
    </w:p>
    <w:p>
      <w:pPr>
        <w:pStyle w:val="ListParagraph"/>
        <w:keepNext w:val="true"/>
        <w:numPr>
          <w:ilvl w:val="0"/>
          <w:numId w:val="3"/>
        </w:numPr>
        <w:spacing w:before="0" w:after="0"/>
        <w:contextualSpacing/>
        <w:rPr/>
      </w:pPr>
      <w:r>
        <w:rPr>
          <w:i/>
        </w:rPr>
        <w:t>v</w:t>
      </w:r>
      <w:r>
        <w:rPr>
          <w:vertAlign w:val="subscript"/>
        </w:rPr>
        <w:t>i</w:t>
      </w:r>
      <w:r>
        <w:rPr/>
        <w:t>: indicador de visibilidad de la articulación en la anotación; δ(·) vale 1 si se cumple la condición y 0 en otro caso</w:t>
      </w:r>
    </w:p>
    <w:p>
      <w:pPr>
        <w:pStyle w:val="ListParagraph"/>
        <w:keepNext w:val="false"/>
        <w:numPr>
          <w:ilvl w:val="0"/>
          <w:numId w:val="3"/>
        </w:numPr>
        <w:spacing w:before="0" w:after="0"/>
        <w:contextualSpacing/>
        <w:rPr/>
      </w:pPr>
      <w:r>
        <w:rPr/>
        <w:t>OKS: similitud entre 0 (sin coincidencia) y 1 (coincidencia perfecta)</w:t>
      </w:r>
    </w:p>
    <w:p>
      <w:pPr>
        <w:pStyle w:val="Normal"/>
        <w:jc w:val="both"/>
        <w:rPr/>
      </w:pPr>
      <w:r>
        <w:rPr/>
        <w:t>Otra métrica habitual es el porcentaje de puntos correctos, PCK (</w:t>
      </w:r>
      <w:r>
        <w:rPr>
          <w:i/>
        </w:rPr>
        <w:t>Percentage of Correct Keypoints</w:t>
      </w:r>
      <w:r>
        <w:rPr/>
        <w:t>), que cuenta los puntos situados a menos de una fracción α de una longitud de referencia, como el tronco o la cabeza (PCKh) [</w:t>
      </w:r>
      <w:hyperlink w:anchor="ref_andriluka2014">
        <w:r>
          <w:rPr>
            <w:rStyle w:val="ListLabel316"/>
            <w:color w:val="1F4E79"/>
          </w:rPr>
          <w:t>20</w:t>
        </w:r>
      </w:hyperlink>
      <w:r>
        <w:rPr/>
        <w:t>] (Ecuación 4).</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PCK</m:t>
              </m:r>
            </m:e>
            <m:sub>
              <m:r>
                <w:rPr>
                  <w:rFonts w:ascii="Cambria Math" w:hAnsi="Cambria Math"/>
                </w:rPr>
                <m:t xml:space="preserve">α</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r>
                <w:rPr>
                  <w:rFonts w:ascii="Cambria Math" w:hAnsi="Cambria Math"/>
                </w:rPr>
                <m:t xml:space="preserve">𝟙</m:t>
              </m:r>
              <m:d>
                <m:dPr>
                  <m:begChr m:val="("/>
                  <m:endChr m:val=")"/>
                </m:dPr>
                <m:e>
                  <m:d>
                    <m:dPr>
                      <m:begChr m:val="‖"/>
                      <m:endChr m:val="‖"/>
                    </m:dPr>
                    <m:e>
                      <m:acc>
                        <m:accPr>
                          <m:chr m:val="^"/>
                        </m:accPr>
                        <m:e>
                          <m:sSub>
                            <m:e>
                              <m:r>
                                <w:rPr>
                                  <w:rFonts w:ascii="Cambria Math" w:hAnsi="Cambria Math"/>
                                </w:rPr>
                                <m:t xml:space="preserve">p</m:t>
                              </m:r>
                            </m:e>
                            <m:sub>
                              <m:r>
                                <w:rPr>
                                  <w:rFonts w:ascii="Cambria Math" w:hAnsi="Cambria Math"/>
                                </w:rPr>
                                <m:t xml:space="preserve">i</m:t>
                              </m:r>
                            </m:sub>
                          </m:sSub>
                        </m:e>
                      </m:acc>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d</m:t>
                      </m:r>
                    </m:e>
                    <m:sub>
                      <m:r>
                        <w:rPr>
                          <w:rFonts w:ascii="Cambria Math" w:hAnsi="Cambria Math"/>
                        </w:rPr>
                        <m:t xml:space="preserve">ref</m:t>
                      </m:r>
                    </m:sub>
                  </m:sSub>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4</w:t>
      </w:r>
      <w:r>
        <w:rPr/>
        <w:fldChar w:fldCharType="end"/>
      </w:r>
      <w:r>
        <w:rPr/>
        <w:t>. Porcentaje de puntos correctos (PCK)</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total de puntos evaluados</w:t>
      </w:r>
    </w:p>
    <w:p>
      <w:pPr>
        <w:pStyle w:val="ListParagraph"/>
        <w:keepNext w:val="true"/>
        <w:numPr>
          <w:ilvl w:val="0"/>
          <w:numId w:val="3"/>
        </w:numPr>
        <w:spacing w:before="0" w:after="0"/>
        <w:contextualSpacing/>
        <w:rPr/>
      </w:pPr>
      <w:r>
        <w:rPr>
          <w:i/>
        </w:rPr>
        <w:t>p̂</w:t>
      </w:r>
      <w:r>
        <w:rPr>
          <w:vertAlign w:val="subscript"/>
        </w:rPr>
        <w:t>i</w:t>
      </w:r>
      <w:r>
        <w:rPr/>
        <w:t xml:space="preserve">, </w:t>
      </w:r>
      <w:r>
        <w:rPr>
          <w:i/>
        </w:rPr>
        <w:t>p</w:t>
      </w:r>
      <w:r>
        <w:rPr>
          <w:vertAlign w:val="subscript"/>
        </w:rPr>
        <w:t>i</w:t>
      </w:r>
      <w:r>
        <w:rPr/>
        <w:t xml:space="preserve">: posición estimada y posición de referencia del punto </w:t>
      </w:r>
      <w:r>
        <w:rPr>
          <w:i/>
        </w:rPr>
        <w:t>i</w:t>
      </w:r>
      <w:r>
        <w:rPr/>
        <w:t xml:space="preserve"> (píxeles)</w:t>
      </w:r>
    </w:p>
    <w:p>
      <w:pPr>
        <w:pStyle w:val="ListParagraph"/>
        <w:keepNext w:val="true"/>
        <w:numPr>
          <w:ilvl w:val="0"/>
          <w:numId w:val="3"/>
        </w:numPr>
        <w:spacing w:before="0" w:after="0"/>
        <w:contextualSpacing/>
        <w:rPr/>
      </w:pPr>
      <w:r>
        <w:rPr>
          <w:i/>
        </w:rPr>
        <w:t>d</w:t>
      </w:r>
      <w:r>
        <w:rPr>
          <w:vertAlign w:val="subscript"/>
        </w:rPr>
        <w:t>ref</w:t>
      </w:r>
      <w:r>
        <w:rPr/>
        <w:t>: longitud de referencia del cuerpo, por ejemplo el tronco (píxeles)</w:t>
      </w:r>
    </w:p>
    <w:p>
      <w:pPr>
        <w:pStyle w:val="ListParagraph"/>
        <w:keepNext w:val="true"/>
        <w:numPr>
          <w:ilvl w:val="0"/>
          <w:numId w:val="3"/>
        </w:numPr>
        <w:spacing w:before="0" w:after="0"/>
        <w:contextualSpacing/>
        <w:rPr/>
      </w:pPr>
      <w:r>
        <w:rPr/>
        <w:t>α: umbral relativo de tolerancia (habitualmente 0,2 o 0,5); 𝟙(·) vale 1 si la condición se cumple</w:t>
      </w:r>
    </w:p>
    <w:p>
      <w:pPr>
        <w:pStyle w:val="ListParagraph"/>
        <w:keepNext w:val="false"/>
        <w:numPr>
          <w:ilvl w:val="0"/>
          <w:numId w:val="3"/>
        </w:numPr>
        <w:spacing w:before="0" w:after="0"/>
        <w:contextualSpacing/>
        <w:rPr/>
      </w:pPr>
      <w:r>
        <w:rPr/>
        <w:t>PCK</w:t>
      </w:r>
      <w:r>
        <w:rPr>
          <w:vertAlign w:val="subscript"/>
        </w:rPr>
        <w:t>α</w:t>
      </w:r>
      <w:r>
        <w:rPr/>
        <w:t>: proporción de puntos correctos, entre 0 y 1</w:t>
      </w:r>
    </w:p>
    <w:p>
      <w:pPr>
        <w:pStyle w:val="Normal"/>
        <w:jc w:val="both"/>
        <w:rPr/>
      </w:pPr>
      <w:r>
        <w:rPr/>
        <w:t>A partir de la OKS se calcula la precisión media, AP (</w:t>
      </w:r>
      <w:r>
        <w:rPr>
          <w:i/>
        </w:rPr>
        <w:t>Average Precision</w:t>
      </w:r>
      <w:r>
        <w:rPr/>
        <w:t>): para un umbral de OKS se consideran correctas las detecciones que lo superan y se integra la curva de precisión frente a exhaustividad. COCO promedia la AP sobre diez umbrales de OKS entre 0,50 y 0,95, valor que se denomina mAP (</w:t>
      </w:r>
      <w:r>
        <w:rPr>
          <w:i/>
        </w:rPr>
        <w:t>mean Average Precision</w:t>
      </w:r>
      <w:r>
        <w:rPr/>
        <w:t>) (Ecuación 5).</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AP</m:t>
              </m:r>
            </m:e>
            <m:sub>
              <m:r>
                <w:rPr>
                  <w:rFonts w:ascii="Cambria Math" w:hAnsi="Cambria Math"/>
                </w:rPr>
                <m:t xml:space="preserve">t</m:t>
              </m:r>
            </m:sub>
          </m:sSub>
          <m:r>
            <w:rPr>
              <w:rFonts w:ascii="Cambria Math" w:hAnsi="Cambria Math"/>
            </w:rPr>
            <m:t xml:space="preserve">=</m:t>
          </m:r>
          <m:nary>
            <m:naryPr>
              <m:chr m:val="∫"/>
            </m:naryPr>
            <m:sub>
              <m:r>
                <w:rPr>
                  <w:rFonts w:ascii="Cambria Math" w:hAnsi="Cambria Math"/>
                </w:rPr>
                <m:t xml:space="preserve">0</m:t>
              </m:r>
            </m:sub>
            <m:sup>
              <m:r>
                <w:rPr>
                  <w:rFonts w:ascii="Cambria Math" w:hAnsi="Cambria Math"/>
                </w:rPr>
                <m:t xml:space="preserve">1</m:t>
              </m:r>
            </m:sup>
            <m:e>
              <m:sSub>
                <m:e>
                  <m:r>
                    <w:rPr>
                      <w:rFonts w:ascii="Cambria Math" w:hAnsi="Cambria Math"/>
                    </w:rPr>
                    <m:t xml:space="preserve">P</m:t>
                  </m:r>
                </m:e>
                <m:sub>
                  <m:r>
                    <w:rPr>
                      <w:rFonts w:ascii="Cambria Math" w:hAnsi="Cambria Math"/>
                    </w:rPr>
                    <m:t xml:space="preserve">t</m:t>
                  </m:r>
                </m:sub>
              </m:sSub>
              <m:d>
                <m:dPr>
                  <m:begChr m:val="("/>
                  <m:endChr m:val=")"/>
                </m:dPr>
                <m:e>
                  <m:r>
                    <w:rPr>
                      <w:rFonts w:ascii="Cambria Math" w:hAnsi="Cambria Math"/>
                    </w:rPr>
                    <m:t xml:space="preserve">R</m:t>
                  </m:r>
                </m:e>
              </m:d>
              <m:r>
                <w:rPr>
                  <w:rFonts w:ascii="Cambria Math" w:hAnsi="Cambria Math"/>
                </w:rPr>
                <m:t xml:space="preserve">dR</m:t>
              </m:r>
            </m:e>
          </m:nary>
          <m:r>
            <w:rPr>
              <w:rFonts w:ascii="Cambria Math" w:hAnsi="Cambria Math"/>
            </w:rPr>
            <m:t xml:space="preserve">,</m:t>
          </m:r>
          <m:r>
            <w:rPr>
              <w:rFonts w:ascii="Cambria Math" w:hAnsi="Cambria Math"/>
            </w:rPr>
            <m:t xml:space="preserve">mAP</m:t>
          </m:r>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T</m:t>
                  </m:r>
                </m:e>
              </m:d>
            </m:den>
          </m:f>
          <m:nary>
            <m:naryPr>
              <m:chr m:val="∑"/>
              <m:supHide m:val="1"/>
            </m:naryPr>
            <m:sub>
              <m:r>
                <w:rPr>
                  <w:rFonts w:ascii="Cambria Math" w:hAnsi="Cambria Math"/>
                </w:rPr>
                <m:t xml:space="preserve">t</m:t>
              </m:r>
              <m:r>
                <w:rPr>
                  <w:rFonts w:ascii="Cambria Math" w:hAnsi="Cambria Math"/>
                </w:rPr>
                <m:t xml:space="preserve">∈</m:t>
              </m:r>
              <m:r>
                <w:rPr>
                  <w:rFonts w:ascii="Cambria Math" w:hAnsi="Cambria Math"/>
                </w:rPr>
                <m:t xml:space="preserve">T</m:t>
              </m:r>
            </m:sub>
            <m:sup/>
            <m:e>
              <m:sSub>
                <m:e>
                  <m:r>
                    <w:rPr>
                      <w:rFonts w:ascii="Cambria Math" w:hAnsi="Cambria Math"/>
                    </w:rPr>
                    <m:t xml:space="preserve">AP</m:t>
                  </m:r>
                </m:e>
                <m:sub>
                  <m:r>
                    <w:rPr>
                      <w:rFonts w:ascii="Cambria Math" w:hAnsi="Cambria Math"/>
                    </w:rPr>
                    <m:t xml:space="preserve">t</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5</w:t>
      </w:r>
      <w:r>
        <w:rPr/>
        <w:fldChar w:fldCharType="end"/>
      </w:r>
      <w:r>
        <w:rPr/>
        <w:t>. Precisión media (AP) y su promedio sobre umbrales de OKS (mAP)</w:t>
      </w:r>
    </w:p>
    <w:p>
      <w:pPr>
        <w:pStyle w:val="Normal"/>
        <w:keepNext w:val="true"/>
        <w:rPr/>
      </w:pPr>
      <w:r>
        <w:rPr/>
        <w:t>donde:</w:t>
      </w:r>
    </w:p>
    <w:p>
      <w:pPr>
        <w:pStyle w:val="ListParagraph"/>
        <w:keepNext w:val="true"/>
        <w:numPr>
          <w:ilvl w:val="0"/>
          <w:numId w:val="3"/>
        </w:numPr>
        <w:spacing w:before="0" w:after="0"/>
        <w:contextualSpacing/>
        <w:rPr/>
      </w:pPr>
      <w:r>
        <w:rPr>
          <w:i/>
        </w:rPr>
        <w:t>P</w:t>
      </w:r>
      <w:r>
        <w:rPr>
          <w:vertAlign w:val="subscript"/>
        </w:rPr>
        <w:t>t</w:t>
      </w:r>
      <w:r>
        <w:rPr/>
        <w:t>(</w:t>
      </w:r>
      <w:r>
        <w:rPr>
          <w:i/>
        </w:rPr>
        <w:t>R</w:t>
      </w:r>
      <w:r>
        <w:rPr/>
        <w:t xml:space="preserve">): precisión en función de la exhaustividad </w:t>
      </w:r>
      <w:r>
        <w:rPr>
          <w:i/>
        </w:rPr>
        <w:t>R</w:t>
      </w:r>
      <w:r>
        <w:rPr/>
        <w:t xml:space="preserve"> cuando una detección se considera correcta si su OKS ≥ </w:t>
      </w:r>
      <w:r>
        <w:rPr>
          <w:i/>
        </w:rPr>
        <w:t>t</w:t>
      </w:r>
    </w:p>
    <w:p>
      <w:pPr>
        <w:pStyle w:val="ListParagraph"/>
        <w:keepNext w:val="true"/>
        <w:numPr>
          <w:ilvl w:val="0"/>
          <w:numId w:val="3"/>
        </w:numPr>
        <w:spacing w:before="0" w:after="0"/>
        <w:contextualSpacing/>
        <w:rPr/>
      </w:pPr>
      <w:r>
        <w:rPr>
          <w:i/>
        </w:rPr>
        <w:t>T</w:t>
      </w:r>
      <w:r>
        <w:rPr/>
        <w:t>: conjunto de umbrales de OKS {0,50; 0,55; …; 0,95}; |</w:t>
      </w:r>
      <w:r>
        <w:rPr>
          <w:i/>
        </w:rPr>
        <w:t>T</w:t>
      </w:r>
      <w:r>
        <w:rPr/>
        <w:t>| = 10</w:t>
      </w:r>
    </w:p>
    <w:p>
      <w:pPr>
        <w:pStyle w:val="ListParagraph"/>
        <w:keepNext w:val="false"/>
        <w:numPr>
          <w:ilvl w:val="0"/>
          <w:numId w:val="3"/>
        </w:numPr>
        <w:spacing w:before="0" w:after="0"/>
        <w:contextualSpacing/>
        <w:rPr/>
      </w:pPr>
      <w:r>
        <w:rPr/>
        <w:t>AP, mAP: valores entre 0 y 1, que suelen expresarse en porcentaje</w:t>
      </w:r>
    </w:p>
    <w:p>
      <w:pPr>
        <w:pStyle w:val="Normal"/>
        <w:jc w:val="both"/>
        <w:rPr/>
      </w:pPr>
      <w:r>
        <w:rPr/>
        <w:t>Todas estas métricas requieren un conjunto de imágenes con las articulaciones anotadas manualmente. Su aplicabilidad a los datos de este trabajo se discute en el Capítulo 4.</w:t>
      </w:r>
    </w:p>
    <w:p>
      <w:pPr>
        <w:pStyle w:val="Heading3"/>
        <w:keepNext w:val="true"/>
        <w:numPr>
          <w:ilvl w:val="2"/>
          <w:numId w:val="17"/>
        </w:numPr>
        <w:rPr/>
      </w:pPr>
      <w:r>
        <w:rPr/>
        <w:t>Elevación de la pose a tres dimensiones</w:t>
      </w:r>
    </w:p>
    <w:p>
      <w:pPr>
        <w:pStyle w:val="Normal"/>
        <w:jc w:val="both"/>
        <w:rPr/>
      </w:pPr>
      <w:r>
        <w:rPr/>
        <w:t>La estimación 3D a partir de una sola cámara es un problema mal planteado, porque infinitas posturas 3D producen la misma proyección. La estrategia más extendida es la elevación (</w:t>
      </w:r>
      <w:r>
        <w:rPr>
          <w:i/>
        </w:rPr>
        <w:t>lifting</w:t>
      </w:r>
      <w:r>
        <w:rPr/>
        <w:t>): un modelo recibe la secuencia de puntos 2D y predice su profundidad, aprovechando las regularidades del cuerpo humano aprendidas de grandes conjuntos con captura de movimiento [</w:t>
      </w:r>
      <w:hyperlink w:anchor="ref_martinez2017">
        <w:r>
          <w:rPr>
            <w:rStyle w:val="ListLabel316"/>
            <w:color w:val="1F4E79"/>
          </w:rPr>
          <w:t>21</w:t>
        </w:r>
      </w:hyperlink>
      <w:r>
        <w:rPr/>
        <w:t>]. El conjunto de referencia es Human3.6M, con actores en un laboratorio realizando acciones cotidianas de pie [</w:t>
      </w:r>
      <w:hyperlink w:anchor="ref_ionescu2014">
        <w:r>
          <w:rPr>
            <w:rStyle w:val="ListLabel316"/>
            <w:color w:val="1F4E79"/>
          </w:rPr>
          <w:t>22</w:t>
        </w:r>
      </w:hyperlink>
      <w:r>
        <w:rPr/>
        <w:t xml:space="preserve">]. MotionBERT emplea un </w:t>
      </w:r>
      <w:r>
        <w:rPr>
          <w:i/>
        </w:rPr>
        <w:t>transformer</w:t>
      </w:r>
      <w:r>
        <w:rPr/>
        <w:t xml:space="preserve"> con atención espacial y temporal alternada (DSTformer) preentrenado para recuperar movimiento a partir de entradas 2D ruidosas [</w:t>
      </w:r>
      <w:hyperlink w:anchor="ref_zhu2023">
        <w:r>
          <w:rPr>
            <w:rStyle w:val="ListLabel316"/>
            <w:color w:val="1F4E79"/>
          </w:rPr>
          <w:t>23</w:t>
        </w:r>
      </w:hyperlink>
      <w:r>
        <w:rPr/>
        <w:t>]. Al haberse entrenado con personas de pie en tierra, su transferencia a un nadador horizontal bajo el agua no está garantizada, aspecto que se evalúa en este trabajo.</w:t>
      </w:r>
    </w:p>
    <w:p>
      <w:pPr>
        <w:pStyle w:val="Heading3"/>
        <w:keepNext w:val="true"/>
        <w:numPr>
          <w:ilvl w:val="2"/>
          <w:numId w:val="18"/>
        </w:numPr>
        <w:rPr/>
      </w:pPr>
      <w:r>
        <w:rPr/>
        <w:t>Detección de anomalías y aprendizaje no supervisado</w:t>
      </w:r>
    </w:p>
    <w:p>
      <w:pPr>
        <w:pStyle w:val="Normal"/>
        <w:jc w:val="both"/>
        <w:rPr/>
      </w:pPr>
      <w:r>
        <w:rPr/>
        <w:t>El aprendizaje no supervisado busca estructura en datos sin etiquetas. Una de sus tareas es la detección de anomalías, que identifica observaciones que se apartan del comportamiento normal [</w:t>
      </w:r>
      <w:hyperlink w:anchor="ref_chandola2009">
        <w:r>
          <w:rPr>
            <w:rStyle w:val="ListLabel316"/>
            <w:color w:val="1F4E79"/>
          </w:rPr>
          <w:t>24</w:t>
        </w:r>
      </w:hyperlink>
      <w:r>
        <w:rPr/>
        <w:t>]. Es el planteamiento adecuado para la fatiga, ya que no se dispone de etiquetas que indiquen en qué ciclo está fatigado un nadador, pero sí de un periodo inicial en el que se le puede suponer descansado.</w:t>
      </w:r>
    </w:p>
    <w:p>
      <w:pPr>
        <w:pStyle w:val="Normal"/>
        <w:jc w:val="both"/>
        <w:rPr/>
      </w:pPr>
      <w:r>
        <w:rPr>
          <w:i/>
        </w:rPr>
        <w:t>Isolation Forest</w:t>
      </w:r>
      <w:r>
        <w:rPr/>
        <w:t xml:space="preserve"> (bosque de aislamiento) [</w:t>
      </w:r>
      <w:hyperlink w:anchor="ref_liu2008">
        <w:r>
          <w:rPr>
            <w:rStyle w:val="ListLabel316"/>
            <w:color w:val="1F4E79"/>
          </w:rPr>
          <w:t>25</w:t>
        </w:r>
      </w:hyperlink>
      <w:r>
        <w:rP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h</w:t>
      </w:r>
      <w:r>
        <w:rPr/>
        <w:t>(</w:t>
      </w:r>
      <w:r>
        <w:rPr>
          <w:i/>
        </w:rPr>
        <w:t>x</w:t>
      </w:r>
      <w:r>
        <w:rPr/>
        <w:t>) desde la raíz hasta la hoja de una observación es corta si esta es anómala. La puntuación de anomalía se normaliza según la Ecuación 6.</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n</m:t>
              </m:r>
            </m:e>
          </m:d>
          <m:r>
            <w:rPr>
              <w:rFonts w:ascii="Cambria Math" w:hAnsi="Cambria Math"/>
            </w:rPr>
            <m:t xml:space="preserve">=</m:t>
          </m:r>
          <m:sSup>
            <m:e>
              <m:r>
                <w:rPr>
                  <w:rFonts w:ascii="Cambria Math" w:hAnsi="Cambria Math"/>
                </w:rPr>
                <m:t xml:space="preserve">2</m:t>
              </m:r>
            </m:e>
            <m:sup>
              <m:r>
                <w:rPr>
                  <w:rFonts w:ascii="Cambria Math" w:hAnsi="Cambria Math"/>
                </w:rPr>
                <m:t xml:space="preserve">−</m:t>
              </m:r>
              <m:f>
                <m:num>
                  <m:r>
                    <w:rPr>
                      <w:rFonts w:ascii="Cambria Math" w:hAnsi="Cambria Math"/>
                    </w:rPr>
                    <m:t xml:space="preserve">E</m:t>
                  </m:r>
                  <m:d>
                    <m:dPr>
                      <m:begChr m:val="["/>
                      <m:endChr m:val="]"/>
                    </m:dPr>
                    <m:e>
                      <m:r>
                        <w:rPr>
                          <w:rFonts w:ascii="Cambria Math" w:hAnsi="Cambria Math"/>
                        </w:rPr>
                        <m:t xml:space="preserve">h</m:t>
                      </m:r>
                      <m:d>
                        <m:dPr>
                          <m:begChr m:val="("/>
                          <m:endChr m:val=")"/>
                        </m:dPr>
                        <m:e>
                          <m:r>
                            <w:rPr>
                              <w:rFonts w:ascii="Cambria Math" w:hAnsi="Cambria Math"/>
                            </w:rPr>
                            <m:t xml:space="preserve">x</m:t>
                          </m:r>
                        </m:e>
                      </m:d>
                    </m:e>
                  </m:d>
                </m:num>
                <m:den>
                  <m:r>
                    <w:rPr>
                      <w:rFonts w:ascii="Cambria Math" w:hAnsi="Cambria Math"/>
                    </w:rPr>
                    <m:t xml:space="preserve">c</m:t>
                  </m:r>
                  <m:d>
                    <m:dPr>
                      <m:begChr m:val="("/>
                      <m:endChr m:val=")"/>
                    </m:dPr>
                    <m:e>
                      <m:r>
                        <w:rPr>
                          <w:rFonts w:ascii="Cambria Math" w:hAnsi="Cambria Math"/>
                        </w:rPr>
                        <m:t xml:space="preserve">n</m:t>
                      </m:r>
                    </m:e>
                  </m:d>
                </m:den>
              </m:f>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6</w:t>
      </w:r>
      <w:r>
        <w:rPr/>
        <w:fldChar w:fldCharType="end"/>
      </w:r>
      <w:r>
        <w:rPr/>
        <w:t>. Puntuación de anomalía de Isolation Forest</w:t>
      </w:r>
    </w:p>
    <w:p>
      <w:pPr>
        <w:pStyle w:val="Normal"/>
        <w:keepNext w:val="true"/>
        <w:rPr/>
      </w:pPr>
      <w:r>
        <w:rPr/>
        <w:t>donde:</w:t>
      </w:r>
    </w:p>
    <w:p>
      <w:pPr>
        <w:pStyle w:val="ListParagraph"/>
        <w:keepNext w:val="true"/>
        <w:numPr>
          <w:ilvl w:val="0"/>
          <w:numId w:val="3"/>
        </w:numPr>
        <w:spacing w:before="0" w:after="0"/>
        <w:contextualSpacing/>
        <w:rPr/>
      </w:pPr>
      <w:r>
        <w:rPr>
          <w:i/>
        </w:rPr>
        <w:t>s</w:t>
      </w:r>
      <w:r>
        <w:rPr/>
        <w:t>(</w:t>
      </w:r>
      <w:r>
        <w:rPr>
          <w:i/>
        </w:rPr>
        <w:t>x</w:t>
      </w:r>
      <w:r>
        <w:rPr/>
        <w:t xml:space="preserve">, </w:t>
      </w:r>
      <w:r>
        <w:rPr>
          <w:i/>
        </w:rPr>
        <w:t>n</w:t>
      </w:r>
      <w:r>
        <w:rPr/>
        <w:t xml:space="preserve">): puntuación de anomalía de la observación </w:t>
      </w:r>
      <w:r>
        <w:rPr>
          <w:i/>
        </w:rPr>
        <w:t>x</w:t>
      </w:r>
      <w:r>
        <w:rPr/>
        <w:t>, entre 0 y 1; valores próximos a 1 indican anomalía y valores inferiores a 0,5, normalidad</w:t>
      </w:r>
    </w:p>
    <w:p>
      <w:pPr>
        <w:pStyle w:val="ListParagraph"/>
        <w:keepNext w:val="true"/>
        <w:numPr>
          <w:ilvl w:val="0"/>
          <w:numId w:val="3"/>
        </w:numPr>
        <w:spacing w:before="0" w:after="0"/>
        <w:contextualSpacing/>
        <w:rPr/>
      </w:pPr>
      <w:r>
        <w:rPr>
          <w:i/>
        </w:rPr>
        <w:t>E</w:t>
      </w:r>
      <w:r>
        <w:rPr/>
        <w:t>[</w:t>
      </w:r>
      <w:r>
        <w:rPr>
          <w:i/>
        </w:rPr>
        <w:t>h</w:t>
      </w:r>
      <w:r>
        <w:rPr/>
        <w:t>(</w:t>
      </w:r>
      <w:r>
        <w:rPr>
          <w:i/>
        </w:rPr>
        <w:t>x</w:t>
      </w:r>
      <w:r>
        <w:rPr/>
        <w:t xml:space="preserve">)]: longitud media del camino de </w:t>
      </w:r>
      <w:r>
        <w:rPr>
          <w:i/>
        </w:rPr>
        <w:t>x</w:t>
      </w:r>
      <w:r>
        <w:rPr/>
        <w:t xml:space="preserve"> en el conjunto de árboles (número de particiones)</w:t>
      </w:r>
    </w:p>
    <w:p>
      <w:pPr>
        <w:pStyle w:val="ListParagraph"/>
        <w:keepNext w:val="false"/>
        <w:numPr>
          <w:ilvl w:val="0"/>
          <w:numId w:val="3"/>
        </w:numPr>
        <w:spacing w:before="0" w:after="0"/>
        <w:contextualSpacing/>
        <w:rPr/>
      </w:pPr>
      <w:r>
        <w:rPr>
          <w:i/>
        </w:rPr>
        <w:t>c</w:t>
      </w:r>
      <w:r>
        <w:rPr/>
        <w:t>(</w:t>
      </w:r>
      <w:r>
        <w:rPr>
          <w:i/>
        </w:rPr>
        <w:t>n</w:t>
      </w:r>
      <w:r>
        <w:rPr/>
        <w:t xml:space="preserve">): longitud media esperada del camino en un árbol construido con </w:t>
      </w:r>
      <w:r>
        <w:rPr>
          <w:i/>
        </w:rPr>
        <w:t>n</w:t>
      </w:r>
      <w:r>
        <w:rPr/>
        <w:t xml:space="preserve"> observaciones (Ecuación 7)</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2</m:t>
          </m:r>
          <m:r>
            <w:rPr>
              <w:rFonts w:ascii="Cambria Math" w:hAnsi="Cambria Math"/>
            </w:rPr>
            <m:t xml:space="preserve">H</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ln</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γ</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7</w:t>
      </w:r>
      <w:r>
        <w:rPr/>
        <w:fldChar w:fldCharType="end"/>
      </w:r>
      <w:r>
        <w:rPr/>
        <w:t>. Factor de normalización de Isolation Forest</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de observaciones con que se construye cada árbol</w:t>
      </w:r>
    </w:p>
    <w:p>
      <w:pPr>
        <w:pStyle w:val="ListParagraph"/>
        <w:keepNext w:val="true"/>
        <w:numPr>
          <w:ilvl w:val="0"/>
          <w:numId w:val="3"/>
        </w:numPr>
        <w:spacing w:before="0" w:after="0"/>
        <w:contextualSpacing/>
        <w:rPr/>
      </w:pPr>
      <w:r>
        <w:rPr>
          <w:i/>
        </w:rPr>
        <w:t>H</w:t>
      </w:r>
      <w:r>
        <w:rPr/>
        <w:t>(</w:t>
      </w:r>
      <w:r>
        <w:rPr>
          <w:i/>
        </w:rPr>
        <w:t>i</w:t>
      </w:r>
      <w:r>
        <w:rPr/>
        <w:t>): número armónico, aproximado mediante el logaritmo neperiano</w:t>
      </w:r>
    </w:p>
    <w:p>
      <w:pPr>
        <w:pStyle w:val="ListParagraph"/>
        <w:keepNext w:val="false"/>
        <w:numPr>
          <w:ilvl w:val="0"/>
          <w:numId w:val="3"/>
        </w:numPr>
        <w:spacing w:before="0" w:after="0"/>
        <w:contextualSpacing/>
        <w:rPr/>
      </w:pPr>
      <w:r>
        <w:rPr/>
        <w:t>γ: constante de Euler-Mascheroni (≈ 0,5772)</w:t>
      </w:r>
    </w:p>
    <w:p>
      <w:pPr>
        <w:pStyle w:val="Normal"/>
        <w:jc w:val="both"/>
        <w:rPr/>
      </w:pPr>
      <w:r>
        <w:rPr/>
        <w:t>El algoritmo tiene coste lineal, no necesita suponer una distribución de los datos y puede entrenarse solo con observaciones normales, propiedades que justifican su elección.</w:t>
      </w:r>
    </w:p>
    <w:p>
      <w:pPr>
        <w:pStyle w:val="Heading3"/>
        <w:keepNext w:val="true"/>
        <w:numPr>
          <w:ilvl w:val="2"/>
          <w:numId w:val="19"/>
        </w:numPr>
        <w:rPr/>
      </w:pPr>
      <w:r>
        <w:rPr/>
        <w:t>Detección de puntos de cambio</w:t>
      </w:r>
    </w:p>
    <w:p>
      <w:pPr>
        <w:pStyle w:val="Normal"/>
        <w:jc w:val="both"/>
        <w:rPr/>
      </w:pPr>
      <w:r>
        <w:rPr/>
        <w:t>La detección de puntos de cambio (</w:t>
      </w:r>
      <w:r>
        <w:rPr>
          <w:i/>
        </w:rPr>
        <w:t>change point detection</w:t>
      </w:r>
      <w:r>
        <w:rPr/>
        <w:t>) localiza los instantes en que cambian las propiedades estadísticas de una serie temporal. El algoritmo PELT (</w:t>
      </w:r>
      <w:r>
        <w:rPr>
          <w:i/>
        </w:rPr>
        <w:t>Pruned Exact Linear Time</w:t>
      </w:r>
      <w:r>
        <w:rPr/>
        <w:t>) encuentra de forma exacta la segmentación que minimiza el coste de la Ecuación 8 con un coste computacional lineal, gracias a una regla de poda de candidatos [</w:t>
      </w:r>
      <w:hyperlink w:anchor="ref_killick2012">
        <w:r>
          <w:rPr>
            <w:rStyle w:val="ListLabel316"/>
            <w:color w:val="1F4E79"/>
          </w:rPr>
          <w:t>26</w:t>
        </w:r>
      </w:hyperlink>
      <w:r>
        <w:rPr/>
        <w:t>].</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mín</m:t>
              </m:r>
            </m:e>
            <m:sub>
              <m:r>
                <w:rPr>
                  <w:rFonts w:ascii="Cambria Math" w:hAnsi="Cambria Math"/>
                </w:rPr>
                <m:t xml:space="preserve">m</m:t>
              </m:r>
              <m:r>
                <w:rPr>
                  <w:rFonts w:ascii="Cambria Math" w:hAnsi="Cambria Math"/>
                </w:rPr>
                <m:t xml:space="preserve">,</m:t>
              </m:r>
              <m:r>
                <w:rPr>
                  <w:rFonts w:ascii="Cambria Math" w:hAnsi="Cambria Math"/>
                </w:rPr>
                <m:t xml:space="preserve">τ</m:t>
              </m:r>
            </m:sub>
          </m:sSub>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m</m:t>
              </m:r>
              <m:r>
                <w:rPr>
                  <w:rFonts w:ascii="Cambria Math" w:hAnsi="Cambria Math"/>
                </w:rPr>
                <m:t xml:space="preserve">+</m:t>
              </m:r>
              <m:r>
                <w:rPr>
                  <w:rFonts w:ascii="Cambria Math" w:hAnsi="Cambria Math"/>
                </w:rPr>
                <m:t xml:space="preserve">1</m:t>
              </m:r>
            </m:sup>
            <m:e>
              <m:r>
                <w:rPr>
                  <w:rFonts w:ascii="Cambria Math" w:hAnsi="Cambria Math"/>
                </w:rPr>
                <m:t xml:space="preserve">C</m:t>
              </m:r>
              <m:d>
                <m:dPr>
                  <m:begChr m:val="("/>
                  <m:endChr m:val=")"/>
                </m:dPr>
                <m:e>
                  <m:sSub>
                    <m:e>
                      <m:r>
                        <w:rPr>
                          <w:rFonts w:ascii="Cambria Math" w:hAnsi="Cambria Math"/>
                        </w:rPr>
                        <m:t xml:space="preserve">y</m:t>
                      </m:r>
                    </m:e>
                    <m:sub>
                      <m:sSub>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τ</m:t>
                          </m:r>
                        </m:e>
                        <m:sub>
                          <m:r>
                            <w:rPr>
                              <w:rFonts w:ascii="Cambria Math" w:hAnsi="Cambria Math"/>
                            </w:rPr>
                            <m:t xml:space="preserve">i</m:t>
                          </m:r>
                        </m:sub>
                      </m:sSub>
                    </m:sub>
                  </m:sSub>
                </m:e>
              </m:d>
            </m:e>
          </m:nary>
          <m:r>
            <w:rPr>
              <w:rFonts w:ascii="Cambria Math" w:hAnsi="Cambria Math"/>
            </w:rPr>
            <m:t xml:space="preserve">+</m:t>
          </m:r>
          <m:r>
            <w:rPr>
              <w:rFonts w:ascii="Cambria Math" w:hAnsi="Cambria Math"/>
            </w:rPr>
            <m:t xml:space="preserve">β</m:t>
          </m:r>
          <m:r>
            <w:rPr>
              <w:rFonts w:ascii="Cambria Math" w:hAnsi="Cambria Math"/>
            </w:rPr>
            <m:t xml:space="preserve">m</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y</m:t>
              </m:r>
            </m:e>
          </m:d>
          <m:r>
            <w:rPr>
              <w:rFonts w:ascii="Cambria Math" w:hAnsi="Cambria Math"/>
            </w:rPr>
            <m:t xml:space="preserve">=</m:t>
          </m:r>
          <m:nary>
            <m:naryPr>
              <m:chr m:val="∑"/>
              <m:supHide m:val="1"/>
            </m:naryPr>
            <m:sub>
              <m:r>
                <w:rPr>
                  <w:rFonts w:ascii="Cambria Math" w:hAnsi="Cambria Math"/>
                </w:rPr>
                <m:t xml:space="preserve">t</m:t>
              </m:r>
            </m:sub>
            <m:sup/>
            <m:e>
              <m:sSup>
                <m:e>
                  <m:d>
                    <m:dPr>
                      <m:begChr m:val="("/>
                      <m:endChr m:val=")"/>
                    </m:dPr>
                    <m:e>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bar>
                        <m:barPr>
                          <m:pos m:val="top"/>
                        </m:barPr>
                        <m:e>
                          <m:r>
                            <w:rPr>
                              <w:rFonts w:ascii="Cambria Math" w:hAnsi="Cambria Math"/>
                            </w:rPr>
                            <m:t xml:space="preserve">y</m:t>
                          </m:r>
                        </m:e>
                      </m:bar>
                    </m:e>
                  </m:d>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8</w:t>
      </w:r>
      <w:r>
        <w:rPr/>
        <w:fldChar w:fldCharType="end"/>
      </w:r>
      <w:r>
        <w:rPr/>
        <w:t>. Función objetivo de PELT con coste cuadrático</w:t>
      </w:r>
    </w:p>
    <w:p>
      <w:pPr>
        <w:pStyle w:val="Normal"/>
        <w:keepNext w:val="true"/>
        <w:rPr/>
      </w:pPr>
      <w:r>
        <w:rPr/>
        <w:t>donde:</w:t>
      </w:r>
    </w:p>
    <w:p>
      <w:pPr>
        <w:pStyle w:val="ListParagraph"/>
        <w:keepNext w:val="true"/>
        <w:numPr>
          <w:ilvl w:val="0"/>
          <w:numId w:val="3"/>
        </w:numPr>
        <w:spacing w:before="0" w:after="0"/>
        <w:contextualSpacing/>
        <w:rPr/>
      </w:pPr>
      <w:r>
        <w:rPr>
          <w:i/>
        </w:rPr>
        <w:t>m</w:t>
      </w:r>
      <w:r>
        <w:rPr/>
        <w:t>: número de puntos de cambio; τ</w:t>
      </w:r>
      <w:r>
        <w:rPr>
          <w:vertAlign w:val="subscript"/>
        </w:rPr>
        <w:t>1</w:t>
      </w:r>
      <w:r>
        <w:rPr/>
        <w:t>, …, τ</w:t>
      </w:r>
      <w:r>
        <w:rPr>
          <w:vertAlign w:val="subscript"/>
        </w:rPr>
        <w:t>m</w:t>
      </w:r>
      <w:r>
        <w:rPr/>
        <w:t xml:space="preserve"> son sus posiciones en la serie</w:t>
      </w:r>
    </w:p>
    <w:p>
      <w:pPr>
        <w:pStyle w:val="ListParagraph"/>
        <w:keepNext w:val="true"/>
        <w:numPr>
          <w:ilvl w:val="0"/>
          <w:numId w:val="3"/>
        </w:numPr>
        <w:spacing w:before="0" w:after="0"/>
        <w:contextualSpacing/>
        <w:rPr/>
      </w:pPr>
      <w:r>
        <w:rPr>
          <w:i/>
        </w:rPr>
        <w:t>C</w:t>
      </w:r>
      <w:r>
        <w:rPr/>
        <w:t xml:space="preserve">(·): coste de un segmento; con coste cuadrático (L2) es la suma de desviaciones cuadráticas respecto a su media </w:t>
      </w:r>
      <w:r>
        <w:rPr>
          <w:i/>
        </w:rPr>
        <w:t>ȳ</w:t>
      </w:r>
    </w:p>
    <w:p>
      <w:pPr>
        <w:pStyle w:val="ListParagraph"/>
        <w:keepNext w:val="false"/>
        <w:numPr>
          <w:ilvl w:val="0"/>
          <w:numId w:val="3"/>
        </w:numPr>
        <w:spacing w:before="0" w:after="0"/>
        <w:contextualSpacing/>
        <w:rPr/>
      </w:pPr>
      <w:r>
        <w:rPr/>
        <w:t xml:space="preserve">β: penalización por cada punto de cambio adicional; en este trabajo β = 2 ln </w:t>
      </w:r>
      <w:r>
        <w:rPr>
          <w:i/>
        </w:rPr>
        <w:t>n</w:t>
      </w:r>
      <w:r>
        <w:rPr/>
        <w:t xml:space="preserve">, con </w:t>
      </w:r>
      <w:r>
        <w:rPr>
          <w:i/>
        </w:rPr>
        <w:t>n</w:t>
      </w:r>
      <w:r>
        <w:rPr/>
        <w:t xml:space="preserve"> la longitud de la serie</w:t>
      </w:r>
    </w:p>
    <w:p>
      <w:pPr>
        <w:pStyle w:val="Heading3"/>
        <w:keepNext w:val="true"/>
        <w:numPr>
          <w:ilvl w:val="2"/>
          <w:numId w:val="20"/>
        </w:numPr>
        <w:rPr/>
      </w:pPr>
      <w:r>
        <w:rPr/>
        <w:t>Clasificación supervisada con conjuntos de árboles</w:t>
      </w:r>
    </w:p>
    <w:p>
      <w:pPr>
        <w:pStyle w:val="Normal"/>
        <w:jc w:val="both"/>
        <w:rPr/>
      </w:pPr>
      <w:r>
        <w:rPr/>
        <w:t xml:space="preserve">En el aprendizaje supervisado, el modelo aprende la relación entre unas variables de entrada y una etiqueta conocida. Un árbol de decisión divide recursivamente el espacio de las variables con preguntas del tipo «¿variable </w:t>
      </w:r>
      <w:r>
        <w:rPr>
          <w:i/>
        </w:rPr>
        <w:t>j</w:t>
      </w:r>
      <w:r>
        <w:rPr/>
        <w:t xml:space="preserve"> ≤ umbral?», eligiendo en cada nodo la división que más reduce la impureza de las clases, medida habitualmente con el índice de Gini (Ecuación 9).</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m:t>
          </m:r>
          <m:r>
            <w:rPr>
              <w:rFonts w:ascii="Cambria Math" w:hAnsi="Cambria Math"/>
            </w:rPr>
            <m:t xml:space="preserve">1</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p>
                <m:e>
                  <m:sSub>
                    <m:e>
                      <m:r>
                        <w:rPr>
                          <w:rFonts w:ascii="Cambria Math" w:hAnsi="Cambria Math"/>
                        </w:rPr>
                        <m:t xml:space="preserve">p</m:t>
                      </m:r>
                    </m:e>
                    <m:sub>
                      <m:r>
                        <w:rPr>
                          <w:rFonts w:ascii="Cambria Math" w:hAnsi="Cambria Math"/>
                        </w:rPr>
                        <m:t xml:space="preserve">k</m:t>
                      </m:r>
                    </m:sub>
                  </m:sSub>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9</w:t>
      </w:r>
      <w:r>
        <w:rPr/>
        <w:fldChar w:fldCharType="end"/>
      </w:r>
      <w:r>
        <w:rPr/>
        <w:t>. Índice de impureza de Gini de un nodo</w:t>
      </w:r>
    </w:p>
    <w:p>
      <w:pPr>
        <w:pStyle w:val="Normal"/>
        <w:keepNext w:val="true"/>
        <w:rPr/>
      </w:pPr>
      <w:r>
        <w:rPr/>
        <w:t>donde:</w:t>
      </w:r>
    </w:p>
    <w:p>
      <w:pPr>
        <w:pStyle w:val="ListParagraph"/>
        <w:keepNext w:val="true"/>
        <w:numPr>
          <w:ilvl w:val="0"/>
          <w:numId w:val="3"/>
        </w:numPr>
        <w:spacing w:before="0" w:after="0"/>
        <w:contextualSpacing/>
        <w:rPr/>
      </w:pPr>
      <w:r>
        <w:rPr>
          <w:i/>
        </w:rPr>
        <w:t>K</w:t>
      </w:r>
      <w:r>
        <w:rPr/>
        <w:t>: número de clases (en este trabajo, cuatro estilos de nado)</w:t>
      </w:r>
    </w:p>
    <w:p>
      <w:pPr>
        <w:pStyle w:val="ListParagraph"/>
        <w:keepNext w:val="false"/>
        <w:numPr>
          <w:ilvl w:val="0"/>
          <w:numId w:val="3"/>
        </w:numPr>
        <w:spacing w:before="0" w:after="0"/>
        <w:contextualSpacing/>
        <w:rPr/>
      </w:pPr>
      <w:r>
        <w:rPr>
          <w:i/>
        </w:rPr>
        <w:t>p</w:t>
      </w:r>
      <w:r>
        <w:rPr>
          <w:vertAlign w:val="subscript"/>
        </w:rPr>
        <w:t>k</w:t>
      </w:r>
      <w:r>
        <w:rPr/>
        <w:t xml:space="preserve">: proporción de observaciones de la clase </w:t>
      </w:r>
      <w:r>
        <w:rPr>
          <w:i/>
        </w:rPr>
        <w:t>k</w:t>
      </w:r>
      <w:r>
        <w:rPr/>
        <w:t xml:space="preserve"> en el nodo; </w:t>
      </w:r>
      <w:r>
        <w:rPr>
          <w:i/>
        </w:rPr>
        <w:t>G</w:t>
      </w:r>
      <w:r>
        <w:rPr/>
        <w:t xml:space="preserve"> = 0 indica un nodo puro</w:t>
      </w:r>
    </w:p>
    <w:p>
      <w:pPr>
        <w:pStyle w:val="Normal"/>
        <w:jc w:val="both"/>
        <w:rPr/>
      </w:pPr>
      <w:r>
        <w:rPr/>
        <w:t>Un árbol aislado se ajusta en exceso a los datos de entrenamiento. El bosque aleatorio (</w:t>
      </w:r>
      <w:r>
        <w:rPr>
          <w:i/>
        </w:rPr>
        <w:t>Random Forest</w:t>
      </w:r>
      <w:r>
        <w:rPr/>
        <w:t>) combina muchos árboles entrenados sobre muestras con reemplazo de los datos (</w:t>
      </w:r>
      <w:r>
        <w:rPr>
          <w:i/>
        </w:rPr>
        <w:t>bagging</w:t>
      </w:r>
      <w:r>
        <w:rPr/>
        <w:t>) y con un subconjunto aleatorio de variables en cada división, y decide por votación; así reduce la varianza sin aumentar el sesgo [</w:t>
      </w:r>
      <w:hyperlink w:anchor="ref_breiman2001">
        <w:r>
          <w:rPr>
            <w:rStyle w:val="ListLabel316"/>
            <w:color w:val="1F4E79"/>
          </w:rPr>
          <w:t>27</w:t>
        </w:r>
      </w:hyperlink>
      <w:r>
        <w:rPr/>
        <w:t xml:space="preserve">]. Los métodos de </w:t>
      </w:r>
      <w:r>
        <w:rPr>
          <w:i/>
        </w:rPr>
        <w:t>boosting</w:t>
      </w:r>
      <w:r>
        <w:rPr/>
        <w:t>, como XGBoost, construyen los árboles de forma secuencial para corregir los errores de los anteriores [</w:t>
      </w:r>
      <w:hyperlink w:anchor="ref_chen2016">
        <w:r>
          <w:rPr>
            <w:rStyle w:val="ListLabel316"/>
            <w:color w:val="1F4E79"/>
          </w:rPr>
          <w:t>28</w:t>
        </w:r>
      </w:hyperlink>
      <w:r>
        <w:rPr/>
        <w:t>].</w:t>
      </w:r>
    </w:p>
    <w:p>
      <w:pPr>
        <w:pStyle w:val="Normal"/>
        <w:jc w:val="both"/>
        <w:rPr/>
      </w:pPr>
      <w:r>
        <w:rPr/>
        <w:t xml:space="preserve">La evaluación de un clasificador debe estimar su rendimiento con datos no vistos. La validación cruzada divide los datos en </w:t>
      </w:r>
      <w:r>
        <w:rPr>
          <w:i/>
        </w:rPr>
        <w:t>k</w:t>
      </w:r>
      <w:r>
        <w:rPr/>
        <w:t xml:space="preserve"> particiones y entrena y evalúa </w:t>
      </w:r>
      <w:r>
        <w:rPr>
          <w:i/>
        </w:rPr>
        <w:t>k</w:t>
      </w:r>
      <w:r>
        <w:rPr/>
        <w:t xml:space="preserve"> veces. Cuando las observaciones están agrupadas (por ejemplo, muchos fotogramas o ventanas de un mismo vídeo), la partición aleatoria provoca fuga de datos (</w:t>
      </w:r>
      <w:r>
        <w:rPr>
          <w:i/>
        </w:rPr>
        <w:t>data leakage</w:t>
      </w:r>
      <w:r>
        <w:rPr/>
        <w:t>): observaciones casi idénticas acaban en entrenamiento y en prueba, y el rendimiento se sobreestima [</w:t>
      </w:r>
      <w:hyperlink w:anchor="ref_kaufman2012">
        <w:r>
          <w:rPr>
            <w:rStyle w:val="ListLabel316"/>
            <w:color w:val="1F4E79"/>
          </w:rPr>
          <w:t>29</w:t>
        </w:r>
      </w:hyperlink>
      <w:r>
        <w:rPr/>
        <w:t>]. La validación cruzada agrupada (</w:t>
      </w:r>
      <w:r>
        <w:rPr>
          <w:i/>
        </w:rPr>
        <w:t>GroupKFold</w:t>
      </w:r>
      <w:r>
        <w:rPr/>
        <w:t>) asigna cada grupo completo a una única partición y evita este problema.</w:t>
      </w:r>
    </w:p>
    <w:p>
      <w:pPr>
        <w:pStyle w:val="Heading3"/>
        <w:keepNext w:val="true"/>
        <w:numPr>
          <w:ilvl w:val="2"/>
          <w:numId w:val="21"/>
        </w:numPr>
        <w:rPr/>
      </w:pPr>
      <w:r>
        <w:rPr/>
        <w:t>Inteligencia artificial explicable</w:t>
      </w:r>
    </w:p>
    <w:p>
      <w:pPr>
        <w:pStyle w:val="Normal"/>
        <w:jc w:val="both"/>
        <w:rPr/>
      </w:pPr>
      <w:r>
        <w:rPr/>
        <w:t>La inteligencia artificial explicable, XAI (</w:t>
      </w:r>
      <w:r>
        <w:rPr>
          <w:i/>
        </w:rPr>
        <w:t>explainable artificial intelligence</w:t>
      </w:r>
      <w:r>
        <w:rPr/>
        <w:t>), reúne métodos que permiten entender por qué un modelo produce una salida. Los valores de Shapley, procedentes de la teoría de juegos cooperativos [</w:t>
      </w:r>
      <w:hyperlink w:anchor="ref_shapley1953">
        <w:r>
          <w:rPr>
            <w:rStyle w:val="ListLabel316"/>
            <w:color w:val="1F4E79"/>
          </w:rPr>
          <w:t>30</w:t>
        </w:r>
      </w:hyperlink>
      <w:r>
        <w:rPr/>
        <w:t>], reparten el resultado de una coalición entre sus jugadores de forma justa. Aplicados a un modelo, los jugadores son las variables de entrada y el resultado es la predicción (Ecuación 10).</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φ</m:t>
              </m:r>
            </m:e>
            <m:sub>
              <m:r>
                <w:rPr>
                  <w:rFonts w:ascii="Cambria Math" w:hAnsi="Cambria Math"/>
                </w:rPr>
                <m:t xml:space="preserve">j</m:t>
              </m:r>
            </m:sub>
          </m:sSub>
          <m:r>
            <w:rPr>
              <w:rFonts w:ascii="Cambria Math" w:hAnsi="Cambria Math"/>
            </w:rPr>
            <m:t xml:space="preserve">=</m:t>
          </m:r>
          <m:nary>
            <m:naryPr>
              <m:chr m:val="∑"/>
              <m:supHide m:val="1"/>
            </m:naryPr>
            <m:sub>
              <m:r>
                <w:rPr>
                  <w:rFonts w:ascii="Cambria Math" w:hAnsi="Cambria Math"/>
                </w:rPr>
                <m:t xml:space="preserve">S</m:t>
              </m:r>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r>
                    <w:rPr>
                      <w:rFonts w:ascii="Cambria Math" w:hAnsi="Cambria Math"/>
                    </w:rPr>
                    <m:t xml:space="preserve">j</m:t>
                  </m:r>
                </m:e>
              </m:d>
            </m:sub>
            <m:sup/>
            <m:e>
              <m:f>
                <m:num>
                  <m:d>
                    <m:dPr>
                      <m:begChr m:val="|"/>
                      <m:endChr m:val="|"/>
                    </m:dPr>
                    <m:e>
                      <m:r>
                        <w:rPr>
                          <w:rFonts w:ascii="Cambria Math" w:hAnsi="Cambria Math"/>
                        </w:rPr>
                        <m:t xml:space="preserve">S</m:t>
                      </m:r>
                    </m:e>
                  </m:d>
                  <m:r>
                    <w:rPr>
                      <w:rFonts w:ascii="Cambria Math" w:hAnsi="Cambria Math"/>
                    </w:rPr>
                    <m:t xml:space="preserve">!</m:t>
                  </m:r>
                  <m:d>
                    <m:dPr>
                      <m:begChr m:val="("/>
                      <m:endChr m:val=")"/>
                    </m:dPr>
                    <m:e>
                      <m:d>
                        <m:dPr>
                          <m:begChr m:val="|"/>
                          <m:endChr m:val="|"/>
                        </m:dPr>
                        <m:e>
                          <m:r>
                            <w:rPr>
                              <w:rFonts w:ascii="Cambria Math" w:hAnsi="Cambria Math"/>
                            </w:rPr>
                            <m:t xml:space="preserve">F</m:t>
                          </m:r>
                        </m:e>
                      </m:d>
                      <m:r>
                        <w:rPr>
                          <w:rFonts w:ascii="Cambria Math" w:hAnsi="Cambria Math"/>
                        </w:rPr>
                        <m:t xml:space="preserve">−</m:t>
                      </m:r>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1</m:t>
                      </m:r>
                    </m:e>
                  </m:d>
                  <m:r>
                    <w:rPr>
                      <w:rFonts w:ascii="Cambria Math" w:hAnsi="Cambria Math"/>
                    </w:rPr>
                    <m:t xml:space="preserve">!</m:t>
                  </m:r>
                </m:num>
                <m:den>
                  <m:d>
                    <m:dPr>
                      <m:begChr m:val="|"/>
                      <m:endChr m:val="|"/>
                    </m:dPr>
                    <m:e>
                      <m:r>
                        <w:rPr>
                          <w:rFonts w:ascii="Cambria Math" w:hAnsi="Cambria Math"/>
                        </w:rPr>
                        <m:t xml:space="preserve">F</m:t>
                      </m:r>
                    </m:e>
                  </m:d>
                  <m:r>
                    <w:rPr>
                      <w:rFonts w:ascii="Cambria Math" w:hAnsi="Cambria Math"/>
                    </w:rPr>
                    <m:t xml:space="preserve">!</m:t>
                  </m:r>
                </m:den>
              </m:f>
              <m:d>
                <m:dPr>
                  <m:begChr m:val="["/>
                  <m:endChr m:val="]"/>
                </m:dPr>
                <m:e>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j</m:t>
                          </m:r>
                        </m:e>
                      </m:d>
                    </m:e>
                  </m:d>
                  <m:r>
                    <w:rPr>
                      <w:rFonts w:ascii="Cambria Math" w:hAnsi="Cambria Math"/>
                    </w:rPr>
                    <m:t xml:space="preserve">−</m:t>
                  </m:r>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e>
                  </m:d>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10</w:t>
      </w:r>
      <w:r>
        <w:rPr/>
        <w:fldChar w:fldCharType="end"/>
      </w:r>
      <w:r>
        <w:rPr/>
        <w:t>. Valor de Shapley de la variable j</w:t>
      </w:r>
    </w:p>
    <w:p>
      <w:pPr>
        <w:pStyle w:val="Normal"/>
        <w:keepNext w:val="true"/>
        <w:rPr/>
      </w:pPr>
      <w:r>
        <w:rPr/>
        <w:t>donde:</w:t>
      </w:r>
    </w:p>
    <w:p>
      <w:pPr>
        <w:pStyle w:val="ListParagraph"/>
        <w:keepNext w:val="true"/>
        <w:numPr>
          <w:ilvl w:val="0"/>
          <w:numId w:val="3"/>
        </w:numPr>
        <w:spacing w:before="0" w:after="0"/>
        <w:contextualSpacing/>
        <w:rPr/>
      </w:pPr>
      <w:r>
        <w:rPr/>
        <w:t>φ</w:t>
      </w:r>
      <w:r>
        <w:rPr>
          <w:vertAlign w:val="subscript"/>
        </w:rPr>
        <w:t>j</w:t>
      </w:r>
      <w:r>
        <w:rPr/>
        <w:t xml:space="preserve">: contribución de la variable </w:t>
      </w:r>
      <w:r>
        <w:rPr>
          <w:i/>
        </w:rPr>
        <w:t>j</w:t>
      </w:r>
      <w:r>
        <w:rPr/>
        <w:t xml:space="preserve"> a la predicción para la observación </w:t>
      </w:r>
      <w:r>
        <w:rPr>
          <w:i/>
        </w:rPr>
        <w:t>x</w:t>
      </w:r>
      <w:r>
        <w:rPr/>
        <w:t xml:space="preserve"> (en unidades de la salida del modelo)</w:t>
      </w:r>
    </w:p>
    <w:p>
      <w:pPr>
        <w:pStyle w:val="ListParagraph"/>
        <w:keepNext w:val="true"/>
        <w:numPr>
          <w:ilvl w:val="0"/>
          <w:numId w:val="3"/>
        </w:numPr>
        <w:spacing w:before="0" w:after="0"/>
        <w:contextualSpacing/>
        <w:rPr/>
      </w:pPr>
      <w:r>
        <w:rPr>
          <w:i/>
        </w:rPr>
        <w:t>F</w:t>
      </w:r>
      <w:r>
        <w:rPr/>
        <w:t xml:space="preserve">: conjunto de todas las variables; </w:t>
      </w:r>
      <w:r>
        <w:rPr>
          <w:i/>
        </w:rPr>
        <w:t>S</w:t>
      </w:r>
      <w:r>
        <w:rPr/>
        <w:t xml:space="preserve"> es un subconjunto que no contiene </w:t>
      </w:r>
      <w:r>
        <w:rPr>
          <w:i/>
        </w:rPr>
        <w:t>j</w:t>
      </w:r>
    </w:p>
    <w:p>
      <w:pPr>
        <w:pStyle w:val="ListParagraph"/>
        <w:keepNext w:val="false"/>
        <w:numPr>
          <w:ilvl w:val="0"/>
          <w:numId w:val="3"/>
        </w:numPr>
        <w:spacing w:before="0" w:after="0"/>
        <w:contextualSpacing/>
        <w:rPr/>
      </w:pPr>
      <w:r>
        <w:rPr>
          <w:i/>
        </w:rPr>
        <w:t>f</w:t>
      </w:r>
      <w:r>
        <w:rPr>
          <w:vertAlign w:val="subscript"/>
        </w:rPr>
        <w:t>x</w:t>
      </w:r>
      <w:r>
        <w:rPr/>
        <w:t>(</w:t>
      </w:r>
      <w:r>
        <w:rPr>
          <w:i/>
        </w:rPr>
        <w:t>S</w:t>
      </w:r>
      <w:r>
        <w:rPr/>
        <w:t xml:space="preserve">): predicción del modelo para </w:t>
      </w:r>
      <w:r>
        <w:rPr>
          <w:i/>
        </w:rPr>
        <w:t>x</w:t>
      </w:r>
      <w:r>
        <w:rPr/>
        <w:t xml:space="preserve"> cuando solo se conocen las variables de </w:t>
      </w:r>
      <w:r>
        <w:rPr>
          <w:i/>
        </w:rPr>
        <w:t>S</w:t>
      </w:r>
    </w:p>
    <w:p>
      <w:pPr>
        <w:pStyle w:val="Normal"/>
        <w:jc w:val="both"/>
        <w:rPr/>
      </w:pPr>
      <w:r>
        <w:rPr/>
        <w:t>SHAP (</w:t>
      </w:r>
      <w:r>
        <w:rPr>
          <w:i/>
        </w:rPr>
        <w:t>SHapley Additive exPlanations</w:t>
      </w:r>
      <w:r>
        <w:rPr/>
        <w:t>) [</w:t>
      </w:r>
      <w:hyperlink w:anchor="ref_lundberg2017">
        <w:r>
          <w:rPr>
            <w:rStyle w:val="ListLabel316"/>
            <w:color w:val="1F4E79"/>
          </w:rPr>
          <w:t>31</w:t>
        </w:r>
      </w:hyperlink>
      <w:r>
        <w:rPr/>
        <w:t>] expresa cada predicción como la suma de un valor base y de las contribuciones de cada variable (Ecuación 11), lo que permite explicaciones locales (una observación) y globales (todo el conjunto). Para modelos basados en árboles, TreeSHAP calcula los valores exactos en tiempo polinómico [</w:t>
      </w:r>
      <w:hyperlink w:anchor="ref_lundberg2020">
        <w:r>
          <w:rPr>
            <w:rStyle w:val="ListLabel316"/>
            <w:color w:val="1F4E79"/>
          </w:rPr>
          <w:t>32</w:t>
        </w:r>
      </w:hyperlink>
      <w:r>
        <w:rPr/>
        <w:t>], lo que lo hace aplicable tanto a Isolation Forest como al bosque aleatorio.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φ</m:t>
              </m:r>
            </m:e>
            <m:sub>
              <m:r>
                <w:rPr>
                  <w:rFonts w:ascii="Cambria Math" w:hAnsi="Cambria Math"/>
                </w:rPr>
                <m:t xml:space="preserve">0</m:t>
              </m:r>
            </m:sub>
          </m:sSub>
          <m:r>
            <w:rPr>
              <w:rFonts w:ascii="Cambria Math" w:hAnsi="Cambria Math"/>
            </w:rPr>
            <m:t xml:space="preserve">+</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φ</m:t>
                  </m:r>
                </m:e>
                <m:sub>
                  <m:r>
                    <w:rPr>
                      <w:rFonts w:ascii="Cambria Math" w:hAnsi="Cambria Math"/>
                    </w:rPr>
                    <m:t xml:space="preserve">j</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11</w:t>
      </w:r>
      <w:r>
        <w:rPr/>
        <w:fldChar w:fldCharType="end"/>
      </w:r>
      <w:r>
        <w:rPr/>
        <w:t>. Descomposición aditiva de SHAP</w:t>
      </w:r>
    </w:p>
    <w:p>
      <w:pPr>
        <w:pStyle w:val="Normal"/>
        <w:keepNext w:val="true"/>
        <w:rPr/>
      </w:pPr>
      <w:r>
        <w:rPr/>
        <w:t>donde:</w:t>
      </w:r>
    </w:p>
    <w:p>
      <w:pPr>
        <w:pStyle w:val="ListParagraph"/>
        <w:keepNext w:val="true"/>
        <w:numPr>
          <w:ilvl w:val="0"/>
          <w:numId w:val="3"/>
        </w:numPr>
        <w:spacing w:before="0" w:after="0"/>
        <w:contextualSpacing/>
        <w:rPr/>
      </w:pPr>
      <w:r>
        <w:rPr>
          <w:i/>
        </w:rPr>
        <w:t>f</w:t>
      </w:r>
      <w:r>
        <w:rPr/>
        <w:t>(</w:t>
      </w:r>
      <w:r>
        <w:rPr>
          <w:i/>
        </w:rPr>
        <w:t>x</w:t>
      </w:r>
      <w:r>
        <w:rPr/>
        <w:t xml:space="preserve">): salida del modelo para la observación </w:t>
      </w:r>
      <w:r>
        <w:rPr>
          <w:i/>
        </w:rPr>
        <w:t>x</w:t>
      </w:r>
    </w:p>
    <w:p>
      <w:pPr>
        <w:pStyle w:val="ListParagraph"/>
        <w:keepNext w:val="true"/>
        <w:numPr>
          <w:ilvl w:val="0"/>
          <w:numId w:val="3"/>
        </w:numPr>
        <w:spacing w:before="0" w:after="0"/>
        <w:contextualSpacing/>
        <w:rPr/>
      </w:pPr>
      <w:r>
        <w:rPr/>
        <w:t>φ</w:t>
      </w:r>
      <w:r>
        <w:rPr>
          <w:vertAlign w:val="subscript"/>
        </w:rPr>
        <w:t>0</w:t>
      </w:r>
      <w:r>
        <w:rPr/>
        <w:t>: valor base: salida media del modelo en los datos de referencia</w:t>
      </w:r>
    </w:p>
    <w:p>
      <w:pPr>
        <w:pStyle w:val="ListParagraph"/>
        <w:keepNext w:val="false"/>
        <w:numPr>
          <w:ilvl w:val="0"/>
          <w:numId w:val="3"/>
        </w:numPr>
        <w:spacing w:before="0" w:after="0"/>
        <w:contextualSpacing/>
        <w:rPr/>
      </w:pPr>
      <w:r>
        <w:rPr>
          <w:i/>
        </w:rPr>
        <w:t>M</w:t>
      </w:r>
      <w:r>
        <w:rPr/>
        <w:t>: número de variables de entrada</w:t>
      </w:r>
    </w:p>
    <w:p>
      <w:pPr>
        <w:pStyle w:val="Heading3"/>
        <w:keepNext w:val="true"/>
        <w:numPr>
          <w:ilvl w:val="2"/>
          <w:numId w:val="22"/>
        </w:numPr>
        <w:rPr/>
      </w:pPr>
      <w:r>
        <w:rPr/>
        <w:t>Procesado de señales temporales</w:t>
      </w:r>
    </w:p>
    <w:p>
      <w:pPr>
        <w:pStyle w:val="Normal"/>
        <w:jc w:val="both"/>
        <w:rPr/>
      </w:pPr>
      <w:r>
        <w:rPr/>
        <w:t>Las coordenadas de las articulaciones a lo largo del tiempo forman señales ruidosas. El filtro de Savitzky-Golay ajusta por mínimos cuadrados un polinomio de grado bajo en una ventana deslizante y conserva mejor los máximos y mínimos que una media móvil [</w:t>
      </w:r>
      <w:hyperlink w:anchor="ref_savitzky1964">
        <w:r>
          <w:rPr>
            <w:rStyle w:val="ListLabel316"/>
            <w:color w:val="1F4E79"/>
          </w:rPr>
          <w:t>33</w:t>
        </w:r>
      </w:hyperlink>
      <w:r>
        <w:rPr/>
        <w:t>]. El análisis de componentes principales, PCA (</w:t>
      </w:r>
      <w:r>
        <w:rPr>
          <w:i/>
        </w:rPr>
        <w:t>principal component analysis</w:t>
      </w:r>
      <w:r>
        <w:rPr/>
        <w:t>), obtiene las direcciones de máxima varianza de un conjunto de datos; la primera componente es la dirección en la que los datos se mueven más [</w:t>
      </w:r>
      <w:hyperlink w:anchor="ref_jolliffe2016">
        <w:r>
          <w:rPr>
            <w:rStyle w:val="ListLabel316"/>
            <w:color w:val="1F4E79"/>
          </w:rPr>
          <w:t>34</w:t>
        </w:r>
      </w:hyperlink>
      <w:r>
        <w:rPr/>
        <w:t>]. Ambas técnicas se emplean en la segmentación del nado en ciclos.</w:t>
      </w:r>
    </w:p>
    <w:p>
      <w:pPr>
        <w:pStyle w:val="Heading2"/>
        <w:numPr>
          <w:ilvl w:val="1"/>
          <w:numId w:val="23"/>
        </w:numPr>
        <w:rPr/>
      </w:pPr>
      <w:bookmarkStart w:id="78" w:name="__RefHeading___Toc9192_350176733"/>
      <w:bookmarkStart w:id="79" w:name="_Toc37845877"/>
      <w:bookmarkStart w:id="80" w:name="_Toc37758892"/>
      <w:bookmarkEnd w:id="78"/>
      <w:r>
        <w:rPr/>
        <w:t>Contexto y justificación</w:t>
      </w:r>
      <w:bookmarkEnd w:id="79"/>
      <w:bookmarkEnd w:id="80"/>
    </w:p>
    <w:p>
      <w:pPr>
        <w:pStyle w:val="Normal"/>
        <w:jc w:val="both"/>
        <w:rPr/>
      </w:pPr>
      <w:r>
        <w:rPr/>
        <w:t>El modelo hidrodinámico constituye conocimiento previo del dominio y no un componente de inteligencia artificial. Explica por qué la eficiencia técnica es determinante. La fuerza de arrastre que se opone al avance del nadador viene dada por la Ecuación 12.</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F</m:t>
              </m:r>
            </m:e>
            <m:sub>
              <m:r>
                <w:rPr>
                  <w:rFonts w:ascii="Cambria Math" w:hAnsi="Cambria Math"/>
                </w:rPr>
                <m:t xml:space="preserve">D</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2</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12</w:t>
      </w:r>
      <w:r>
        <w:rPr/>
        <w:fldChar w:fldCharType="end"/>
      </w:r>
      <w:r>
        <w:rPr/>
        <w:t>. Fuerza de arrastre hidrodinámico</w:t>
      </w:r>
    </w:p>
    <w:p>
      <w:pPr>
        <w:pStyle w:val="Normal"/>
        <w:keepNext w:val="true"/>
        <w:rPr/>
      </w:pPr>
      <w:r>
        <w:rPr/>
        <w:t>donde:</w:t>
      </w:r>
    </w:p>
    <w:p>
      <w:pPr>
        <w:pStyle w:val="ListParagraph"/>
        <w:keepNext w:val="true"/>
        <w:numPr>
          <w:ilvl w:val="0"/>
          <w:numId w:val="3"/>
        </w:numPr>
        <w:spacing w:before="0" w:after="0"/>
        <w:contextualSpacing/>
        <w:rPr/>
      </w:pPr>
      <w:r>
        <w:rPr>
          <w:i/>
        </w:rPr>
        <w:t>F</w:t>
      </w:r>
      <w:r>
        <w:rPr>
          <w:vertAlign w:val="subscript"/>
        </w:rPr>
        <w:t>D</w:t>
      </w:r>
      <w:r>
        <w:rPr/>
        <w:t>: fuerza de arrastre (N)</w:t>
      </w:r>
    </w:p>
    <w:p>
      <w:pPr>
        <w:pStyle w:val="ListParagraph"/>
        <w:keepNext w:val="true"/>
        <w:numPr>
          <w:ilvl w:val="0"/>
          <w:numId w:val="3"/>
        </w:numPr>
        <w:spacing w:before="0" w:after="0"/>
        <w:contextualSpacing/>
        <w:rPr/>
      </w:pPr>
      <w:r>
        <w:rPr/>
        <w:t>ρ: densidad del agua (≈ 1000 kg/m³)</w:t>
      </w:r>
    </w:p>
    <w:p>
      <w:pPr>
        <w:pStyle w:val="ListParagraph"/>
        <w:keepNext w:val="true"/>
        <w:numPr>
          <w:ilvl w:val="0"/>
          <w:numId w:val="3"/>
        </w:numPr>
        <w:spacing w:before="0" w:after="0"/>
        <w:contextualSpacing/>
        <w:rPr/>
      </w:pPr>
      <w:r>
        <w:rPr>
          <w:i/>
        </w:rPr>
        <w:t>C</w:t>
      </w:r>
      <w:r>
        <w:rPr>
          <w:vertAlign w:val="subscript"/>
        </w:rPr>
        <w:t>D</w:t>
      </w:r>
      <w:r>
        <w:rPr/>
        <w:t>: coeficiente de arrastre, adimensional, que depende de la forma y la posición del cuerpo</w:t>
      </w:r>
    </w:p>
    <w:p>
      <w:pPr>
        <w:pStyle w:val="ListParagraph"/>
        <w:keepNext w:val="true"/>
        <w:numPr>
          <w:ilvl w:val="0"/>
          <w:numId w:val="3"/>
        </w:numPr>
        <w:spacing w:before="0" w:after="0"/>
        <w:contextualSpacing/>
        <w:rPr/>
      </w:pPr>
      <w:r>
        <w:rPr>
          <w:i/>
        </w:rPr>
        <w:t>A</w:t>
      </w:r>
      <w:r>
        <w:rPr/>
        <w:t>: área frontal proyectada del nadador (m²)</w:t>
      </w:r>
    </w:p>
    <w:p>
      <w:pPr>
        <w:pStyle w:val="ListParagraph"/>
        <w:keepNext w:val="false"/>
        <w:numPr>
          <w:ilvl w:val="0"/>
          <w:numId w:val="3"/>
        </w:numPr>
        <w:spacing w:before="0" w:after="0"/>
        <w:contextualSpacing/>
        <w:rPr/>
      </w:pPr>
      <w:r>
        <w:rPr>
          <w:i/>
        </w:rPr>
        <w:t>v</w:t>
      </w:r>
      <w:r>
        <w:rPr/>
        <w:t>: velocidad de nado (m/s)</w:t>
      </w:r>
    </w:p>
    <w:p>
      <w:pPr>
        <w:pStyle w:val="Normal"/>
        <w:jc w:val="both"/>
        <w:rPr/>
      </w:pPr>
      <w:r>
        <w:rPr/>
        <w:t>La potencia necesaria para vencer el arrastre es el producto de la fuerza por la velocidad (Ecuación 13).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3</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13</w:t>
      </w:r>
      <w:r>
        <w:rPr/>
        <w:fldChar w:fldCharType="end"/>
      </w:r>
      <w:r>
        <w:rPr/>
        <w:t>. Potencia necesaria para vencer el arrastre</w:t>
      </w:r>
    </w:p>
    <w:p>
      <w:pPr>
        <w:pStyle w:val="Normal"/>
        <w:keepNext w:val="true"/>
        <w:rPr/>
      </w:pPr>
      <w:r>
        <w:rPr/>
        <w:t>donde:</w:t>
      </w:r>
    </w:p>
    <w:p>
      <w:pPr>
        <w:pStyle w:val="ListParagraph"/>
        <w:keepNext w:val="true"/>
        <w:numPr>
          <w:ilvl w:val="0"/>
          <w:numId w:val="3"/>
        </w:numPr>
        <w:spacing w:before="0" w:after="0"/>
        <w:contextualSpacing/>
        <w:rPr/>
      </w:pPr>
      <w:r>
        <w:rPr>
          <w:i/>
        </w:rPr>
        <w:t>P</w:t>
      </w:r>
      <w:r>
        <w:rPr/>
        <w:t>: potencia mecánica (W)</w:t>
      </w:r>
    </w:p>
    <w:p>
      <w:pPr>
        <w:pStyle w:val="ListParagraph"/>
        <w:keepNext w:val="false"/>
        <w:numPr>
          <w:ilvl w:val="0"/>
          <w:numId w:val="3"/>
        </w:numPr>
        <w:spacing w:before="0" w:after="0"/>
        <w:contextualSpacing/>
        <w:rPr/>
      </w:pPr>
      <w:r>
        <w:rPr/>
        <w:t>restantes símbolos: como en la Ecuación 12</w:t>
      </w:r>
    </w:p>
    <w:p>
      <w:pPr>
        <w:pStyle w:val="Normal"/>
        <w:jc w:val="both"/>
        <w:rPr/>
      </w:pPr>
      <w:r>
        <w:rPr/>
        <w:t xml:space="preserve">Por la dependencia cúbica, nadar un 10 % más rápido exige un 33 % más de potencia (1,1³ ≈ 1,33). Cuando la fatiga reduce la potencia disponible, el nadador solo mantiene la velocidad si reduce </w:t>
      </w:r>
      <w:r>
        <w:rPr>
          <w:i/>
        </w:rPr>
        <w:t>C</w:t>
      </w:r>
      <w:r>
        <w:rPr>
          <w:vertAlign w:val="subscript"/>
        </w:rPr>
        <w:t>D</w:t>
      </w:r>
      <w:r>
        <w:rPr/>
        <w:t xml:space="preserve"> o </w:t>
      </w:r>
      <w:r>
        <w:rPr>
          <w:i/>
        </w:rPr>
        <w:t>A</w:t>
      </w:r>
      <w:r>
        <w:rPr/>
        <w:t>, es decir, si mejora su técnica [</w:t>
      </w:r>
      <w:hyperlink w:anchor="ref_toussaint1992">
        <w:r>
          <w:rPr>
            <w:rStyle w:val="ListLabel316"/>
            <w:color w:val="1F4E79"/>
          </w:rPr>
          <w:t>4</w:t>
        </w:r>
      </w:hyperlink>
      <w:r>
        <w:rPr/>
        <w:t xml:space="preserve">]. Como </w:t>
      </w:r>
      <w:r>
        <w:rPr>
          <w:i/>
        </w:rPr>
        <w:t>C</w:t>
      </w:r>
      <w:r>
        <w:rPr>
          <w:vertAlign w:val="subscript"/>
        </w:rPr>
        <w:t>D</w:t>
      </w:r>
      <w:r>
        <w:rPr/>
        <w:t xml:space="preserve"> y </w:t>
      </w:r>
      <w:r>
        <w:rPr>
          <w:i/>
        </w:rPr>
        <w:t>A</w:t>
      </w:r>
      <w:r>
        <w:rPr/>
        <w:t xml:space="preserve"> varían entre nadadores y no pueden medirse con fiabilidad desde un vídeo 2D, la potencia no se emplea como variable de los modelos: se usan indicadores cinemáticos directamente medibles, interpretados a la luz de esta relación.</w:t>
      </w:r>
    </w:p>
    <w:p>
      <w:pPr>
        <w:pStyle w:val="Normal"/>
        <w:jc w:val="both"/>
        <w:rPr/>
      </w:pPr>
      <w:r>
        <w:rP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StrokeLab</w:t>
      </w:r>
      <w:r>
        <w:rPr/>
        <w:t>.</w:t>
      </w:r>
    </w:p>
    <w:p>
      <w:pPr>
        <w:pStyle w:val="Heading2"/>
        <w:numPr>
          <w:ilvl w:val="1"/>
          <w:numId w:val="24"/>
        </w:numPr>
        <w:rPr/>
      </w:pPr>
      <w:bookmarkStart w:id="81" w:name="__RefHeading___Toc9194_350176733"/>
      <w:bookmarkStart w:id="82" w:name="_Toc37845878"/>
      <w:bookmarkStart w:id="83" w:name="_Toc37758893"/>
      <w:bookmarkEnd w:id="81"/>
      <w:r>
        <w:rPr/>
        <w:t>Planteamiento del problema</w:t>
      </w:r>
      <w:bookmarkEnd w:id="82"/>
      <w:bookmarkEnd w:id="83"/>
    </w:p>
    <w:p>
      <w:pPr>
        <w:pStyle w:val="Normal"/>
        <w:jc w:val="both"/>
        <w:rPr/>
      </w:pPr>
      <w:r>
        <w:rPr/>
        <w:t>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pPr>
        <w:pStyle w:val="Heading1"/>
        <w:numPr>
          <w:ilvl w:val="0"/>
          <w:numId w:val="25"/>
        </w:numPr>
        <w:rPr/>
      </w:pPr>
      <w:bookmarkStart w:id="84" w:name="__RefHeading___Toc9196_350176733"/>
      <w:bookmarkStart w:id="85" w:name="_Toc37845879"/>
      <w:bookmarkStart w:id="86" w:name="_Toc37758894"/>
      <w:bookmarkEnd w:id="84"/>
      <w:r>
        <w:rPr/>
        <w:t>OBJETIVOS</w:t>
      </w:r>
      <w:bookmarkEnd w:id="85"/>
      <w:bookmarkEnd w:id="86"/>
    </w:p>
    <w:p>
      <w:pPr>
        <w:pStyle w:val="Heading2"/>
        <w:numPr>
          <w:ilvl w:val="1"/>
          <w:numId w:val="26"/>
        </w:numPr>
        <w:rPr/>
      </w:pPr>
      <w:bookmarkStart w:id="87" w:name="__RefHeading___Toc9198_350176733"/>
      <w:bookmarkStart w:id="88" w:name="_Toc37845880"/>
      <w:bookmarkStart w:id="89" w:name="_Toc37758895"/>
      <w:bookmarkEnd w:id="87"/>
      <w:r>
        <w:rPr/>
        <w:t>Objetivos generales</w:t>
      </w:r>
      <w:bookmarkEnd w:id="88"/>
      <w:bookmarkEnd w:id="89"/>
    </w:p>
    <w:p>
      <w:pPr>
        <w:pStyle w:val="Normal"/>
        <w:jc w:val="both"/>
        <w:rPr/>
      </w:pPr>
      <w:r>
        <w:rPr/>
        <w:t>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pPr>
        <w:pStyle w:val="Heading2"/>
        <w:numPr>
          <w:ilvl w:val="1"/>
          <w:numId w:val="27"/>
        </w:numPr>
        <w:rPr/>
      </w:pPr>
      <w:bookmarkStart w:id="90" w:name="__RefHeading___Toc9200_350176733"/>
      <w:bookmarkStart w:id="91" w:name="_Toc37845881"/>
      <w:bookmarkStart w:id="92" w:name="_Toc37758896"/>
      <w:bookmarkEnd w:id="90"/>
      <w:r>
        <w:rPr/>
        <w:t>Objetivos específicos</w:t>
      </w:r>
      <w:bookmarkEnd w:id="91"/>
      <w:bookmarkEnd w:id="92"/>
    </w:p>
    <w:p>
      <w:pPr>
        <w:pStyle w:val="ListParagraph"/>
        <w:numPr>
          <w:ilvl w:val="0"/>
          <w:numId w:val="3"/>
        </w:numPr>
        <w:spacing w:before="0" w:after="0"/>
        <w:contextualSpacing/>
        <w:jc w:val="both"/>
        <w:rPr/>
      </w:pPr>
      <w:r>
        <w:rPr/>
        <w:t>OE1. Comparar modelos de estimación de pose (YOLO en varios tamaños, MoveNet y MediaPipe) sobre vídeo subacuático real y en CPU, y seleccionar el más adecuado de forma justificada.</w:t>
      </w:r>
    </w:p>
    <w:p>
      <w:pPr>
        <w:pStyle w:val="ListParagraph"/>
        <w:numPr>
          <w:ilvl w:val="0"/>
          <w:numId w:val="3"/>
        </w:numPr>
        <w:spacing w:before="0" w:after="0"/>
        <w:contextualSpacing/>
        <w:jc w:val="both"/>
        <w:rPr/>
      </w:pPr>
      <w:r>
        <w:rPr/>
        <w:t>OE2. Elevar la pose a 3D para vistas frontales y oblicuas, y evaluar la reconstrucción 3D frente a la 2D.</w:t>
      </w:r>
    </w:p>
    <w:p>
      <w:pPr>
        <w:pStyle w:val="ListParagraph"/>
        <w:numPr>
          <w:ilvl w:val="0"/>
          <w:numId w:val="3"/>
        </w:numPr>
        <w:spacing w:before="0" w:after="0"/>
        <w:contextualSpacing/>
        <w:jc w:val="both"/>
        <w:rPr/>
      </w:pPr>
      <w:r>
        <w:rPr/>
        <w:t>OE3. Segmentar automáticamente el nado en ciclos de brazada y validar la frecuencia de ciclo frente a un conteo manual.</w:t>
      </w:r>
    </w:p>
    <w:p>
      <w:pPr>
        <w:pStyle w:val="ListParagraph"/>
        <w:numPr>
          <w:ilvl w:val="0"/>
          <w:numId w:val="3"/>
        </w:numPr>
        <w:spacing w:before="0" w:after="0"/>
        <w:contextualSpacing/>
        <w:jc w:val="both"/>
        <w:rPr/>
      </w:pPr>
      <w:r>
        <w:rPr/>
        <w:t>OE4. Calcular por ciclo indicadores de eficiencia y medidas articulares de codos, hombros, caderas, rodillas y pies.</w:t>
      </w:r>
    </w:p>
    <w:p>
      <w:pPr>
        <w:pStyle w:val="ListParagraph"/>
        <w:numPr>
          <w:ilvl w:val="0"/>
          <w:numId w:val="3"/>
        </w:numPr>
        <w:spacing w:before="0" w:after="0"/>
        <w:contextualSpacing/>
        <w:jc w:val="both"/>
        <w:rPr/>
      </w:pPr>
      <w:r>
        <w:rPr/>
        <w:t>OE5. Detectar el inicio de la fatiga como desviación sostenida respecto al patrón técnico inicial del propio nadador.</w:t>
      </w:r>
    </w:p>
    <w:p>
      <w:pPr>
        <w:pStyle w:val="ListParagraph"/>
        <w:numPr>
          <w:ilvl w:val="0"/>
          <w:numId w:val="3"/>
        </w:numPr>
        <w:spacing w:before="0" w:after="0"/>
        <w:contextualSpacing/>
        <w:jc w:val="both"/>
        <w:rPr/>
      </w:pPr>
      <w:r>
        <w:rPr/>
        <w:t>OE6. Atribuir cada detección a variables biomecánicas mediante valores de Shapley y expresarla en un texto comprensible para el entrenador.</w:t>
      </w:r>
    </w:p>
    <w:p>
      <w:pPr>
        <w:pStyle w:val="ListParagraph"/>
        <w:numPr>
          <w:ilvl w:val="0"/>
          <w:numId w:val="3"/>
        </w:numPr>
        <w:spacing w:before="0" w:after="0"/>
        <w:contextualSpacing/>
        <w:jc w:val="both"/>
        <w:rPr/>
      </w:pPr>
      <w:r>
        <w:rPr/>
        <w:t>OE7. Clasificar el estilo de nado con validación agrupada por vídeo.</w:t>
      </w:r>
    </w:p>
    <w:p>
      <w:pPr>
        <w:pStyle w:val="ListParagraph"/>
        <w:numPr>
          <w:ilvl w:val="0"/>
          <w:numId w:val="3"/>
        </w:numPr>
        <w:spacing w:before="0" w:after="0"/>
        <w:contextualSpacing/>
        <w:jc w:val="both"/>
        <w:rPr/>
      </w:pPr>
      <w:r>
        <w:rPr/>
        <w:t>OE8. Generar un vídeo anotado que muestre el estado de fatiga a lo largo del nado.</w:t>
      </w:r>
    </w:p>
    <w:p>
      <w:pPr>
        <w:pStyle w:val="ListParagraph"/>
        <w:numPr>
          <w:ilvl w:val="0"/>
          <w:numId w:val="3"/>
        </w:numPr>
        <w:spacing w:before="0" w:after="0"/>
        <w:contextualSpacing/>
        <w:jc w:val="both"/>
        <w:rPr/>
      </w:pPr>
      <w:r>
        <w:rPr/>
        <w:t>OE9. Evaluar el sistema con datos sintéticos de referencia conocida ante la ausencia de datos reales etiquetados.</w:t>
      </w:r>
    </w:p>
    <w:p>
      <w:pPr>
        <w:pStyle w:val="Heading2"/>
        <w:numPr>
          <w:ilvl w:val="1"/>
          <w:numId w:val="28"/>
        </w:numPr>
        <w:rPr/>
      </w:pPr>
      <w:bookmarkStart w:id="93" w:name="__RefHeading___Toc9202_350176733"/>
      <w:bookmarkStart w:id="94" w:name="_Toc37845882"/>
      <w:bookmarkStart w:id="95" w:name="_Toc37758897"/>
      <w:bookmarkEnd w:id="93"/>
      <w:r>
        <w:rPr/>
        <w:t>Beneficios del proyecto</w:t>
      </w:r>
      <w:bookmarkEnd w:id="94"/>
      <w:bookmarkEnd w:id="95"/>
    </w:p>
    <w:p>
      <w:pPr>
        <w:pStyle w:val="Normal"/>
        <w:jc w:val="both"/>
        <w:rPr/>
      </w:pPr>
      <w:r>
        <w:rPr/>
        <w:t>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pPr>
        <w:pStyle w:val="Normal"/>
        <w:rPr>
          <w:color w:val="FF0000"/>
        </w:rPr>
      </w:pPr>
      <w:r>
        <w:rPr>
          <w:color w:val="FF0000"/>
        </w:rPr>
      </w:r>
    </w:p>
    <w:p>
      <w:pPr>
        <w:pStyle w:val="Normal"/>
        <w:rPr>
          <w:lang w:eastAsia="es-ES"/>
        </w:rPr>
      </w:pPr>
      <w:r>
        <w:rPr>
          <w:lang w:eastAsia="es-ES"/>
        </w:rPr>
      </w:r>
    </w:p>
    <w:p>
      <w:pPr>
        <w:pStyle w:val="Heading1"/>
        <w:numPr>
          <w:ilvl w:val="0"/>
          <w:numId w:val="29"/>
        </w:numPr>
        <w:rPr/>
      </w:pPr>
      <w:bookmarkStart w:id="96" w:name="__RefHeading___Toc9204_350176733"/>
      <w:bookmarkStart w:id="97" w:name="_Toc37845883"/>
      <w:bookmarkStart w:id="98" w:name="_Toc37758898"/>
      <w:bookmarkEnd w:id="96"/>
      <w:r>
        <w:rPr/>
        <w:t>DESARROLLO DEL PROYECTO</w:t>
      </w:r>
      <w:bookmarkEnd w:id="97"/>
      <w:bookmarkEnd w:id="98"/>
    </w:p>
    <w:p>
      <w:pPr>
        <w:pStyle w:val="Heading2"/>
        <w:numPr>
          <w:ilvl w:val="1"/>
          <w:numId w:val="30"/>
        </w:numPr>
        <w:rPr/>
      </w:pPr>
      <w:bookmarkStart w:id="99" w:name="__RefHeading___Toc9206_350176733"/>
      <w:bookmarkStart w:id="100" w:name="_Toc37845884"/>
      <w:bookmarkStart w:id="101" w:name="_Toc37758899"/>
      <w:bookmarkEnd w:id="99"/>
      <w:r>
        <w:rPr/>
        <w:t>Planificación del proyecto</w:t>
      </w:r>
      <w:bookmarkEnd w:id="100"/>
      <w:bookmarkEnd w:id="101"/>
    </w:p>
    <w:p>
      <w:pPr>
        <w:pStyle w:val="Normal"/>
        <w:jc w:val="both"/>
        <w:rPr/>
      </w:pPr>
      <w:r>
        <w:rPr/>
        <w:t>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1 muestra la distribución temporal de las tareas.</w:t>
      </w:r>
    </w:p>
    <w:p>
      <w:pPr>
        <w:pStyle w:val="Normal"/>
        <w:keepNext w:val="true"/>
        <w:jc w:val="center"/>
        <w:rPr/>
      </w:pPr>
      <w:r>
        <w:rPr/>
        <w:drawing>
          <wp:inline distT="0" distB="0" distL="0" distR="0">
            <wp:extent cx="5400040" cy="226822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400040" cy="22682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w:t>
      </w:r>
      <w:r>
        <w:rPr/>
        <w:fldChar w:fldCharType="end"/>
      </w:r>
      <w:r>
        <w:rPr/>
        <w:t>. Planificación temporal del proyecto (diagrama de Gantt).</w:t>
      </w:r>
    </w:p>
    <w:p>
      <w:pPr>
        <w:pStyle w:val="Heading2"/>
        <w:numPr>
          <w:ilvl w:val="1"/>
          <w:numId w:val="31"/>
        </w:numPr>
        <w:rPr/>
      </w:pPr>
      <w:bookmarkStart w:id="102" w:name="__RefHeading___Toc9208_350176733"/>
      <w:bookmarkStart w:id="103" w:name="_Toc37845885"/>
      <w:bookmarkStart w:id="104" w:name="_Toc37758900"/>
      <w:bookmarkEnd w:id="102"/>
      <w:r>
        <w:rPr/>
        <w:t>Descripción de la solución, metodologías y herramientas empleadas</w:t>
      </w:r>
      <w:bookmarkEnd w:id="103"/>
      <w:bookmarkEnd w:id="104"/>
    </w:p>
    <w:p>
      <w:pPr>
        <w:pStyle w:val="Heading3"/>
        <w:keepNext w:val="true"/>
        <w:numPr>
          <w:ilvl w:val="2"/>
          <w:numId w:val="32"/>
        </w:numPr>
        <w:rPr/>
      </w:pPr>
      <w:r>
        <w:rPr/>
        <w:t>Arquitectura y modos de funcionamiento</w:t>
      </w:r>
    </w:p>
    <w:p>
      <w:pPr>
        <w:pStyle w:val="Normal"/>
        <w:jc w:val="both"/>
        <w:rPr/>
      </w:pPr>
      <w:r>
        <w:rPr>
          <w:i/>
        </w:rPr>
        <w:t>StrokeLab</w:t>
      </w:r>
      <w:r>
        <w:rPr/>
        <w:t xml:space="preserve"> se organiza en dos verticales de inteligencia artificial conectadas por un formato intermedio común: una secuencia de 17 puntos articulares por fotograma (Figura 2). La vertical de visión transforma el vídeo en puntos 2D y 3D; la vertical tabular transforma los puntos en ciclos, variables, eficiencia, inicio de la fatiga y su atribución.</w:t>
      </w:r>
    </w:p>
    <w:p>
      <w:pPr>
        <w:pStyle w:val="Normal"/>
        <w:keepNext w:val="true"/>
        <w:jc w:val="center"/>
        <w:rPr/>
      </w:pPr>
      <w:r>
        <w:rPr/>
        <w:drawing>
          <wp:inline distT="0" distB="0" distL="0" distR="0">
            <wp:extent cx="5400040" cy="329501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400040" cy="32950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2</w:t>
      </w:r>
      <w:r>
        <w:rPr/>
        <w:fldChar w:fldCharType="end"/>
      </w:r>
      <w:r>
        <w:rPr/>
        <w:t xml:space="preserve">. Arquitectura de </w:t>
      </w:r>
      <w:r>
        <w:rPr>
          <w:i/>
        </w:rPr>
        <w:t>StrokeLab</w:t>
      </w:r>
      <w:r>
        <w:rPr/>
        <w:t>: vertical de visión y vertical tabular.</w:t>
      </w:r>
    </w:p>
    <w:p>
      <w:pPr>
        <w:pStyle w:val="Normal"/>
        <w:jc w:val="both"/>
        <w:rPr/>
      </w:pPr>
      <w:r>
        <w:rPr/>
        <w:t xml:space="preserve">El sistema admite tres modos de entrada. El modo </w:t>
      </w:r>
      <w:r>
        <w:rPr>
          <w:b/>
        </w:rPr>
        <w:t>vídeo</w:t>
      </w:r>
      <w:r>
        <w:rPr/>
        <w:t xml:space="preserve"> recorre las dos verticales. El modo </w:t>
      </w:r>
      <w:r>
        <w:rPr>
          <w:b/>
        </w:rPr>
        <w:t>tabular</w:t>
      </w:r>
      <w:r>
        <w:rPr/>
        <w:t xml:space="preserve"> recibe variables por ciclo ya calculadas y entra directamente en la vertical tabular. El modo </w:t>
      </w:r>
      <w:r>
        <w:rPr>
          <w:b/>
        </w:rPr>
        <w:t>audio</w:t>
      </w:r>
      <w:r>
        <w:rPr/>
        <w:t xml:space="preserve"> (sonido de las brazadas y de la respiración) se plantea como trabajo futuro. Todo el proceso se ejecuta en local con un único programa (</w:t>
      </w:r>
      <w:r>
        <w:rPr>
          <w:rFonts w:ascii="Consolas" w:hAnsi="Consolas"/>
        </w:rPr>
        <w:t>analizar.py</w:t>
      </w:r>
      <w:r>
        <w:rPr/>
        <w:t xml:space="preserve">) o, para un conjunto de vídeos, con </w:t>
      </w:r>
      <w:r>
        <w:rPr>
          <w:rFonts w:ascii="Consolas" w:hAnsi="Consolas"/>
        </w:rPr>
        <w:t>lote.py</w:t>
      </w:r>
      <w:r>
        <w:rPr/>
        <w:t>.</w:t>
      </w:r>
    </w:p>
    <w:p>
      <w:pPr>
        <w:pStyle w:val="Heading3"/>
        <w:keepNext w:val="true"/>
        <w:numPr>
          <w:ilvl w:val="2"/>
          <w:numId w:val="33"/>
        </w:numPr>
        <w:rPr/>
      </w:pPr>
      <w:r>
        <w:rPr/>
        <w:t>Uso de modelos preentrenados frente a un modelo propio</w:t>
      </w:r>
    </w:p>
    <w:p>
      <w:pPr>
        <w:pStyle w:val="Normal"/>
        <w:jc w:val="both"/>
        <w:rPr/>
      </w:pPr>
      <w:r>
        <w:rPr/>
        <w:t>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hyperlink w:anchor="ref_lin2014">
        <w:r>
          <w:rPr>
            <w:rStyle w:val="ListLabel316"/>
            <w:color w:val="1F4E79"/>
          </w:rPr>
          <w:t>9</w:t>
        </w:r>
      </w:hyperlink>
      <w:r>
        <w:rPr/>
        <w:t>],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hyperlink w:anchor="ref_pan2010">
        <w:r>
          <w:rPr>
            <w:rStyle w:val="ListLabel316"/>
            <w:color w:val="1F4E79"/>
          </w:rPr>
          <w:t>8</w:t>
        </w:r>
      </w:hyperlink>
      <w:r>
        <w:rPr/>
        <w:t>].</w:t>
      </w:r>
    </w:p>
    <w:p>
      <w:pPr>
        <w:pStyle w:val="Normal"/>
        <w:jc w:val="both"/>
        <w:rPr/>
      </w:pPr>
      <w:r>
        <w:rPr/>
        <w:t>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Heading3"/>
        <w:keepNext w:val="true"/>
        <w:numPr>
          <w:ilvl w:val="2"/>
          <w:numId w:val="34"/>
        </w:numPr>
        <w:rPr/>
      </w:pPr>
      <w:r>
        <w:rPr/>
        <w:t>Vertical de visión: selección del modelo de pose</w:t>
      </w:r>
    </w:p>
    <w:p>
      <w:pPr>
        <w:pStyle w:val="Normal"/>
        <w:jc w:val="both"/>
        <w:rPr/>
      </w:pPr>
      <w:r>
        <w:rPr/>
        <w:t>Las métricas estándar de estimación de pose (OKS, PCK y mAP, Ecuaciones 3 a 5)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ListParagraph"/>
        <w:numPr>
          <w:ilvl w:val="0"/>
          <w:numId w:val="3"/>
        </w:numPr>
        <w:spacing w:before="0" w:after="0"/>
        <w:contextualSpacing/>
        <w:jc w:val="both"/>
        <w:rPr/>
      </w:pPr>
      <w:r>
        <w:rPr>
          <w:b/>
        </w:rPr>
        <w:t>Rendimiento de referencia publicado</w:t>
      </w:r>
      <w:r>
        <w:rPr/>
        <w:t xml:space="preserve"> en COCO para cada modelo (Tabla 1), que indica su precisión en condiciones estándar.</w:t>
      </w:r>
    </w:p>
    <w:p>
      <w:pPr>
        <w:pStyle w:val="ListParagraph"/>
        <w:numPr>
          <w:ilvl w:val="0"/>
          <w:numId w:val="3"/>
        </w:numPr>
        <w:spacing w:before="0" w:after="0"/>
        <w:contextualSpacing/>
        <w:jc w:val="both"/>
        <w:rPr/>
      </w:pPr>
      <w:r>
        <w:rPr>
          <w:b/>
        </w:rPr>
        <w:t>Validación orientada a la tarea</w:t>
      </w:r>
      <w:r>
        <w:rPr/>
        <w:t>: el error de la frecuencia de ciclo frente al conteo manual (Tabla 9), que mide de forma indirecta si la calidad de la pose es suficiente para el análisis.</w:t>
      </w:r>
    </w:p>
    <w:p>
      <w:pPr>
        <w:pStyle w:val="Normal"/>
        <w:jc w:val="both"/>
        <w:rPr/>
      </w:pPr>
      <w:r>
        <w:rPr/>
        <w:t>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2); ViTPose se descartó por su coste computacional en CPU.</w:t>
      </w:r>
    </w:p>
    <w:p>
      <w:pPr>
        <w:pStyle w:val="Caption"/>
        <w:keepNext w:val="true"/>
        <w:jc w:val="center"/>
        <w:rPr/>
      </w:pPr>
      <w:r>
        <w:rPr/>
        <w:t xml:space="preserve">Tabla </w:t>
      </w:r>
      <w:r>
        <w:rPr/>
        <w:fldChar w:fldCharType="begin"/>
      </w:r>
      <w:r>
        <w:rPr/>
        <w:instrText xml:space="preserve"> SEQ Tabla \* ARABIC </w:instrText>
      </w:r>
      <w:r>
        <w:rPr/>
        <w:fldChar w:fldCharType="separate"/>
      </w:r>
      <w:r>
        <w:rPr/>
        <w:t>2</w:t>
      </w:r>
      <w:r>
        <w:rPr/>
        <w:fldChar w:fldCharType="end"/>
      </w:r>
      <w:r>
        <w:rPr/>
        <w:t>. Comparativa en la CPU del ordenador personal (4 hilos) sobre la secuencia GX011614 (5120 × 2880 píxeles). La detección ronda el 36 % porque el nadador solo está en el encuadre durante parte del vídeo.</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0"/>
        <w:gridCol w:w="1305"/>
        <w:gridCol w:w="1247"/>
        <w:gridCol w:w="1361"/>
        <w:gridCol w:w="1247"/>
        <w:gridCol w:w="1360"/>
      </w:tblGrid>
      <w:tr>
        <w:trPr>
          <w:tblHeader w:val="true"/>
          <w:cantSplit w:val="true"/>
        </w:trPr>
        <w:tc>
          <w:tcPr>
            <w:tcW w:w="255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Modelo</w:t>
            </w:r>
          </w:p>
        </w:tc>
        <w:tc>
          <w:tcPr>
            <w:tcW w:w="130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Parámetros (M)</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FPS en CPU</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Detección (%)</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Confianza</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Puntuación</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YOLOv8n-Pose (elegido)</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6,6</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YOLO11n-Pose</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37,6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0,78</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0,29</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YOLOv8s-Pose</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0,74</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MoveNet Lightning</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35-48 (GPU)</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0,34-0,37 (GPU)</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255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MediaPipe Pose</w:t>
            </w:r>
          </w:p>
        </w:tc>
        <w:tc>
          <w:tcPr>
            <w:tcW w:w="130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bl>
    <w:p>
      <w:pPr>
        <w:pStyle w:val="Normal"/>
        <w:jc w:val="both"/>
        <w:rPr/>
      </w:pPr>
      <w:r>
        <w:rPr/>
      </w:r>
    </w:p>
    <w:p>
      <w:pPr>
        <w:pStyle w:val="Normal"/>
        <w:jc w:val="both"/>
        <w:rPr/>
      </w:pPr>
      <w:r>
        <w:rPr/>
        <w:t>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Heading3"/>
        <w:keepNext w:val="true"/>
        <w:numPr>
          <w:ilvl w:val="2"/>
          <w:numId w:val="35"/>
        </w:numPr>
        <w:rPr/>
      </w:pPr>
      <w:r>
        <w:rPr/>
        <w:t>Vertical de visión: limpieza y filtros anatómicos</w:t>
      </w:r>
    </w:p>
    <w:p>
      <w:pPr>
        <w:pStyle w:val="ListParagraph"/>
        <w:numPr>
          <w:ilvl w:val="0"/>
          <w:numId w:val="3"/>
        </w:numPr>
        <w:spacing w:before="0" w:after="0"/>
        <w:contextualSpacing/>
        <w:jc w:val="both"/>
        <w:rPr/>
      </w:pPr>
      <w:r>
        <w:rPr/>
        <w:t>Se descartan los puntos con confianza inferior a 0,30, se interpolan los huecos de hasta 0,4 s y cada tramo se suaviza con un filtro de Savitzky-Golay de ventana ≈ 0,2 s y grado 2 [</w:t>
      </w:r>
      <w:hyperlink w:anchor="ref_savitzky1964">
        <w:r>
          <w:rPr>
            <w:rStyle w:val="ListLabel316"/>
            <w:color w:val="1F4E79"/>
          </w:rPr>
          <w:t>33</w:t>
        </w:r>
      </w:hyperlink>
      <w:r>
        <w:rPr/>
        <w:t>].</w:t>
      </w:r>
    </w:p>
    <w:p>
      <w:pPr>
        <w:pStyle w:val="ListParagraph"/>
        <w:numPr>
          <w:ilvl w:val="0"/>
          <w:numId w:val="3"/>
        </w:numPr>
        <w:spacing w:before="0" w:after="0"/>
        <w:contextualSpacing/>
        <w:jc w:val="both"/>
        <w:rPr/>
      </w:pPr>
      <w:r>
        <w:rPr>
          <w:b/>
        </w:rPr>
        <w:t>Plausibilidad anatómica.</w:t>
      </w:r>
      <w:r>
        <w:rP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ListParagraph"/>
        <w:numPr>
          <w:ilvl w:val="0"/>
          <w:numId w:val="3"/>
        </w:numPr>
        <w:spacing w:before="0" w:after="0"/>
        <w:contextualSpacing/>
        <w:jc w:val="both"/>
        <w:rPr/>
      </w:pPr>
      <w:r>
        <w:rPr>
          <w:b/>
        </w:rPr>
        <w:t>Tronco girado.</w:t>
      </w:r>
      <w:r>
        <w:rP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ListParagraph"/>
        <w:numPr>
          <w:ilvl w:val="0"/>
          <w:numId w:val="3"/>
        </w:numPr>
        <w:spacing w:before="0" w:after="0"/>
        <w:contextualSpacing/>
        <w:jc w:val="both"/>
        <w:rPr/>
      </w:pPr>
      <w:r>
        <w:rPr>
          <w:b/>
        </w:rPr>
        <w:t>Tronco vertical en vista lateral.</w:t>
      </w:r>
      <w:r>
        <w:rPr/>
        <w:t xml:space="preserve"> Si el modelo coloca esqueletos verticales en la mayoría de los fotogramas, la orientación habitual resulta vertical y el filtro anterior no actúa. En vista lateral se descartan además los fotogramas con el tronco a más de 55° de la horizontal, imposibles en un nadador visto de lado. En la secuencia GX011610 (P1, mariposa) los siete ciclos obtenidos antes de este filtro procedían de esqueletos verticales (inclinación media de 84°) y desaparecen con él.</w:t>
      </w:r>
    </w:p>
    <w:p>
      <w:pPr>
        <w:pStyle w:val="Heading3"/>
        <w:keepNext w:val="true"/>
        <w:numPr>
          <w:ilvl w:val="2"/>
          <w:numId w:val="36"/>
        </w:numPr>
        <w:rPr/>
      </w:pPr>
      <w:r>
        <w:rPr/>
        <w:t>Vertical de visión: elevación a 3D</w:t>
      </w:r>
    </w:p>
    <w:p>
      <w:pPr>
        <w:pStyle w:val="Normal"/>
        <w:jc w:val="both"/>
        <w:rPr/>
      </w:pPr>
      <w:r>
        <w:rPr/>
        <w:t>La pose 2D se eleva a 3D con MotionBERT-Lite en CPU (≈ 25 s por vídeo). Como el modelo se entrenó con personas de pie [</w:t>
      </w:r>
      <w:hyperlink w:anchor="ref_ionescu2014">
        <w:r>
          <w:rPr>
            <w:rStyle w:val="ListLabel316"/>
            <w:color w:val="1F4E79"/>
          </w:rPr>
          <w:t>22</w:t>
        </w:r>
      </w:hyperlink>
      <w:r>
        <w:rPr/>
        <w:t xml:space="preserve">, </w:t>
      </w:r>
      <w:hyperlink w:anchor="ref_zhu2023">
        <w:r>
          <w:rPr>
            <w:rStyle w:val="ListLabel316"/>
            <w:color w:val="1F4E79"/>
          </w:rPr>
          <w:t>23</w:t>
        </w:r>
      </w:hyperlink>
      <w:r>
        <w:rPr/>
        <w:t>],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Heading3"/>
        <w:keepNext w:val="true"/>
        <w:numPr>
          <w:ilvl w:val="2"/>
          <w:numId w:val="37"/>
        </w:numPr>
        <w:rPr/>
      </w:pPr>
      <w:r>
        <w:rPr/>
        <w:t>Vertical tabular: ángulos articulares</w:t>
      </w:r>
    </w:p>
    <w:p>
      <w:pPr>
        <w:pStyle w:val="Normal"/>
        <w:jc w:val="both"/>
        <w:rPr/>
      </w:pPr>
      <w:r>
        <w:rPr/>
        <w:t>Los ángulos articulares se calculan a partir de tres puntos consecutivos de la cadena cinemática (Ecuación 14): por ejemplo, el codo con hombro, codo y muñeca.</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θ</m:t>
          </m:r>
          <m:r>
            <w:rPr>
              <w:rFonts w:ascii="Cambria Math" w:hAnsi="Cambria Math"/>
            </w:rPr>
            <m:t xml:space="preserve">=</m:t>
          </m:r>
          <m:r>
            <w:rPr>
              <w:rFonts w:ascii="Cambria Math" w:hAnsi="Cambria Math"/>
            </w:rPr>
            <m:t xml:space="preserve">arccos</m:t>
          </m:r>
          <m:d>
            <m:dPr>
              <m:begChr m:val="("/>
              <m:endChr m:val=")"/>
            </m:dPr>
            <m:e>
              <m:f>
                <m:num>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num>
                <m:den>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den>
              </m:f>
            </m:e>
          </m:d>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14</w:t>
      </w:r>
      <w:r>
        <w:rPr/>
        <w:fldChar w:fldCharType="end"/>
      </w:r>
      <w:r>
        <w:rPr/>
        <w:t>. Ángulo articular en el punto b</w:t>
      </w:r>
    </w:p>
    <w:p>
      <w:pPr>
        <w:pStyle w:val="Normal"/>
        <w:keepNext w:val="true"/>
        <w:rPr/>
      </w:pPr>
      <w:r>
        <w:rPr/>
        <w:t>donde:</w:t>
      </w:r>
    </w:p>
    <w:p>
      <w:pPr>
        <w:pStyle w:val="ListParagraph"/>
        <w:keepNext w:val="true"/>
        <w:numPr>
          <w:ilvl w:val="0"/>
          <w:numId w:val="3"/>
        </w:numPr>
        <w:spacing w:before="0" w:after="0"/>
        <w:contextualSpacing/>
        <w:rPr/>
      </w:pPr>
      <w:r>
        <w:rPr/>
        <w:t>θ: ángulo de la articulación (grados, °); 180° corresponde al segmento completamente extendido</w:t>
      </w:r>
    </w:p>
    <w:p>
      <w:pPr>
        <w:pStyle w:val="ListParagraph"/>
        <w:keepNext w:val="false"/>
        <w:numPr>
          <w:ilvl w:val="0"/>
          <w:numId w:val="3"/>
        </w:numPr>
        <w:spacing w:before="0" w:after="0"/>
        <w:contextualSpacing/>
        <w:rPr/>
      </w:pPr>
      <w:r>
        <w:rPr>
          <w:i/>
        </w:rPr>
        <w:t>a</w:t>
      </w:r>
      <w:r>
        <w:rPr/>
        <w:t xml:space="preserve">, </w:t>
      </w:r>
      <w:r>
        <w:rPr>
          <w:i/>
        </w:rPr>
        <w:t>b</w:t>
      </w:r>
      <w:r>
        <w:rPr/>
        <w:t xml:space="preserve">, </w:t>
      </w:r>
      <w:r>
        <w:rPr>
          <w:i/>
        </w:rPr>
        <w:t>c</w:t>
      </w:r>
      <w:r>
        <w:rPr/>
        <w:t xml:space="preserve">: posiciones 2D o 3D de tres articulaciones consecutivas, con </w:t>
      </w:r>
      <w:r>
        <w:rPr>
          <w:i/>
        </w:rPr>
        <w:t>b</w:t>
      </w:r>
      <w:r>
        <w:rPr/>
        <w:t xml:space="preserve"> la articulación medida (píxeles o unidades del modelo 3D)</w:t>
      </w:r>
    </w:p>
    <w:p>
      <w:pPr>
        <w:pStyle w:val="Normal"/>
        <w:jc w:val="both"/>
        <w:rPr/>
      </w:pPr>
      <w:r>
        <w:rPr/>
        <w:t>Los valores mínimos y máximos de cada ciclo se toman como percentiles 10 y 90: con el mínimo absoluto, un único fotograma mal detectado fijaba el valor del ciclo (en GX011614 daba flexiones de rodilla de 12°).</w:t>
      </w:r>
    </w:p>
    <w:p>
      <w:pPr>
        <w:pStyle w:val="Heading3"/>
        <w:keepNext w:val="true"/>
        <w:numPr>
          <w:ilvl w:val="2"/>
          <w:numId w:val="38"/>
        </w:numPr>
        <w:rPr/>
      </w:pPr>
      <w:r>
        <w:rPr/>
        <w:t>Vertical tabular: segmentación en ciclos de brazada</w:t>
      </w:r>
    </w:p>
    <w:p>
      <w:pPr>
        <w:pStyle w:val="Normal"/>
        <w:jc w:val="both"/>
        <w:rPr/>
      </w:pPr>
      <w:r>
        <w:rPr/>
        <w:t xml:space="preserve">El análisis se realiza por ciclo de brazada y no por fotograma: cada observación tiene significado biomecánico y se reduce la fuerte correlación entre fotogramas consecutivos. En </w:t>
      </w:r>
      <w:r>
        <w:rPr>
          <w:b/>
        </w:rPr>
        <w:t>vista lateral</w:t>
      </w:r>
      <w:r>
        <w:rPr/>
        <w:t>, la señal para contar brazadas es la profundidad de la mano más profunda respecto al eje del cuerpo (Ecuación 15).</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máx</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D</m:t>
                  </m:r>
                </m:e>
              </m:d>
            </m:sub>
          </m:sSub>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15</w:t>
      </w:r>
      <w:r>
        <w:rPr/>
        <w:fldChar w:fldCharType="end"/>
      </w:r>
      <w:r>
        <w:rPr/>
        <w:t>. Señal de profundidad de la mano en vista lateral</w:t>
      </w:r>
    </w:p>
    <w:p>
      <w:pPr>
        <w:pStyle w:val="Normal"/>
        <w:keepNext w:val="true"/>
        <w:rPr/>
      </w:pPr>
      <w:r>
        <w:rPr/>
        <w:t>donde:</w:t>
      </w:r>
    </w:p>
    <w:p>
      <w:pPr>
        <w:pStyle w:val="ListParagraph"/>
        <w:keepNext w:val="true"/>
        <w:numPr>
          <w:ilvl w:val="0"/>
          <w:numId w:val="3"/>
        </w:numPr>
        <w:spacing w:before="0" w:after="0"/>
        <w:contextualSpacing/>
        <w:rPr/>
      </w:pPr>
      <w:r>
        <w:rPr>
          <w:i/>
        </w:rPr>
        <w:t>p</w:t>
      </w:r>
      <w:r>
        <w:rPr/>
        <w:t>(</w:t>
      </w:r>
      <w:r>
        <w:rPr>
          <w:i/>
        </w:rPr>
        <w:t>t</w:t>
      </w:r>
      <w:r>
        <w:rPr/>
        <w:t xml:space="preserve">): profundidad de la mano en el instante </w:t>
      </w:r>
      <w:r>
        <w:rPr>
          <w:i/>
        </w:rPr>
        <w:t>t</w:t>
      </w:r>
      <w:r>
        <w:rPr/>
        <w:t>, en longitudes de tronco (adimensional)</w:t>
      </w:r>
    </w:p>
    <w:p>
      <w:pPr>
        <w:pStyle w:val="ListParagraph"/>
        <w:keepNext w:val="true"/>
        <w:numPr>
          <w:ilvl w:val="0"/>
          <w:numId w:val="3"/>
        </w:numPr>
        <w:spacing w:before="0" w:after="0"/>
        <w:contextualSpacing/>
        <w:rPr/>
      </w:pPr>
      <w:r>
        <w:rPr>
          <w:i/>
        </w:rPr>
        <w:t>w</w:t>
      </w:r>
      <w:r>
        <w:rPr>
          <w:vertAlign w:val="subscript"/>
        </w:rPr>
        <w:t>j</w:t>
      </w:r>
      <w:r>
        <w:rPr/>
        <w:t>(</w:t>
      </w:r>
      <w:r>
        <w:rPr>
          <w:i/>
        </w:rPr>
        <w:t>t</w:t>
      </w:r>
      <w:r>
        <w:rPr/>
        <w:t>): posición 2D de la muñeca izquierda (I) o derecha (D) (píxeles)</w:t>
      </w:r>
    </w:p>
    <w:p>
      <w:pPr>
        <w:pStyle w:val="ListParagraph"/>
        <w:keepNext w:val="true"/>
        <w:numPr>
          <w:ilvl w:val="0"/>
          <w:numId w:val="3"/>
        </w:numPr>
        <w:spacing w:before="0" w:after="0"/>
        <w:contextualSpacing/>
        <w:rPr/>
      </w:pPr>
      <w:r>
        <w:rPr>
          <w:i/>
        </w:rPr>
        <w:t>h</w:t>
      </w:r>
      <w:r>
        <w:rPr/>
        <w:t>(</w:t>
      </w:r>
      <w:r>
        <w:rPr>
          <w:i/>
        </w:rPr>
        <w:t>t</w:t>
      </w:r>
      <w:r>
        <w:rPr/>
        <w:t>): punto medio de los hombros (píxeles)</w:t>
      </w:r>
    </w:p>
    <w:p>
      <w:pPr>
        <w:pStyle w:val="ListParagraph"/>
        <w:keepNext w:val="true"/>
        <w:numPr>
          <w:ilvl w:val="0"/>
          <w:numId w:val="3"/>
        </w:numPr>
        <w:spacing w:before="0" w:after="0"/>
        <w:contextualSpacing/>
        <w:rPr/>
      </w:pPr>
      <w:r>
        <w:rPr>
          <w:i/>
        </w:rPr>
        <w:t>n</w:t>
      </w:r>
      <w:r>
        <w:rPr/>
        <w:t>(</w:t>
      </w:r>
      <w:r>
        <w:rPr>
          <w:i/>
        </w:rPr>
        <w:t>t</w:t>
      </w:r>
      <w:r>
        <w:rPr/>
        <w:t>): vector unitario perpendicular al eje del tronco orientado hacia el fondo de la piscina</w:t>
      </w:r>
    </w:p>
    <w:p>
      <w:pPr>
        <w:pStyle w:val="ListParagraph"/>
        <w:keepNext w:val="false"/>
        <w:numPr>
          <w:ilvl w:val="0"/>
          <w:numId w:val="3"/>
        </w:numPr>
        <w:spacing w:before="0" w:after="0"/>
        <w:contextualSpacing/>
        <w:rPr/>
      </w:pPr>
      <w:r>
        <w:rPr>
          <w:i/>
        </w:rPr>
        <w:t>L</w:t>
      </w:r>
      <w:r>
        <w:rPr/>
        <w:t>(</w:t>
      </w:r>
      <w:r>
        <w:rPr>
          <w:i/>
        </w:rPr>
        <w:t>t</w:t>
      </w:r>
      <w:r>
        <w:rPr/>
        <w:t>): longitud del tronco, distancia entre el punto medio de los hombros y el de las caderas (píxeles)</w:t>
      </w:r>
    </w:p>
    <w:p>
      <w:pPr>
        <w:pStyle w:val="Normal"/>
        <w:jc w:val="both"/>
        <w:rPr/>
      </w:pPr>
      <w:r>
        <w:rPr/>
        <w:t xml:space="preserve">En cada brazada la mano desciende por debajo del cuerpo durante la tracción y vuelve a subir, de modo que cada máximo de </w:t>
      </w:r>
      <w:r>
        <w:rPr>
          <w:i/>
        </w:rPr>
        <w:t>p</w:t>
      </w:r>
      <w:r>
        <w:rPr/>
        <w:t>(</w:t>
      </w:r>
      <w:r>
        <w:rPr>
          <w:i/>
        </w:rPr>
        <w:t>t</w:t>
      </w:r>
      <w:r>
        <w:rPr/>
        <w:t>) corresponde a una brazada (Figura 3).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pStyle w:val="Normal"/>
        <w:keepNext w:val="true"/>
        <w:jc w:val="center"/>
        <w:rPr/>
      </w:pPr>
      <w:r>
        <w:rPr/>
        <w:drawing>
          <wp:inline distT="0" distB="0" distL="0" distR="0">
            <wp:extent cx="5400040" cy="172783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5400040" cy="172783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3</w:t>
      </w:r>
      <w:r>
        <w:rPr/>
        <w:fldChar w:fldCharType="end"/>
      </w:r>
      <w:r>
        <w:rPr/>
        <w:t>. Señal de profundidad de la mano y brazadas detectadas (participante P1, secuencia GX011614).</w:t>
      </w:r>
    </w:p>
    <w:p>
      <w:pPr>
        <w:pStyle w:val="Normal"/>
        <w:jc w:val="both"/>
        <w:rPr/>
      </w:pPr>
      <w:r>
        <w:rPr/>
        <w:t xml:space="preserve">En </w:t>
      </w:r>
      <w:r>
        <w:rPr>
          <w:b/>
        </w:rPr>
        <w:t>vista frontal</w:t>
      </w:r>
      <w:r>
        <w:rP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16).</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q</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h</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16</w:t>
      </w:r>
      <w:r>
        <w:rPr/>
        <w:fldChar w:fldCharType="end"/>
      </w:r>
      <w:r>
        <w:rPr/>
        <w:t>. Señal de recorrido de la muñeca en vista frontal</w:t>
      </w:r>
    </w:p>
    <w:p>
      <w:pPr>
        <w:pStyle w:val="Normal"/>
        <w:keepNext w:val="true"/>
        <w:rPr/>
      </w:pPr>
      <w:r>
        <w:rPr/>
        <w:t>donde:</w:t>
      </w:r>
    </w:p>
    <w:p>
      <w:pPr>
        <w:pStyle w:val="ListParagraph"/>
        <w:keepNext w:val="true"/>
        <w:numPr>
          <w:ilvl w:val="0"/>
          <w:numId w:val="3"/>
        </w:numPr>
        <w:spacing w:before="0" w:after="0"/>
        <w:contextualSpacing/>
        <w:rPr/>
      </w:pPr>
      <w:r>
        <w:rPr>
          <w:i/>
        </w:rPr>
        <w:t>q</w:t>
      </w:r>
      <w:r>
        <w:rPr>
          <w:vertAlign w:val="subscript"/>
        </w:rPr>
        <w:t>j</w:t>
      </w:r>
      <w:r>
        <w:rPr/>
        <w:t>(</w:t>
      </w:r>
      <w:r>
        <w:rPr>
          <w:i/>
        </w:rPr>
        <w:t>t</w:t>
      </w:r>
      <w:r>
        <w:rPr/>
        <w:t xml:space="preserve">): recorrido de la muñeca </w:t>
      </w:r>
      <w:r>
        <w:rPr>
          <w:i/>
        </w:rPr>
        <w:t>j</w:t>
      </w:r>
      <w:r>
        <w:rPr/>
        <w:t xml:space="preserve"> en anchos de hombros (adimensional)</w:t>
      </w:r>
    </w:p>
    <w:p>
      <w:pPr>
        <w:pStyle w:val="ListParagraph"/>
        <w:keepNext w:val="true"/>
        <w:numPr>
          <w:ilvl w:val="0"/>
          <w:numId w:val="3"/>
        </w:numPr>
        <w:spacing w:before="0" w:after="0"/>
        <w:contextualSpacing/>
        <w:rPr/>
      </w:pPr>
      <w:r>
        <w:rPr>
          <w:i/>
        </w:rPr>
        <w:t>u</w:t>
      </w:r>
      <w:r>
        <w:rPr>
          <w:vertAlign w:val="subscript"/>
        </w:rPr>
        <w:t>1</w:t>
      </w:r>
      <w:r>
        <w:rPr/>
        <w:t>: vector unitario de la primera componente principal del movimiento de las muñecas, orientado hacia abajo en la imagen</w:t>
      </w:r>
    </w:p>
    <w:p>
      <w:pPr>
        <w:pStyle w:val="ListParagraph"/>
        <w:keepNext w:val="false"/>
        <w:numPr>
          <w:ilvl w:val="0"/>
          <w:numId w:val="3"/>
        </w:numPr>
        <w:spacing w:before="0" w:after="0"/>
        <w:contextualSpacing/>
        <w:rPr/>
      </w:pPr>
      <w:r>
        <w:rPr>
          <w:i/>
        </w:rPr>
        <w:t>W</w:t>
      </w:r>
      <w:r>
        <w:rPr>
          <w:vertAlign w:val="subscript"/>
        </w:rPr>
        <w:t>h</w:t>
      </w:r>
      <w:r>
        <w:rPr/>
        <w:t>: ancho de hombros mediano en el vídeo (píxeles), más estable de frente que el tronco</w:t>
      </w:r>
    </w:p>
    <w:p>
      <w:pPr>
        <w:pStyle w:val="Normal"/>
        <w:jc w:val="both"/>
        <w:rPr/>
      </w:pPr>
      <w:r>
        <w:rPr/>
        <w:t>El estilo de nado determina cuántas brazadas forman un ciclo y el rango de tiempo plausible entre brazadas (Tabla 3).</w:t>
      </w:r>
    </w:p>
    <w:p>
      <w:pPr>
        <w:pStyle w:val="Caption"/>
        <w:keepNext w:val="true"/>
        <w:jc w:val="center"/>
        <w:rPr/>
      </w:pPr>
      <w:r>
        <w:rPr/>
        <w:t xml:space="preserve">Tabla </w:t>
      </w:r>
      <w:r>
        <w:rPr/>
        <w:fldChar w:fldCharType="begin"/>
      </w:r>
      <w:r>
        <w:rPr/>
        <w:instrText xml:space="preserve"> SEQ Tabla \* ARABIC </w:instrText>
      </w:r>
      <w:r>
        <w:rPr/>
        <w:fldChar w:fldCharType="separate"/>
      </w:r>
      <w:r>
        <w:rPr/>
        <w:t>3</w:t>
      </w:r>
      <w:r>
        <w:rPr/>
        <w:fldChar w:fldCharType="end"/>
      </w:r>
      <w:r>
        <w:rPr/>
        <w:t>. Definición del ciclo de brazada según el estilo de nado.</w:t>
      </w:r>
    </w:p>
    <w:tbl>
      <w:tblPr>
        <w:tblStyle w:val="Tablaconcuadrcula"/>
        <w:tblW w:w="79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836"/>
        <w:gridCol w:w="2835"/>
      </w:tblGrid>
      <w:tr>
        <w:trPr>
          <w:tblHeader w:val="true"/>
          <w:cantSplit w:val="true"/>
        </w:trPr>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w:t>
            </w:r>
          </w:p>
        </w:tc>
        <w:tc>
          <w:tcPr>
            <w:tcW w:w="28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Brazadas por ciclo</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Tiempo entre brazadas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0,35-1,0 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Espalda</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0,35-1,2 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Mariposa</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0,7-2,0 s</w:t>
            </w:r>
          </w:p>
        </w:tc>
      </w:tr>
      <w:tr>
        <w:trPr>
          <w:cantSplit w:val="true"/>
        </w:trPr>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8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0,7-2,4 s</w:t>
            </w:r>
          </w:p>
        </w:tc>
      </w:tr>
    </w:tbl>
    <w:p>
      <w:pPr>
        <w:pStyle w:val="Normal"/>
        <w:jc w:val="both"/>
        <w:rPr/>
      </w:pPr>
      <w:r>
        <w:rPr/>
      </w:r>
    </w:p>
    <w:p>
      <w:pPr>
        <w:pStyle w:val="Heading3"/>
        <w:keepNext w:val="true"/>
        <w:numPr>
          <w:ilvl w:val="2"/>
          <w:numId w:val="39"/>
        </w:numPr>
        <w:rPr/>
      </w:pPr>
      <w:r>
        <w:rPr/>
        <w:t>Vertical tabular: variables por ciclo</w:t>
      </w:r>
    </w:p>
    <w:p>
      <w:pPr>
        <w:pStyle w:val="Normal"/>
        <w:jc w:val="both"/>
        <w:rPr/>
      </w:pPr>
      <w:r>
        <w:rPr/>
        <w:t>Para cada ciclo válido (duración entre 0,6 y 3,0 s y como máximo un 30 % de datos ausentes) se calculan las variables de la Tabla 4.</w:t>
      </w:r>
    </w:p>
    <w:p>
      <w:pPr>
        <w:pStyle w:val="Caption"/>
        <w:keepNext w:val="true"/>
        <w:jc w:val="center"/>
        <w:rPr/>
      </w:pPr>
      <w:r>
        <w:rPr/>
        <w:t xml:space="preserve">Tabla </w:t>
      </w:r>
      <w:r>
        <w:rPr/>
        <w:fldChar w:fldCharType="begin"/>
      </w:r>
      <w:r>
        <w:rPr/>
        <w:instrText xml:space="preserve"> SEQ Tabla \* ARABIC </w:instrText>
      </w:r>
      <w:r>
        <w:rPr/>
        <w:fldChar w:fldCharType="separate"/>
      </w:r>
      <w:r>
        <w:rPr/>
        <w:t>4</w:t>
      </w:r>
      <w:r>
        <w:rPr/>
        <w:fldChar w:fldCharType="end"/>
      </w:r>
      <w:r>
        <w:rPr/>
        <w:t>. Variables calculadas por ciclo de brazada.</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21"/>
        <w:gridCol w:w="3061"/>
        <w:gridCol w:w="3288"/>
      </w:tblGrid>
      <w:tr>
        <w:trPr>
          <w:tblHeader w:val="true"/>
          <w:cantSplit w:val="true"/>
        </w:trPr>
        <w:tc>
          <w:tcPr>
            <w:tcW w:w="27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Variable</w:t>
            </w:r>
          </w:p>
        </w:tc>
        <w:tc>
          <w:tcPr>
            <w:tcW w:w="30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Definición</w:t>
            </w:r>
          </w:p>
        </w:tc>
        <w:tc>
          <w:tcPr>
            <w:tcW w:w="32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Relación con la eficiencia y la fatiga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SR (ciclos/min)</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60 / duración del ciclo</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Aumenta como compensación con la fatiga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DPS (m) y SI (m²/s)</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Ecuaciones 1 y 2; requieren calibración</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Principales indicadores de eficiencia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 izquierda y derecha</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hombro-codo-muñeca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Eficacia de la fase subacuática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90 del ángulo codo-hombro-cadera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Extensión del brazo en la entrada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 del ángulo hombro-cadera-rodilla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Alineación del cuerpo y arrastre</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cadera-rodilla-tobillo</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Calidad de la patada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 (relativo)</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 xml:space="preserve">Recorrido de la muñeca sobre el eje del cuerpo (lateral) o recorrido </w:t>
            </w:r>
            <w:r>
              <w:rPr>
                <w:rFonts w:eastAsia="Calibri" w:cs="Times New Roman"/>
                <w:i/>
                <w:kern w:val="0"/>
                <w:sz w:val="18"/>
                <w:lang w:val="es-ES" w:bidi="ar-SA"/>
              </w:rPr>
              <w:t>q</w:t>
            </w:r>
            <w:r>
              <w:rPr>
                <w:rFonts w:eastAsia="Calibri" w:cs="Times New Roman"/>
                <w:kern w:val="0"/>
                <w:sz w:val="18"/>
                <w:lang w:val="es-ES" w:bidi="ar-SA"/>
              </w:rPr>
              <w:t xml:space="preserve"> (frontal)</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Longitud de la brazada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Asimetría de brazos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100 · |alcance izq. − dcho.| / media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Descompensación lateral</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cadera-hombro respecto a la horizontal</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Hundimiento de la cadera</w:t>
            </w:r>
          </w:p>
        </w:tc>
      </w:tr>
      <w:tr>
        <w:trPr>
          <w:cantSplit w:val="true"/>
        </w:trPr>
        <w:tc>
          <w:tcPr>
            <w:tcW w:w="27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 y patadas por ciclo</w:t>
            </w:r>
          </w:p>
        </w:tc>
        <w:tc>
          <w:tcPr>
            <w:tcW w:w="30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Separación de tobillos y número de máximos</w:t>
            </w:r>
          </w:p>
        </w:tc>
        <w:tc>
          <w:tcPr>
            <w:tcW w:w="32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Contribución y ritmo de la patada</w:t>
            </w:r>
          </w:p>
        </w:tc>
      </w:tr>
    </w:tbl>
    <w:p>
      <w:pPr>
        <w:pStyle w:val="Normal"/>
        <w:jc w:val="both"/>
        <w:rPr/>
      </w:pPr>
      <w:r>
        <w:rPr/>
      </w:r>
    </w:p>
    <w:p>
      <w:pPr>
        <w:pStyle w:val="Normal"/>
        <w:jc w:val="both"/>
        <w:rPr/>
      </w:pPr>
      <w:r>
        <w:rPr/>
        <w:t>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Heading3"/>
        <w:keepNext w:val="true"/>
        <w:numPr>
          <w:ilvl w:val="2"/>
          <w:numId w:val="40"/>
        </w:numPr>
        <w:rPr/>
      </w:pPr>
      <w:r>
        <w:rPr/>
        <w:t>Vertical tabular: detección del inicio de la fatiga</w:t>
      </w:r>
    </w:p>
    <w:p>
      <w:pPr>
        <w:pStyle w:val="Normal"/>
        <w:jc w:val="both"/>
        <w:rPr/>
      </w:pPr>
      <w:r>
        <w:rPr/>
        <w:t>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17).</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j</m:t>
                  </m:r>
                </m:sub>
              </m:sSub>
            </m:num>
            <m:den>
              <m:sSub>
                <m:e>
                  <m:r>
                    <w:rPr>
                      <w:rFonts w:ascii="Cambria Math" w:hAnsi="Cambria Math"/>
                    </w:rPr>
                    <m:t xml:space="preserve">σ</m:t>
                  </m:r>
                </m:e>
                <m:sub>
                  <m:r>
                    <w:rPr>
                      <w:rFonts w:ascii="Cambria Math" w:hAnsi="Cambria Math"/>
                    </w:rPr>
                    <m:t xml:space="preserve">j</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17</w:t>
      </w:r>
      <w:r>
        <w:rPr/>
        <w:fldChar w:fldCharType="end"/>
      </w:r>
      <w:r>
        <w:rPr/>
        <w:t>. Estandarización respecto a la fase base</w:t>
      </w:r>
    </w:p>
    <w:p>
      <w:pPr>
        <w:pStyle w:val="Normal"/>
        <w:keepNext w:val="true"/>
        <w:rPr/>
      </w:pPr>
      <w:r>
        <w:rPr/>
        <w:t>donde:</w:t>
      </w:r>
    </w:p>
    <w:p>
      <w:pPr>
        <w:pStyle w:val="ListParagraph"/>
        <w:keepNext w:val="true"/>
        <w:numPr>
          <w:ilvl w:val="0"/>
          <w:numId w:val="3"/>
        </w:numPr>
        <w:spacing w:before="0" w:after="0"/>
        <w:contextualSpacing/>
        <w:rPr/>
      </w:pPr>
      <w:r>
        <w:rPr>
          <w:i/>
        </w:rPr>
        <w:t>x</w:t>
      </w:r>
      <w:r>
        <w:rPr>
          <w:vertAlign w:val="subscript"/>
        </w:rPr>
        <w:t>j</w:t>
      </w:r>
      <w:r>
        <w:rPr/>
        <w:t xml:space="preserve">: valor de la variable </w:t>
      </w:r>
      <w:r>
        <w:rPr>
          <w:i/>
        </w:rPr>
        <w:t>j</w:t>
      </w:r>
      <w:r>
        <w:rPr/>
        <w:t xml:space="preserve"> en un ciclo (en sus unidades)</w:t>
      </w:r>
    </w:p>
    <w:p>
      <w:pPr>
        <w:pStyle w:val="ListParagraph"/>
        <w:keepNext w:val="true"/>
        <w:numPr>
          <w:ilvl w:val="0"/>
          <w:numId w:val="3"/>
        </w:numPr>
        <w:spacing w:before="0" w:after="0"/>
        <w:contextualSpacing/>
        <w:rPr/>
      </w:pPr>
      <w:r>
        <w:rPr/>
        <w:t>μ</w:t>
      </w:r>
      <w:r>
        <w:rPr>
          <w:vertAlign w:val="subscript"/>
        </w:rPr>
        <w:t>j</w:t>
      </w:r>
      <w:r>
        <w:rPr/>
        <w:t>, σ</w:t>
      </w:r>
      <w:r>
        <w:rPr>
          <w:vertAlign w:val="subscript"/>
        </w:rPr>
        <w:t>j</w:t>
      </w:r>
      <w:r>
        <w:rPr/>
        <w:t xml:space="preserve">: media y desviación típica de la variable </w:t>
      </w:r>
      <w:r>
        <w:rPr>
          <w:i/>
        </w:rPr>
        <w:t>j</w:t>
      </w:r>
      <w:r>
        <w:rPr/>
        <w:t xml:space="preserve"> en la fase base (mismas unidades)</w:t>
      </w:r>
    </w:p>
    <w:p>
      <w:pPr>
        <w:pStyle w:val="ListParagraph"/>
        <w:keepNext w:val="false"/>
        <w:numPr>
          <w:ilvl w:val="0"/>
          <w:numId w:val="3"/>
        </w:numPr>
        <w:spacing w:before="0" w:after="0"/>
        <w:contextualSpacing/>
        <w:rPr/>
      </w:pPr>
      <w:r>
        <w:rPr>
          <w:i/>
        </w:rPr>
        <w:t>z</w:t>
      </w:r>
      <w:r>
        <w:rPr>
          <w:vertAlign w:val="subscript"/>
        </w:rPr>
        <w:t>j</w:t>
      </w:r>
      <w:r>
        <w:rPr/>
        <w:t>: valor estandarizado, adimensional</w:t>
      </w:r>
    </w:p>
    <w:p>
      <w:pPr>
        <w:pStyle w:val="Normal"/>
        <w:jc w:val="both"/>
        <w:rPr/>
      </w:pPr>
      <w:r>
        <w:rPr/>
        <w:t>Sobre las variables estandarizadas se entrena un Isolation Forest de 500 árboles solo con la fase base, y cada ciclo recibe la puntuación de anomalía de la Ecuación 6.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8) sobre la serie de puntuaciones; la coincidencia de ambos métodos refuerza la detección.</w:t>
      </w:r>
    </w:p>
    <w:p>
      <w:pPr>
        <w:pStyle w:val="Normal"/>
        <w:jc w:val="both"/>
        <w:rPr/>
      </w:pPr>
      <w:r>
        <w:rPr/>
        <w:t>Para que la atribución sea interpretable se excluyen las variables redundantes: como la velocidad es el producto de SR y DPS (Ecuación 1) y la potencia depende del cubo de la velocidad (Ecuación 13), el modelo no incluye la velocidad, el SI ni la potencia.</w:t>
      </w:r>
    </w:p>
    <w:p>
      <w:pPr>
        <w:pStyle w:val="Heading3"/>
        <w:keepNext w:val="true"/>
        <w:numPr>
          <w:ilvl w:val="2"/>
          <w:numId w:val="41"/>
        </w:numPr>
        <w:rPr/>
      </w:pPr>
      <w:r>
        <w:rPr/>
        <w:t>Vertical tabular: atribución de la fatiga con SHAP</w:t>
      </w:r>
    </w:p>
    <w:p>
      <w:pPr>
        <w:pStyle w:val="Normal"/>
        <w:jc w:val="both"/>
        <w:rPr/>
      </w:pPr>
      <w:r>
        <w:rPr/>
        <w:t>Sobre el Isolation Forest se calculan los valores SHAP exactos con TreeSHAP (Ecuaciones 10 y 11),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Heading3"/>
        <w:keepNext w:val="true"/>
        <w:numPr>
          <w:ilvl w:val="2"/>
          <w:numId w:val="42"/>
        </w:numPr>
        <w:rPr/>
      </w:pPr>
      <w:r>
        <w:rPr/>
        <w:t>Vertical tabular: estimación del estilo de nado</w:t>
      </w:r>
    </w:p>
    <w:p>
      <w:pPr>
        <w:pStyle w:val="Normal"/>
        <w:jc w:val="both"/>
        <w:rPr/>
      </w:pPr>
      <w:r>
        <w:rPr/>
        <w:t>Se exploraron dos enfoques. El primero, supervisado, clasifica ventanas de 4 s con un bosque aleatorio de 300 árboles [</w:t>
      </w:r>
      <w:hyperlink w:anchor="ref_breiman2001">
        <w:r>
          <w:rPr>
            <w:rStyle w:val="ListLabel316"/>
            <w:color w:val="1F4E79"/>
          </w:rPr>
          <w:t>27</w:t>
        </w:r>
      </w:hyperlink>
      <w:r>
        <w:rPr/>
        <w:t>] a partir de rasgos que no dependen de la definición del ciclo (correlación entre las manos, posición de la nariz, correlación entre piernas, flexión de la rodilla, separación de los pies, ondulación de la cadera, periodo de las manos y vista), con validación cruzada agrupada por vídeo para evitar la fuga de datos [</w:t>
      </w:r>
      <w:hyperlink w:anchor="ref_kaufman2012">
        <w:r>
          <w:rPr>
            <w:rStyle w:val="ListLabel316"/>
            <w:color w:val="1F4E79"/>
          </w:rPr>
          <w:t>29</w:t>
        </w:r>
      </w:hyperlink>
      <w:r>
        <w:rPr/>
        <w:t>] y atribución con TreeSHAP. Con datos sintéticos alcanza el 100 % por vídeo, pero con vídeos reales cada estilo está representado por uno o dos nadadores y el modelo aprende a reconocer al nadador en lugar del estilo: con participantes no vistos su exactitud cae al nivel del azar (Sección 4.6).</w:t>
      </w:r>
    </w:p>
    <w:p>
      <w:pPr>
        <w:pStyle w:val="Normal"/>
        <w:jc w:val="both"/>
        <w:rPr/>
      </w:pPr>
      <w:r>
        <w:rPr/>
        <w:t>Por ello, en vídeo real el sistema emplea un segundo enfoque basado en reglas biomecánicas, que no requiere datos de entrenamiento y no depende de quién nade (</w:t>
      </w:r>
      <w:r>
        <w:rPr>
          <w:rFonts w:ascii="Consolas" w:hAnsi="Consolas"/>
        </w:rPr>
        <w:t>estilo.estimar_por_reglas</w:t>
      </w:r>
      <w:r>
        <w:rPr/>
        <w:t>):</w:t>
      </w:r>
    </w:p>
    <w:p>
      <w:pPr>
        <w:pStyle w:val="ListParagraph"/>
        <w:numPr>
          <w:ilvl w:val="0"/>
          <w:numId w:val="3"/>
        </w:numPr>
        <w:spacing w:before="0" w:after="0"/>
        <w:contextualSpacing/>
        <w:jc w:val="both"/>
        <w:rPr/>
      </w:pPr>
      <w:r>
        <w:rPr>
          <w:b/>
        </w:rPr>
        <w:t>Brazos alternos o simultáneos.</w:t>
      </w:r>
      <w:r>
        <w:rPr/>
        <w:t xml:space="preserve"> Se calcula la correlación entre la señal de las dos manos. En crol y espalda los brazos alternan (correlación baja o negativa); en mariposa y braza se mueven a la vez. Como en vista lateral el modelo de pose copia en parte el brazo visible en el oculto, el umbral es de 0,65 en vista lateral y de 0,20 en vista frontal.</w:t>
      </w:r>
    </w:p>
    <w:p>
      <w:pPr>
        <w:pStyle w:val="ListParagraph"/>
        <w:numPr>
          <w:ilvl w:val="0"/>
          <w:numId w:val="3"/>
        </w:numPr>
        <w:spacing w:before="0" w:after="0"/>
        <w:contextualSpacing/>
        <w:jc w:val="both"/>
        <w:rPr/>
      </w:pPr>
      <w:r>
        <w:rPr>
          <w:b/>
        </w:rPr>
        <w:t>Posición de la cabeza.</w:t>
      </w:r>
      <w:r>
        <w:rPr/>
        <w:t xml:space="preserve"> Entre los estilos simultáneos, en braza la cabeza va más alta por la respiración frontal en cada ciclo: la nariz queda por encima de la línea de los hombros (umbral −0,05 troncos). Entre los alternos, una nariz claramente por encima de la línea del cuerpo (−0,30 troncos) indica espalda.</w:t>
      </w:r>
    </w:p>
    <w:p>
      <w:pPr>
        <w:pStyle w:val="ListParagraph"/>
        <w:numPr>
          <w:ilvl w:val="0"/>
          <w:numId w:val="3"/>
        </w:numPr>
        <w:spacing w:before="0" w:after="0"/>
        <w:contextualSpacing/>
        <w:jc w:val="both"/>
        <w:rPr/>
      </w:pPr>
      <w:r>
        <w:rPr>
          <w:b/>
        </w:rPr>
        <w:t>Seguridad de la estimación.</w:t>
      </w:r>
      <w:r>
        <w:rPr/>
        <w:t xml:space="preserve"> Se expresa como alta, media o baja según la distancia de la correlación al umbral. De frente no se distingue la mariposa de la braza y el sistema lo indica en lugar de asignar un estilo.</w:t>
      </w:r>
    </w:p>
    <w:p>
      <w:pPr>
        <w:pStyle w:val="Normal"/>
        <w:jc w:val="both"/>
        <w:rPr/>
      </w:pPr>
      <w:r>
        <w:rPr/>
        <w:t>La familia del estilo basta para contar los ciclos (dos brazadas por ciclo en los estilos alternos y una en los simultáneos), por lo que el análisis puede ejecutarse sin indicar el estilo (</w:t>
      </w:r>
      <w:r>
        <w:rPr>
          <w:rFonts w:ascii="Consolas" w:hAnsi="Consolas"/>
        </w:rPr>
        <w:t>--estilo auto</w:t>
      </w:r>
      <w:r>
        <w:rPr/>
        <w:t>). Cuando el estilo se indica, el sistema lo contrasta con lo observado y avisa si no coinciden. Los umbrales se fijaron con los vídeos reales disponibles, por lo que su evaluación con esos mismos vídeos no es independiente; la evaluación con datos sintéticos sí lo es.</w:t>
      </w:r>
    </w:p>
    <w:p>
      <w:pPr>
        <w:pStyle w:val="Heading3"/>
        <w:keepNext w:val="true"/>
        <w:numPr>
          <w:ilvl w:val="2"/>
          <w:numId w:val="43"/>
        </w:numPr>
        <w:rPr/>
      </w:pPr>
      <w:r>
        <w:rPr/>
        <w:t>Generación de datos sintéticos</w:t>
      </w:r>
    </w:p>
    <w:p>
      <w:pPr>
        <w:pStyle w:val="Normal"/>
        <w:jc w:val="both"/>
        <w:rPr/>
      </w:pPr>
      <w:r>
        <w:rPr/>
        <w:t>Para evaluar el sistema con una referencia conocida se ha desarrollado un generador de datos sintéticos (</w:t>
      </w:r>
      <w:r>
        <w:rPr>
          <w:rFonts w:ascii="Consolas" w:hAnsi="Consolas"/>
        </w:rPr>
        <w:t>strokelab/simulador.py</w:t>
      </w:r>
      <w:r>
        <w:rPr/>
        <w:t>).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Heading3"/>
        <w:keepNext w:val="true"/>
        <w:numPr>
          <w:ilvl w:val="2"/>
          <w:numId w:val="44"/>
        </w:numPr>
        <w:rPr/>
      </w:pPr>
      <w:r>
        <w:rPr/>
        <w:t>Análisis por sesión, por lotes y vídeo anotado</w:t>
      </w:r>
    </w:p>
    <w:p>
      <w:pPr>
        <w:pStyle w:val="Normal"/>
        <w:jc w:val="both"/>
        <w:rPr/>
      </w:pPr>
      <w:r>
        <w:rPr/>
        <w:t xml:space="preserve">Cada secuencia de la cámara subacuática suele recoger una sola pasada de 10-20 s, insuficiente para observar fatiga. </w:t>
      </w:r>
      <w:r>
        <w:rPr>
          <w:rFonts w:ascii="Consolas" w:hAnsi="Consolas"/>
        </w:rPr>
        <w:t>sesion.py</w:t>
      </w:r>
      <w:r>
        <w:rPr/>
        <w:t xml:space="preserve"> concatena los ciclos de varias pasadas de un mismo nadador en orden de registro y aplica el mismo modelo. </w:t>
      </w:r>
      <w:r>
        <w:rPr>
          <w:rFonts w:ascii="Consolas" w:hAnsi="Consolas"/>
        </w:rPr>
        <w:t>lote.py</w:t>
      </w:r>
      <w:r>
        <w:rPr/>
        <w:t xml:space="preserve"> analiza todos los vídeos de una carpeta a partir de una lista editable (nadador, estilo, vista y sesión), puede reanudarse y rehace los análisis obtenidos con una versión anterior del código. </w:t>
      </w:r>
      <w:r>
        <w:rPr>
          <w:rFonts w:ascii="Consolas" w:hAnsi="Consolas"/>
        </w:rPr>
        <w:t>informe_nadador.py</w:t>
      </w:r>
      <w:r>
        <w:rPr/>
        <w:t xml:space="preserve"> resume un nadador y un estilo. El vídeo anotado (Figura 4) muestra el estado FRESCO o FATIGA, el ciclo, la frecuencia y una barra temporal con la puntuación de cada ciclo, el umbral y el inicio de la fatiga.</w:t>
      </w:r>
    </w:p>
    <w:p>
      <w:pPr>
        <w:pStyle w:val="Normal"/>
        <w:keepNext w:val="true"/>
        <w:jc w:val="center"/>
        <w:rPr/>
      </w:pPr>
      <w:r>
        <w:rPr/>
        <w:drawing>
          <wp:inline distT="0" distB="0" distL="0" distR="0">
            <wp:extent cx="4679950" cy="263271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6"/>
                    <a:stretch>
                      <a:fillRect/>
                    </a:stretch>
                  </pic:blipFill>
                  <pic:spPr bwMode="auto">
                    <a:xfrm>
                      <a:off x="0" y="0"/>
                      <a:ext cx="4679950" cy="263271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4</w:t>
      </w:r>
      <w:r>
        <w:rPr/>
        <w:fldChar w:fldCharType="end"/>
      </w:r>
      <w:r>
        <w:rPr/>
        <w:t>. Panel del vídeo anotado sobre datos sintéticos (t = 70 s; inicio de la fatiga en t = 51,9 s).</w:t>
      </w:r>
    </w:p>
    <w:p>
      <w:pPr>
        <w:pStyle w:val="Heading3"/>
        <w:keepNext w:val="true"/>
        <w:numPr>
          <w:ilvl w:val="2"/>
          <w:numId w:val="45"/>
        </w:numPr>
        <w:rPr/>
      </w:pPr>
      <w:r>
        <w:rPr/>
        <w:t>Análisis en tiempo real</w:t>
      </w:r>
    </w:p>
    <w:p>
      <w:pPr>
        <w:pStyle w:val="Normal"/>
        <w:jc w:val="both"/>
        <w:rPr/>
      </w:pPr>
      <w:r>
        <w:rPr/>
        <w:t xml:space="preserve">Además del análisis completo de un vídeo terminado, </w:t>
      </w:r>
      <w:r>
        <w:rPr>
          <w:rFonts w:ascii="Consolas" w:hAnsi="Consolas"/>
        </w:rPr>
        <w:t>en_vivo.py</w:t>
      </w:r>
      <w:r>
        <w:rPr/>
        <w:t xml:space="preserve"> analiza el vídeo mientras se reproduce, o la señal de una cámara, y muestra en pantalla el estado del nadador ciclo a ciclo. Cada segundo se reanalizan los últimos 30 s de pose con las mismas funciones del análisis completo y se incorporan los ciclos nuevos. La detección de la fatiga usa solo lo ya nadado (</w:t>
      </w:r>
      <w:r>
        <w:rPr>
          <w:rFonts w:ascii="Consolas" w:hAnsi="Consolas"/>
        </w:rPr>
        <w:t>fatiga.FatigaEnVivo</w:t>
      </w:r>
      <w:r>
        <w:rPr/>
        <w:t>): durante los diez primeros ciclos el estado es CALIBRANDO; con ellos se ajustan la escala, el Isolation Forest y el umbral (percentil 95), y cada ciclo posterior recibe su puntuación y su atribución SHAP. El estado pasa a FATIGA cuando la media móvil de tres ciclos supera el umbral en tres ciclos seguidos, la misma regla que en el análisis completo. El panel muestra además las dos variables con mayor contribución, con su valor en la fase base y en el ciclo actual, el estilo y la vista estimados y la puntuación de los últimos 40 ciclos. La diferencia con el análisis completo es la fase base: allí es el primer 30 % de todos los ciclos, que en directo no se conoce. Si ya se dispone de la pose extraída, el modo en tiempo real la reutiliza y la reproducción es siempre fluida.</w:t>
      </w:r>
    </w:p>
    <w:p>
      <w:pPr>
        <w:pStyle w:val="Heading3"/>
        <w:keepNext w:val="true"/>
        <w:numPr>
          <w:ilvl w:val="2"/>
          <w:numId w:val="46"/>
        </w:numPr>
        <w:rPr/>
      </w:pPr>
      <w:r>
        <w:rPr/>
        <w:t>Ejecución con GPU en el clúster de la escuela</w:t>
      </w:r>
    </w:p>
    <w:p>
      <w:pPr>
        <w:pStyle w:val="Normal"/>
        <w:jc w:val="both"/>
        <w:rPr/>
      </w:pPr>
      <w:r>
        <w:rPr/>
        <w:t>Para el análisis del conjunto completo se empleó el clúster de computación de la escuela, con gestor de colas Slurm y una GPU NVIDIA RTX 4000 Ada (20 GB). El código selecciona la GPU automáticamente cuando PyTorch la detecta (</w:t>
      </w:r>
      <w:r>
        <w:rPr>
          <w:rFonts w:ascii="Consolas" w:hAnsi="Consolas"/>
        </w:rPr>
        <w:t>--dispositivo auto</w:t>
      </w:r>
      <w:r>
        <w:rPr/>
        <w:t>) y mantiene la CPU en el ordenador personal. La estimación de pose pasó de unos 6,6 fotogramas por segundo en la CPU del portátil a unos 160 en la GPU, lo que permitió procesar el conjunto completo y probar una entrada de la red de mayor resolución (1280 píxeles), pensada para detectar mejor al nadador cuando ocupa una parte pequeña del encuadre (su resultado se presenta en la Sección 4.6). Para respetar el espacio disponible, los vídeos 5K se reducen antes a 1920 píxeles de lado mayor (</w:t>
      </w:r>
      <w:r>
        <w:rPr>
          <w:rFonts w:ascii="Consolas" w:hAnsi="Consolas"/>
        </w:rPr>
        <w:t>reducir_video.py</w:t>
      </w:r>
      <w:r>
        <w:rPr/>
        <w:t xml:space="preserve">), resolución a la que el sistema ya reducía cada fotograma, por lo que no se pierde información para el análisis. Los scripts de instalación y de envío de trabajos se incluyen en la carpeta </w:t>
      </w:r>
      <w:r>
        <w:rPr>
          <w:rFonts w:ascii="Consolas" w:hAnsi="Consolas"/>
        </w:rPr>
        <w:t>cluster/</w:t>
      </w:r>
      <w:r>
        <w:rPr/>
        <w:t>.</w:t>
      </w:r>
    </w:p>
    <w:p>
      <w:pPr>
        <w:pStyle w:val="Heading3"/>
        <w:keepNext w:val="true"/>
        <w:numPr>
          <w:ilvl w:val="2"/>
          <w:numId w:val="47"/>
        </w:numPr>
        <w:rPr/>
      </w:pPr>
      <w:r>
        <w:rPr/>
        <w:t>Conjunto de datos real</w:t>
      </w:r>
    </w:p>
    <w:p>
      <w:pPr>
        <w:pStyle w:val="Normal"/>
        <w:jc w:val="both"/>
        <w:rPr/>
      </w:pPr>
      <w:r>
        <w:rPr/>
        <w:t xml:space="preserve">Los datos proceden de grabaciones de entrenamiento de un club de natación. Los vídeos se organizan en una carpeta por nadador y, dentro de ella, una por estilo (libre, dorso, pecho y mariposa); el sistema obtiene de esa estructura el código anónimo del participante y el estilo. Se descartaron los vídeos generados por el propio sistema (vídeos anotados), que no son datos de entrada. El conjunto analizado contiene </w:t>
      </w:r>
      <w:r>
        <w:rPr>
          <w:b/>
        </w:rPr>
        <w:t>25 secuencias de 5 participantes (P1, P2, P3, P4, P5) en 4 estilos</w:t>
      </w:r>
      <w:r>
        <w:rPr/>
        <w:t>, con una duración total de 44,9 min (Tabla 5).</w:t>
      </w:r>
    </w:p>
    <w:p>
      <w:pPr>
        <w:pStyle w:val="Caption"/>
        <w:keepNext w:val="true"/>
        <w:jc w:val="center"/>
        <w:rPr/>
      </w:pPr>
      <w:r>
        <w:rPr/>
        <w:t xml:space="preserve">Tabla </w:t>
      </w:r>
      <w:r>
        <w:rPr/>
        <w:fldChar w:fldCharType="begin"/>
      </w:r>
      <w:r>
        <w:rPr/>
        <w:instrText xml:space="preserve"> SEQ Tabla \* ARABIC </w:instrText>
      </w:r>
      <w:r>
        <w:rPr/>
        <w:fldChar w:fldCharType="separate"/>
      </w:r>
      <w:r>
        <w:rPr/>
        <w:t>5</w:t>
      </w:r>
      <w:r>
        <w:rPr/>
        <w:fldChar w:fldCharType="end"/>
      </w:r>
      <w:r>
        <w:rPr/>
        <w:t>. Composición del conjunto de datos real.</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3"/>
        <w:gridCol w:w="1702"/>
        <w:gridCol w:w="2493"/>
        <w:gridCol w:w="1588"/>
        <w:gridCol w:w="1814"/>
      </w:tblGrid>
      <w:tr>
        <w:trPr>
          <w:tblHeader w:val="true"/>
          <w:cantSplit w:val="true"/>
        </w:trPr>
        <w:tc>
          <w:tcPr>
            <w:tcW w:w="147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Participante</w:t>
            </w:r>
          </w:p>
        </w:tc>
        <w:tc>
          <w:tcPr>
            <w:tcW w:w="170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Estilos</w:t>
            </w:r>
          </w:p>
        </w:tc>
        <w:tc>
          <w:tcPr>
            <w:tcW w:w="249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 (GoPro / móvil / otra)</w:t>
            </w:r>
          </w:p>
        </w:tc>
        <w:tc>
          <w:tcPr>
            <w:tcW w:w="15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Duración grabada</w:t>
            </w:r>
          </w:p>
        </w:tc>
        <w:tc>
          <w:tcPr>
            <w:tcW w:w="181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Vistas</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mariposa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 / 3 / 0</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159,0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espalda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 1 / 0</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62,5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mariposa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 1 / 0</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97,6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 2 / 0</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75,1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P5</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 / 2 / 1</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2301,9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 y lateral</w:t>
            </w:r>
          </w:p>
        </w:tc>
      </w:tr>
      <w:tr>
        <w:trPr>
          <w:cantSplit w:val="true"/>
        </w:trPr>
        <w:tc>
          <w:tcPr>
            <w:tcW w:w="147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70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4 estilos</w:t>
            </w:r>
          </w:p>
        </w:tc>
        <w:tc>
          <w:tcPr>
            <w:tcW w:w="249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25</w:t>
            </w:r>
          </w:p>
        </w:tc>
        <w:tc>
          <w:tcPr>
            <w:tcW w:w="15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2696,1 s</w:t>
            </w:r>
          </w:p>
        </w:tc>
        <w:tc>
          <w:tcPr>
            <w:tcW w:w="181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r>
    </w:tbl>
    <w:p>
      <w:pPr>
        <w:pStyle w:val="Normal"/>
        <w:jc w:val="both"/>
        <w:rPr/>
      </w:pPr>
      <w:r>
        <w:rPr/>
      </w:r>
    </w:p>
    <w:p>
      <w:pPr>
        <w:pStyle w:val="Normal"/>
        <w:jc w:val="both"/>
        <w:rPr/>
      </w:pPr>
      <w:r>
        <w:rPr/>
        <w:t>Se emplearon dos dispositivos. La cámara subacuática GoPro registra vídeo de 5120 × 2880 píxeles a 30 fps desde el lateral de la calle, con el nadador cruzando el encuadre; cada secuencia contiene una pasada de unos 10-20 s en la que el nadador es visible. El teléfono móvil registra vídeo vertical de 1080 × 1920 píxeles a 60 fps desde el borde de la piscina, con el nadador acercándose o alejándose de la cámara. Ninguna de las secuencias dispone de anotaciones de puntos articulares, por lo que la validación se apoya en el conteo manual de ciclos y en datos sintéticos de referencia conocida.</w:t>
      </w:r>
    </w:p>
    <w:p>
      <w:pPr>
        <w:pStyle w:val="Heading3"/>
        <w:keepNext w:val="true"/>
        <w:numPr>
          <w:ilvl w:val="2"/>
          <w:numId w:val="48"/>
        </w:numPr>
        <w:rPr/>
      </w:pPr>
      <w:r>
        <w:rPr/>
        <w:t>Preparación de los datos y determinación de la vista</w:t>
      </w:r>
    </w:p>
    <w:p>
      <w:pPr>
        <w:pStyle w:val="Normal"/>
        <w:jc w:val="both"/>
        <w:rPr/>
      </w:pPr>
      <w:r>
        <w:rPr/>
        <w:t>Antes del análisis, cada secuencia se describe en una lista editable (</w:t>
      </w:r>
      <w:r>
        <w:rPr>
          <w:rFonts w:ascii="Consolas" w:hAnsi="Consolas"/>
        </w:rPr>
        <w:t>lista_videos.csv</w:t>
      </w:r>
      <w:r>
        <w:rPr/>
        <w:t>) con el código del participante, el estilo, la vista y la sesión. La vista no se fía solo a la indicación manual: durante la revisión del conjunto se comprobó que algunas secuencias de móvil estaban marcadas como laterales cuando el nadador se desplazaba hacia la cámara. Por ello, la vista se contrastó con un criterio objetivo, la mediana de la orientación del tronco en la imagen: con cámara lateral el eje hombros-cadera es casi horizontal (8-40°), mientras que de frente aparece casi vertical (más de 60°) y escorzado. Con este criterio, cinco secuencias de móvil se clasificaron como frontales y dos como laterales.</w:t>
      </w:r>
    </w:p>
    <w:p>
      <w:pPr>
        <w:pStyle w:val="Normal"/>
        <w:jc w:val="both"/>
        <w:rPr/>
      </w:pPr>
      <w:r>
        <w:rPr/>
        <w:t>Este criterio se incorporó al sistema como modo de vista automática (</w:t>
      </w:r>
      <w:r>
        <w:rPr>
          <w:rFonts w:ascii="Consolas" w:hAnsi="Consolas"/>
        </w:rPr>
        <w:t>--vista auto</w:t>
      </w:r>
      <w:r>
        <w:rPr/>
        <w:t>), de modo que el análisis no queda limitado a una sola vista por vídeo. Un fotograma aislado no basta para decidir, porque en las secuencias laterales el modelo de pose coloca a veces un esqueleto vertical; por ello el vídeo se divide en tramos de 60 s y cada tramo se clasifica según la proporción de fotogramas con el tronco a más de 55° de la horizontal. En las 17 secuencias reales esa proporción es como máximo del 46 % en las laterales y como mínimo del 87 % en las frontales, y el umbral se fijó en el 65 %. Cuando dos tramos consecutivos tienen vistas distintas, el punto de cambio se sitúa en el fotograma que mejor separa ambas. Cada tramo se analiza con la señal de brazada de su vista, y la fatiga se calcula sobre los ciclos de una misma vista, porque las variables de frente y de lado no son comparables.</w:t>
      </w:r>
    </w:p>
    <w:p>
      <w:pPr>
        <w:pStyle w:val="Normal"/>
        <w:jc w:val="both"/>
        <w:rPr/>
      </w:pPr>
      <w:r>
        <w:rPr/>
        <w:t>El modo automático clasificó correctamente las 17 secuencias reales y reprodujo exactamente sus ciclos y su frecuencia. Esta comprobación no es independiente, porque el umbral se fijó con las mismas secuencias. Con datos sintéticos que combinan 90 s en vista lateral y 90 s en vista frontal, el cambio se detectó en t = 89,9 s y la frecuencia de ciclo de ambos tramos coincidió con la referencia. La resolución temporal del cambio depende de la duración del tramo, por lo que cambios de vista de pocos segundos no se detectan.</w:t>
      </w:r>
    </w:p>
    <w:p>
      <w:pPr>
        <w:pStyle w:val="Normal"/>
        <w:jc w:val="both"/>
        <w:rPr/>
      </w:pPr>
      <w:r>
        <w:rPr/>
        <w:t>La preparación incluye, además: la anonimización de los participantes mediante códigos; la exclusión de los archivos de salida; la agrupación en sesiones por participante, estilo y dispositivo, ya que mezclar cámaras distintas alteraría la referencia de cada nadador; y el registro de la versión del análisis en cada resultado, de modo que el análisis por lotes rehace automáticamente los vídeos procesados con una versión anterior del código.</w:t>
      </w:r>
    </w:p>
    <w:p>
      <w:pPr>
        <w:pStyle w:val="Heading3"/>
        <w:keepNext w:val="true"/>
        <w:numPr>
          <w:ilvl w:val="2"/>
          <w:numId w:val="49"/>
        </w:numPr>
        <w:rPr/>
      </w:pPr>
      <w:r>
        <w:rPr/>
        <w:t>Consideraciones éticas y protección de datos</w:t>
      </w:r>
    </w:p>
    <w:p>
      <w:pPr>
        <w:pStyle w:val="Normal"/>
        <w:jc w:val="both"/>
        <w:rPr/>
      </w:pPr>
      <w:r>
        <w:rPr/>
        <w:t xml:space="preserve">Los vídeos contienen imágenes de personas identificables y constituyen datos personales. Su tratamiento se ha limitado a la finalidad académica del trabajo y requiere el consentimiento de los nadadores y, en el caso de menores, de sus tutores </w:t>
      </w:r>
      <w:r>
        <w:rPr>
          <w:b/>
          <w:color w:val="C00000"/>
        </w:rPr>
        <w:t>[PENDIENTE: indicar el consentimiento obtenido]</w:t>
      </w:r>
      <w:r>
        <w:rPr/>
        <w:t>. Se han aplicado las siguientes medidas:</w:t>
      </w:r>
    </w:p>
    <w:p>
      <w:pPr>
        <w:pStyle w:val="ListParagraph"/>
        <w:numPr>
          <w:ilvl w:val="0"/>
          <w:numId w:val="3"/>
        </w:numPr>
        <w:spacing w:before="0" w:after="0"/>
        <w:contextualSpacing/>
        <w:jc w:val="both"/>
        <w:rPr/>
      </w:pPr>
      <w:r>
        <w:rPr>
          <w:b/>
        </w:rPr>
        <w:t>Minimización y anonimización.</w:t>
      </w:r>
      <w:r>
        <w:rPr/>
        <w:t xml:space="preserve"> En la memoria y en los resultados los participantes se identifican con un código (P1 a P4); no se publican nombres ni fotogramas en los que se reconozca a un nadador.</w:t>
      </w:r>
    </w:p>
    <w:p>
      <w:pPr>
        <w:pStyle w:val="ListParagraph"/>
        <w:numPr>
          <w:ilvl w:val="0"/>
          <w:numId w:val="3"/>
        </w:numPr>
        <w:spacing w:before="0" w:after="0"/>
        <w:contextualSpacing/>
        <w:jc w:val="both"/>
        <w:rPr/>
      </w:pPr>
      <w:r>
        <w:rPr>
          <w:b/>
        </w:rPr>
        <w:t>Procesamiento local.</w:t>
      </w:r>
      <w:r>
        <w:rPr/>
        <w:t xml:space="preserve"> El análisis se ejecuta en el ordenador personal de la autora; los vídeos no se envían a servicios externos de inferencia.</w:t>
      </w:r>
    </w:p>
    <w:p>
      <w:pPr>
        <w:pStyle w:val="ListParagraph"/>
        <w:numPr>
          <w:ilvl w:val="0"/>
          <w:numId w:val="3"/>
        </w:numPr>
        <w:spacing w:before="0" w:after="0"/>
        <w:contextualSpacing/>
        <w:jc w:val="both"/>
        <w:rPr/>
      </w:pPr>
      <w:r>
        <w:rPr>
          <w:b/>
        </w:rPr>
        <w:t>Datos derivados.</w:t>
      </w:r>
      <w:r>
        <w:rPr/>
        <w:t xml:space="preserve"> Los resultados que se comparten son series de puntos articulares y variables por ciclo, que no contienen la imagen del nadador.</w:t>
      </w:r>
    </w:p>
    <w:p>
      <w:pPr>
        <w:pStyle w:val="ListParagraph"/>
        <w:numPr>
          <w:ilvl w:val="0"/>
          <w:numId w:val="3"/>
        </w:numPr>
        <w:spacing w:before="0" w:after="0"/>
        <w:contextualSpacing/>
        <w:jc w:val="both"/>
        <w:rPr/>
      </w:pPr>
      <w:r>
        <w:rPr>
          <w:b/>
        </w:rPr>
        <w:t>Ausencia de decisiones automáticas.</w:t>
      </w:r>
      <w:r>
        <w:rPr/>
        <w:t xml:space="preserve"> El sistema ofrece información al entrenador, que conserva la decisión; los resultados no se emplean para evaluar ni seleccionar a los nadadores.</w:t>
      </w:r>
    </w:p>
    <w:p>
      <w:pPr>
        <w:pStyle w:val="Normal"/>
        <w:jc w:val="both"/>
        <w:rPr/>
      </w:pPr>
      <w:r>
        <w:rPr/>
        <w:t>Con independencia del uso actual, una ampliación del estudio con menores de edad o con medidas fisiológicas requeriría la aprobación de un comité de ética y un consentimiento informado específico.</w:t>
      </w:r>
    </w:p>
    <w:p>
      <w:pPr>
        <w:pStyle w:val="Heading3"/>
        <w:keepNext w:val="true"/>
        <w:numPr>
          <w:ilvl w:val="2"/>
          <w:numId w:val="50"/>
        </w:numPr>
        <w:rPr/>
      </w:pPr>
      <w:r>
        <w:rPr/>
        <w:t>Arquitectura del software y flujo de datos</w:t>
      </w:r>
    </w:p>
    <w:p>
      <w:pPr>
        <w:pStyle w:val="Normal"/>
        <w:jc w:val="both"/>
        <w:rPr/>
      </w:pPr>
      <w:r>
        <w:rPr/>
        <w:t>El código se organiza en un paquete de Python (</w:t>
      </w:r>
      <w:r>
        <w:rPr>
          <w:rFonts w:ascii="Consolas" w:hAnsi="Consolas"/>
        </w:rPr>
        <w:t>strokelab</w:t>
      </w:r>
      <w:r>
        <w:rPr/>
        <w:t>) con un módulo por etapa y varios programas de línea de órdenes que las combinan (Anexo B). Cada etapa lee y escribe archivos en una carpeta de resultados por vídeo, lo que permite repetir una etapa sin rehacer las anteriores: por ejemplo, recalcular los ciclos y la fatiga sin volver a estimar la pose, que es la etapa más costosa. La Tabla 6 resume los archivos intermedios y su contenido.</w:t>
      </w:r>
    </w:p>
    <w:p>
      <w:pPr>
        <w:pStyle w:val="Caption"/>
        <w:keepNext w:val="true"/>
        <w:jc w:val="center"/>
        <w:rPr/>
      </w:pPr>
      <w:r>
        <w:rPr/>
        <w:t xml:space="preserve">Tabla </w:t>
      </w:r>
      <w:r>
        <w:rPr/>
        <w:fldChar w:fldCharType="begin"/>
      </w:r>
      <w:r>
        <w:rPr/>
        <w:instrText xml:space="preserve"> SEQ Tabla \* ARABIC </w:instrText>
      </w:r>
      <w:r>
        <w:rPr/>
        <w:fldChar w:fldCharType="separate"/>
      </w:r>
      <w:r>
        <w:rPr/>
        <w:t>6</w:t>
      </w:r>
      <w:r>
        <w:rPr/>
        <w:fldChar w:fldCharType="end"/>
      </w:r>
      <w:r>
        <w:rPr/>
        <w:t>. Archivos generados por el análisis de un vídeo.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474"/>
        <w:gridCol w:w="5102"/>
      </w:tblGrid>
      <w:tr>
        <w:trPr>
          <w:tblHeader w:val="true"/>
          <w:cantSplit w:val="true"/>
        </w:trPr>
        <w:tc>
          <w:tcPr>
            <w:tcW w:w="249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147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Etapa</w:t>
            </w:r>
          </w:p>
        </w:tc>
        <w:tc>
          <w:tcPr>
            <w:tcW w:w="510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Contenido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keypoints_raw.npz</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Pose 2D</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Coordenadas y confianza de los 17 puntos por fotograma, resolución, fps y ajustes de detección</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keypoints_3d.npy</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3D</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Coordenadas 3D normalizadas de los 17 puntos por fotograma</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medidas_por_fotograma.csv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Tabular</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Ángulos, profundidad de la mano y señales de ciclo por fotograma</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variables_por_ciclo.csv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Tabular</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de cada ciclo válido, puntuación de anomalía y estado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shap_por_ciclo.csv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Explicación</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Valores SHAP de cada variable en cada ciclo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resumen.json</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Resumen</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Versión, ajustes, detección, tiempo analizable, ciclos, inicio de la fatiga y explicación</w:t>
            </w:r>
          </w:p>
        </w:tc>
      </w:tr>
      <w:tr>
        <w:trPr>
          <w:cantSplit w:val="true"/>
        </w:trPr>
        <w:tc>
          <w:tcPr>
            <w:tcW w:w="249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fig_</w:t>
            </w:r>
            <w:r>
              <w:rPr>
                <w:rFonts w:eastAsia="Calibri" w:cs="Times New Roman"/>
                <w:i/>
                <w:kern w:val="0"/>
                <w:sz w:val="18"/>
                <w:lang w:val="es-ES" w:bidi="ar-SA"/>
              </w:rPr>
              <w:t xml:space="preserve">.png, </w:t>
            </w:r>
            <w:r>
              <w:rPr>
                <w:rFonts w:eastAsia="Calibri" w:cs="Times New Roman"/>
                <w:kern w:val="0"/>
                <w:sz w:val="18"/>
                <w:lang w:val="es-ES" w:bidi="ar-SA"/>
              </w:rPr>
              <w:t>_ANOTADO.mp4</w:t>
            </w:r>
          </w:p>
        </w:tc>
        <w:tc>
          <w:tcPr>
            <w:tcW w:w="147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Presentación</w:t>
            </w:r>
          </w:p>
        </w:tc>
        <w:tc>
          <w:tcPr>
            <w:tcW w:w="510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Figuras de fatiga y SHAP y vídeo anotado</w:t>
            </w:r>
          </w:p>
        </w:tc>
      </w:tr>
    </w:tbl>
    <w:p>
      <w:pPr>
        <w:pStyle w:val="Normal"/>
        <w:jc w:val="both"/>
        <w:rPr/>
      </w:pPr>
      <w:r>
        <w:rPr/>
      </w:r>
    </w:p>
    <w:p>
      <w:pPr>
        <w:pStyle w:val="Normal"/>
        <w:jc w:val="both"/>
        <w:rPr/>
      </w:pPr>
      <w:r>
        <w:rPr/>
        <w:t xml:space="preserve">El análisis por lotes añade tres tablas agregadas: </w:t>
      </w:r>
      <w:r>
        <w:rPr>
          <w:rFonts w:ascii="Consolas" w:hAnsi="Consolas"/>
        </w:rPr>
        <w:t>resumen_lote.csv</w:t>
      </w:r>
      <w:r>
        <w:rPr/>
        <w:t xml:space="preserve"> (una fila por vídeo), </w:t>
      </w:r>
      <w:r>
        <w:rPr>
          <w:rFonts w:ascii="Consolas" w:hAnsi="Consolas"/>
        </w:rPr>
        <w:t>resumen_sesiones.csv</w:t>
      </w:r>
      <w:r>
        <w:rPr/>
        <w:t xml:space="preserve"> (una fila por sesión) y </w:t>
      </w:r>
      <w:r>
        <w:rPr>
          <w:rFonts w:ascii="Consolas" w:hAnsi="Consolas"/>
        </w:rPr>
        <w:t>ciclos_todos.csv</w:t>
      </w:r>
      <w:r>
        <w:rPr/>
        <w:t xml:space="preserve"> (todos los ciclos válidos con el participante, el estilo y la vista), así como un archivo comprimido con los resultados ligeros para su revisión. Esta separación entre la vertical de visión, que produce los puntos, y la vertical tabular, que los consume, materializa los modos de funcionamiento: el modo tabular acepta directamente los puntos o las variables por ciclo, sin vídeo.</w:t>
      </w:r>
    </w:p>
    <w:p>
      <w:pPr>
        <w:pStyle w:val="Normal"/>
        <w:jc w:val="both"/>
        <w:rPr/>
      </w:pPr>
      <w:r>
        <w:rPr/>
        <w:t>Herramientas: Python 3, Ultralytics (YOLO), PyTorch (MotionBERT), OpenCV, NumPy, pandas, scikit-learn, shap, Matplotlib y Git. El código incluye pruebas automáticas que se ejecutan antes de cada cambio (Anexo C).</w:t>
      </w:r>
    </w:p>
    <w:p>
      <w:pPr>
        <w:pStyle w:val="Heading2"/>
        <w:numPr>
          <w:ilvl w:val="1"/>
          <w:numId w:val="51"/>
        </w:numPr>
        <w:rPr/>
      </w:pPr>
      <w:bookmarkStart w:id="105" w:name="__RefHeading___Toc9210_350176733"/>
      <w:bookmarkStart w:id="106" w:name="_Toc37845886"/>
      <w:bookmarkStart w:id="107" w:name="_Toc37758901"/>
      <w:bookmarkEnd w:id="105"/>
      <w:r>
        <w:rPr/>
        <w:t>Recursos requeridos</w:t>
      </w:r>
      <w:bookmarkEnd w:id="106"/>
      <w:bookmarkEnd w:id="107"/>
    </w:p>
    <w:p>
      <w:pPr>
        <w:pStyle w:val="ListParagraph"/>
        <w:numPr>
          <w:ilvl w:val="0"/>
          <w:numId w:val="3"/>
        </w:numPr>
        <w:spacing w:before="0" w:after="0"/>
        <w:contextualSpacing/>
        <w:jc w:val="both"/>
        <w:rPr/>
      </w:pPr>
      <w:r>
        <w:rPr/>
        <w:t>Ordenador personal con Windows y CPU de 4 hilos, sin GPU.</w:t>
      </w:r>
    </w:p>
    <w:p>
      <w:pPr>
        <w:pStyle w:val="ListParagraph"/>
        <w:numPr>
          <w:ilvl w:val="0"/>
          <w:numId w:val="3"/>
        </w:numPr>
        <w:spacing w:before="0" w:after="0"/>
        <w:contextualSpacing/>
        <w:jc w:val="both"/>
        <w:rPr/>
      </w:pPr>
      <w:r>
        <w:rPr/>
        <w:t>Clúster de computación de la escuela (gestor de colas Slurm, GPU NVIDIA RTX 4000 Ada de 20 GB) para el análisis del conjunto completo.</w:t>
      </w:r>
    </w:p>
    <w:p>
      <w:pPr>
        <w:pStyle w:val="ListParagraph"/>
        <w:numPr>
          <w:ilvl w:val="0"/>
          <w:numId w:val="3"/>
        </w:numPr>
        <w:spacing w:before="0" w:after="0"/>
        <w:contextualSpacing/>
        <w:jc w:val="both"/>
        <w:rPr/>
      </w:pPr>
      <w:r>
        <w:rPr/>
        <w:t>Cámara subacuática GoPro (vídeo 5K a 30 fps) y teléfono móvil (1080 × 1920 píxeles, 60 fps).</w:t>
      </w:r>
    </w:p>
    <w:p>
      <w:pPr>
        <w:pStyle w:val="ListParagraph"/>
        <w:numPr>
          <w:ilvl w:val="0"/>
          <w:numId w:val="3"/>
        </w:numPr>
        <w:spacing w:before="0" w:after="0"/>
        <w:contextualSpacing/>
        <w:jc w:val="both"/>
        <w:rPr/>
      </w:pPr>
      <w:r>
        <w:rPr/>
        <w:t>Vídeos de ocho nadadores de un club en los cuatro estilos, empleados exclusivamente con fines académicos.</w:t>
      </w:r>
    </w:p>
    <w:p>
      <w:pPr>
        <w:pStyle w:val="ListParagraph"/>
        <w:numPr>
          <w:ilvl w:val="0"/>
          <w:numId w:val="3"/>
        </w:numPr>
        <w:spacing w:before="0" w:after="0"/>
        <w:contextualSpacing/>
        <w:jc w:val="both"/>
        <w:rPr/>
      </w:pPr>
      <w:r>
        <w:rPr/>
        <w:t>Software libre: Python y bibliotecas de código abierto; pesos preentrenados públicos de YOLOv8 y MotionBERT.</w:t>
      </w:r>
    </w:p>
    <w:p>
      <w:pPr>
        <w:pStyle w:val="ListParagraph"/>
        <w:numPr>
          <w:ilvl w:val="0"/>
          <w:numId w:val="3"/>
        </w:numPr>
        <w:spacing w:before="0" w:after="0"/>
        <w:contextualSpacing/>
        <w:jc w:val="both"/>
        <w:rPr/>
      </w:pPr>
      <w:r>
        <w:rPr/>
        <w:t>Google Colab (gratuito) en la fase de prototipo y Google Drive para el intercambio de vídeos y resultados.</w:t>
      </w:r>
    </w:p>
    <w:p>
      <w:pPr>
        <w:pStyle w:val="Heading2"/>
        <w:numPr>
          <w:ilvl w:val="1"/>
          <w:numId w:val="52"/>
        </w:numPr>
        <w:rPr/>
      </w:pPr>
      <w:bookmarkStart w:id="108" w:name="__RefHeading___Toc9212_350176733"/>
      <w:bookmarkStart w:id="109" w:name="_Toc37845887"/>
      <w:bookmarkStart w:id="110" w:name="_Toc37758902"/>
      <w:bookmarkEnd w:id="108"/>
      <w:r>
        <w:rPr/>
        <w:t>Presupuesto</w:t>
      </w:r>
      <w:bookmarkEnd w:id="109"/>
      <w:bookmarkEnd w:id="110"/>
    </w:p>
    <w:p>
      <w:pPr>
        <w:pStyle w:val="Normal"/>
        <w:keepNext w:val="true"/>
        <w:jc w:val="both"/>
        <w:rPr/>
      </w:pPr>
      <w:r>
        <w:rPr/>
        <w:t>El presupuesto valora el tiempo invertido y el equipo utilizado, aunque no haya sido necesario adquirirlo. Todo el software es libre, por lo que su coste es nulo.</w:t>
      </w:r>
    </w:p>
    <w:tbl>
      <w:tblPr>
        <w:tblStyle w:val="Tablaconcuadrcula"/>
        <w:tblW w:w="87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9"/>
        <w:gridCol w:w="1984"/>
        <w:gridCol w:w="4112"/>
      </w:tblGrid>
      <w:tr>
        <w:trPr>
          <w:cantSplit w:val="true"/>
        </w:trPr>
        <w:tc>
          <w:tcPr>
            <w:tcW w:w="2659"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Tipo de coste</w:t>
            </w:r>
          </w:p>
        </w:tc>
        <w:tc>
          <w:tcPr>
            <w:tcW w:w="1984"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Valor</w:t>
            </w:r>
          </w:p>
        </w:tc>
        <w:tc>
          <w:tcPr>
            <w:tcW w:w="4112"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Comentarios</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Horas de trabajo en el proyecto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300 h · 6.000 €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Estimación: 12 ECTS × 25 h, valoradas a 20 €/h</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Equipo técnico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1.200 €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Valor aproximado de mercado del ordenador personal (800 €) y de la cámara GoPro (400 €)</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Software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color w:val="FF0000"/>
                <w:szCs w:val="24"/>
                <w:lang w:eastAsia="es-ES"/>
              </w:rPr>
            </w:pPr>
            <w:r>
              <w:rPr>
                <w:rFonts w:eastAsia="Calibri" w:cs="Times New Roman"/>
                <w:color w:val="000000"/>
                <w:kern w:val="0"/>
                <w:szCs w:val="24"/>
                <w:lang w:val="es-ES" w:eastAsia="es-ES" w:bidi="ar-SA"/>
              </w:rPr>
              <w:t>Software libre: Python, PyTorch, Ultralytics, OpenCV, scikit-learn, shap, Git; Google Colab gratuito</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Estudios e informes</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Artículos de acceso abierto o a través de la biblioteca de la universidad</w:t>
            </w:r>
          </w:p>
        </w:tc>
      </w:tr>
      <w:tr>
        <w:trPr>
          <w:cantSplit w:val="true"/>
        </w:trPr>
        <w:tc>
          <w:tcPr>
            <w:tcW w:w="2659" w:type="dxa"/>
            <w:tcBorders/>
            <w:vAlign w:val="center"/>
          </w:tcPr>
          <w:p>
            <w:pPr>
              <w:pStyle w:val="Normal"/>
              <w:keepNext w:val="false"/>
              <w:widowControl/>
              <w:spacing w:before="120" w:after="120"/>
              <w:jc w:val="left"/>
              <w:rPr>
                <w:szCs w:val="24"/>
                <w:lang w:eastAsia="es-ES"/>
              </w:rPr>
            </w:pPr>
            <w:r>
              <w:rPr>
                <w:rFonts w:eastAsia="Calibri" w:cs="Times New Roman"/>
                <w:kern w:val="0"/>
                <w:szCs w:val="24"/>
                <w:lang w:val="es-ES" w:eastAsia="es-ES" w:bidi="ar-SA"/>
              </w:rPr>
              <w:t>Materiales empleados</w:t>
            </w:r>
          </w:p>
        </w:tc>
        <w:tc>
          <w:tcPr>
            <w:tcW w:w="1984" w:type="dxa"/>
            <w:tcBorders/>
            <w:vAlign w:val="center"/>
          </w:tcPr>
          <w:p>
            <w:pPr>
              <w:pStyle w:val="Normal"/>
              <w:keepNext w:val="fals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false"/>
              <w:widowControl/>
              <w:spacing w:before="120" w:after="120"/>
              <w:jc w:val="left"/>
              <w:rPr>
                <w:color w:val="FF0000"/>
                <w:szCs w:val="24"/>
                <w:lang w:eastAsia="es-ES"/>
              </w:rPr>
            </w:pPr>
            <w:r>
              <w:rPr>
                <w:rFonts w:eastAsia="Calibri" w:cs="Times New Roman"/>
                <w:color w:val="000000"/>
                <w:kern w:val="0"/>
                <w:szCs w:val="24"/>
                <w:lang w:val="es-ES" w:eastAsia="es-ES" w:bidi="ar-SA"/>
              </w:rPr>
              <w:t>Sin sensores ni material adicional</w:t>
            </w:r>
          </w:p>
        </w:tc>
      </w:tr>
    </w:tbl>
    <w:p>
      <w:pPr>
        <w:pStyle w:val="Heading2"/>
        <w:numPr>
          <w:ilvl w:val="1"/>
          <w:numId w:val="53"/>
        </w:numPr>
        <w:rPr/>
      </w:pPr>
      <w:bookmarkStart w:id="111" w:name="__RefHeading___Toc9214_350176733"/>
      <w:bookmarkStart w:id="112" w:name="_Toc37845888"/>
      <w:bookmarkStart w:id="113" w:name="_Toc37758903"/>
      <w:bookmarkEnd w:id="111"/>
      <w:r>
        <w:rPr/>
        <w:t>Viabilidad</w:t>
      </w:r>
      <w:bookmarkEnd w:id="112"/>
      <w:bookmarkEnd w:id="113"/>
    </w:p>
    <w:p>
      <w:pPr>
        <w:pStyle w:val="Normal"/>
        <w:jc w:val="both"/>
        <w:rPr/>
      </w:pPr>
      <w:r>
        <w:rPr/>
        <w:t>El sistema es técnicamente viable con el equipo de un club: funciona en un ordenador personal sin GPU y procesa un vídeo 5K de 46 s en unos 9 minutos (288 s de estimación de pose, 25 s de elevación 3D y unos 205 s de vídeo anotado), sin coste de licencias; con una GPU, la estimación de pose es unas 25 veces más rápida (unos 160 fotogramas por segundo), lo que hace posible el análisis en tiempo real. La principal condición es el protocolo de grabación: se necesita al menos un minuto de nado continuo, o varias pasadas de una misma sesión, para que la fatiga pueda manifestarse. El uso de los vídeos requiere el consentimiento de los nadadores.</w:t>
      </w:r>
    </w:p>
    <w:p>
      <w:pPr>
        <w:pStyle w:val="Heading2"/>
        <w:numPr>
          <w:ilvl w:val="1"/>
          <w:numId w:val="54"/>
        </w:numPr>
        <w:rPr/>
      </w:pPr>
      <w:bookmarkStart w:id="114" w:name="__RefHeading___Toc9216_350176733"/>
      <w:bookmarkStart w:id="115" w:name="_Toc37845889"/>
      <w:bookmarkStart w:id="116" w:name="_Toc37758904"/>
      <w:bookmarkEnd w:id="114"/>
      <w:r>
        <w:rPr/>
        <w:t>Resultados del proyecto</w:t>
      </w:r>
      <w:bookmarkEnd w:id="115"/>
      <w:bookmarkEnd w:id="116"/>
    </w:p>
    <w:p>
      <w:pPr>
        <w:pStyle w:val="Heading3"/>
        <w:keepNext w:val="true"/>
        <w:numPr>
          <w:ilvl w:val="2"/>
          <w:numId w:val="55"/>
        </w:numPr>
        <w:rPr/>
      </w:pPr>
      <w:r>
        <w:rPr/>
        <w:t>Métricas de evaluación</w:t>
      </w:r>
    </w:p>
    <w:p>
      <w:pPr>
        <w:pStyle w:val="Normal"/>
        <w:jc w:val="both"/>
        <w:rPr/>
      </w:pPr>
      <w:r>
        <w:rPr/>
        <w:t>La exactitud de las magnitudes estimadas se mide con el error relativo frente a una referencia (Ecuación 18), que en los datos reales es el conteo manual y en los sintéticos el valor programado.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x</m:t>
                  </m:r>
                </m:e>
              </m:d>
            </m:num>
            <m:den>
              <m:r>
                <w:rPr>
                  <w:rFonts w:ascii="Cambria Math" w:hAnsi="Cambria Math"/>
                </w:rPr>
                <m:t xml:space="preserve">x</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18</w:t>
      </w:r>
      <w:r>
        <w:rPr/>
        <w:fldChar w:fldCharType="end"/>
      </w:r>
      <w:r>
        <w:rPr/>
        <w:t>. Error relativo de una magnitud estimada</w:t>
      </w:r>
    </w:p>
    <w:p>
      <w:pPr>
        <w:pStyle w:val="Normal"/>
        <w:keepNext w:val="true"/>
        <w:rPr/>
      </w:pPr>
      <w:r>
        <w:rPr/>
        <w:t>donde:</w:t>
      </w:r>
    </w:p>
    <w:p>
      <w:pPr>
        <w:pStyle w:val="ListParagraph"/>
        <w:keepNext w:val="true"/>
        <w:numPr>
          <w:ilvl w:val="0"/>
          <w:numId w:val="3"/>
        </w:numPr>
        <w:spacing w:before="0" w:after="0"/>
        <w:contextualSpacing/>
        <w:rPr/>
      </w:pPr>
      <w:r>
        <w:rPr/>
        <w:t>ε: error relativo (%)</w:t>
      </w:r>
    </w:p>
    <w:p>
      <w:pPr>
        <w:pStyle w:val="ListParagraph"/>
        <w:keepNext w:val="true"/>
        <w:numPr>
          <w:ilvl w:val="0"/>
          <w:numId w:val="3"/>
        </w:numPr>
        <w:spacing w:before="0" w:after="0"/>
        <w:contextualSpacing/>
        <w:rPr/>
      </w:pPr>
      <w:r>
        <w:rPr>
          <w:i/>
        </w:rPr>
        <w:t>x̂</w:t>
      </w:r>
      <w:r>
        <w:rPr/>
        <w:t>: valor estimado por el sistema</w:t>
      </w:r>
    </w:p>
    <w:p>
      <w:pPr>
        <w:pStyle w:val="ListParagraph"/>
        <w:keepNext w:val="false"/>
        <w:numPr>
          <w:ilvl w:val="0"/>
          <w:numId w:val="3"/>
        </w:numPr>
        <w:spacing w:before="0" w:after="0"/>
        <w:contextualSpacing/>
        <w:rPr/>
      </w:pPr>
      <w:r>
        <w:rPr>
          <w:i/>
        </w:rPr>
        <w:t>x</w:t>
      </w:r>
      <w:r>
        <w:rPr/>
        <w:t>: valor de referencia, en las mismas unidades</w:t>
      </w:r>
    </w:p>
    <w:p>
      <w:pPr>
        <w:pStyle w:val="Normal"/>
        <w:jc w:val="both"/>
        <w:rPr/>
      </w:pPr>
      <w:r>
        <w:rPr/>
        <w:t>La variabilidad de una medida entre ciclos se expresa con el coeficiente de variación (Ecuación 19). La clasificación del estilo se evalúa con la exactitud (proporción de aciertos) por ventana y por vídeo, y con la matriz de confusión.</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CV</m:t>
          </m:r>
          <m:r>
            <w:rPr>
              <w:rFonts w:ascii="Cambria Math" w:hAnsi="Cambria Math"/>
            </w:rPr>
            <m:t xml:space="preserve">=</m:t>
          </m:r>
          <m:f>
            <m:num>
              <m:r>
                <w:rPr>
                  <w:rFonts w:ascii="Cambria Math" w:hAnsi="Cambria Math"/>
                </w:rPr>
                <m:t xml:space="preserve">σ</m:t>
              </m:r>
            </m:num>
            <m:den>
              <m:r>
                <w:rPr>
                  <w:rFonts w:ascii="Cambria Math" w:hAnsi="Cambria Math"/>
                </w:rPr>
                <m:t xml:space="preserve">μ</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19</w:t>
      </w:r>
      <w:r>
        <w:rPr/>
        <w:fldChar w:fldCharType="end"/>
      </w:r>
      <w:r>
        <w:rPr/>
        <w:t>. Coeficiente de variación</w:t>
      </w:r>
    </w:p>
    <w:p>
      <w:pPr>
        <w:pStyle w:val="Normal"/>
        <w:keepNext w:val="true"/>
        <w:rPr/>
      </w:pPr>
      <w:r>
        <w:rPr/>
        <w:t>donde:</w:t>
      </w:r>
    </w:p>
    <w:p>
      <w:pPr>
        <w:pStyle w:val="ListParagraph"/>
        <w:keepNext w:val="true"/>
        <w:numPr>
          <w:ilvl w:val="0"/>
          <w:numId w:val="3"/>
        </w:numPr>
        <w:spacing w:before="0" w:after="0"/>
        <w:contextualSpacing/>
        <w:rPr/>
      </w:pPr>
      <w:r>
        <w:rPr/>
        <w:t>CV: coeficiente de variación (%)</w:t>
      </w:r>
    </w:p>
    <w:p>
      <w:pPr>
        <w:pStyle w:val="ListParagraph"/>
        <w:keepNext w:val="false"/>
        <w:numPr>
          <w:ilvl w:val="0"/>
          <w:numId w:val="3"/>
        </w:numPr>
        <w:spacing w:before="0" w:after="0"/>
        <w:contextualSpacing/>
        <w:rPr/>
      </w:pPr>
      <w:r>
        <w:rPr/>
        <w:t>μ, σ: media y desviación típica de la medida entre ciclos (en sus unidades)</w:t>
      </w:r>
    </w:p>
    <w:p>
      <w:pPr>
        <w:pStyle w:val="Heading3"/>
        <w:keepNext w:val="true"/>
        <w:numPr>
          <w:ilvl w:val="2"/>
          <w:numId w:val="56"/>
        </w:numPr>
        <w:rPr/>
      </w:pPr>
      <w:r>
        <w:rPr/>
        <w:t>Validación con datos sintéticos: secuencia de 90 s</w:t>
      </w:r>
    </w:p>
    <w:p>
      <w:pPr>
        <w:pStyle w:val="Normal"/>
        <w:jc w:val="both"/>
        <w:rPr/>
      </w:pPr>
      <w:r>
        <w:rP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inicio de la fatiga en el ciclo 35 (t = 51,9 s)</w:t>
      </w:r>
      <w:r>
        <w:rPr/>
        <w:t>, dentro de la transición introducida; PELT situó el cambio en el ciclo 33 (t = 49,4 s) y la correlación de comprobación del signo de SHAP fue 0,999 (Figuras 5 a 7).</w:t>
      </w:r>
    </w:p>
    <w:p>
      <w:pPr>
        <w:pStyle w:val="Normal"/>
        <w:keepNext w:val="true"/>
        <w:jc w:val="center"/>
        <w:rPr/>
      </w:pPr>
      <w:r>
        <w:rPr/>
        <w:drawing>
          <wp:inline distT="0" distB="0" distL="0" distR="0">
            <wp:extent cx="5400040" cy="2700020"/>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5</w:t>
      </w:r>
      <w:r>
        <w:rPr/>
        <w:fldChar w:fldCharType="end"/>
      </w:r>
      <w:r>
        <w:rPr/>
        <w:t>. Datos sintéticos: puntuación de anomalía por ciclo, umbral e inicio de la fatiga.</w:t>
      </w:r>
    </w:p>
    <w:p>
      <w:pPr>
        <w:pStyle w:val="Normal"/>
        <w:jc w:val="both"/>
        <w:rPr/>
      </w:pPr>
      <w:r>
        <w:rPr/>
        <w:t>La atribución SHAP identifica como causas variables efectivamente alteradas: el alcance del brazo derecho (1,78 → 1,05 troncos), la asimetría de brazos (2 % → 23 %) y la amplitud de patada (0,31 → 0,21 troncos).</w:t>
      </w:r>
    </w:p>
    <w:p>
      <w:pPr>
        <w:pStyle w:val="Normal"/>
        <w:keepNext w:val="true"/>
        <w:jc w:val="center"/>
        <w:rPr/>
      </w:pPr>
      <w:r>
        <w:rPr/>
        <w:drawing>
          <wp:inline distT="0" distB="0" distL="0" distR="0">
            <wp:extent cx="4319905" cy="4018915"/>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8"/>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6</w:t>
      </w:r>
      <w:r>
        <w:rPr/>
        <w:fldChar w:fldCharType="end"/>
      </w:r>
      <w:r>
        <w:rPr/>
        <w:t>. Datos sintéticos: atribución SHAP global de la puntuación de fatiga.</w:t>
      </w:r>
    </w:p>
    <w:p>
      <w:pPr>
        <w:pStyle w:val="Normal"/>
        <w:keepNext w:val="true"/>
        <w:jc w:val="center"/>
        <w:rPr/>
      </w:pPr>
      <w:r>
        <w:rPr/>
        <w:drawing>
          <wp:inline distT="0" distB="0" distL="0" distR="0">
            <wp:extent cx="4319905" cy="327660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9"/>
                    <a:stretch>
                      <a:fillRect/>
                    </a:stretch>
                  </pic:blipFill>
                  <pic:spPr bwMode="auto">
                    <a:xfrm>
                      <a:off x="0" y="0"/>
                      <a:ext cx="4319905" cy="327660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7</w:t>
      </w:r>
      <w:r>
        <w:rPr/>
        <w:fldChar w:fldCharType="end"/>
      </w:r>
      <w:r>
        <w:rPr/>
        <w:t>. Datos sintéticos: atribución SHAP local en el ciclo de inicio de la fatiga.</w:t>
      </w:r>
    </w:p>
    <w:p>
      <w:pPr>
        <w:pStyle w:val="Heading3"/>
        <w:keepNext w:val="true"/>
        <w:numPr>
          <w:ilvl w:val="2"/>
          <w:numId w:val="57"/>
        </w:numPr>
        <w:rPr/>
      </w:pPr>
      <w:r>
        <w:rPr/>
        <w:t>Validación con datos sintéticos: caso completo con referencia conocida</w:t>
      </w:r>
    </w:p>
    <w:p>
      <w:pPr>
        <w:pStyle w:val="Normal"/>
        <w:jc w:val="both"/>
        <w:rPr/>
      </w:pPr>
      <w:r>
        <w:rPr/>
        <w:t>Para evaluar todas las capacidades se generó una secuencia sintética de crol de 120 s con cámara fija que abarca los 25 m (velocidad calibrada) y fatiga programada que pasa del 10 % al 90 % de su intensidad entre t = 59 s y t = 81 s. Se analizó en vista lateral y frontal (Tabla 7).</w:t>
      </w:r>
    </w:p>
    <w:p>
      <w:pPr>
        <w:pStyle w:val="Caption"/>
        <w:keepNext w:val="true"/>
        <w:jc w:val="center"/>
        <w:rPr/>
      </w:pPr>
      <w:r>
        <w:rPr/>
        <w:t xml:space="preserve">Tabla </w:t>
      </w:r>
      <w:r>
        <w:rPr/>
        <w:fldChar w:fldCharType="begin"/>
      </w:r>
      <w:r>
        <w:rPr/>
        <w:instrText xml:space="preserve"> SEQ Tabla \* ARABIC </w:instrText>
      </w:r>
      <w:r>
        <w:rPr/>
        <w:fldChar w:fldCharType="separate"/>
      </w:r>
      <w:r>
        <w:rPr/>
        <w:t>7</w:t>
      </w:r>
      <w:r>
        <w:rPr/>
        <w:fldChar w:fldCharType="end"/>
      </w:r>
      <w:r>
        <w:rPr/>
        <w:t>. Datos sintéticos: estimaciones del sistema frente a la referencia programada.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3119"/>
        <w:gridCol w:w="3118"/>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311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lateral</w:t>
            </w:r>
          </w:p>
        </w:tc>
        <w:tc>
          <w:tcPr>
            <w:tcW w:w="31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frontal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Ciclos analizados</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98</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frecuencia de ciclo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4,7 %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0,3 %</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velocidad</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distancia por ciclo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4,3 %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Inicio de la fatiga detectado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57,3 s (ciclo 42)</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57,8 s (ciclo 45)</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con mayor atribución SHAP</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(173° → 151°), asimetría de brazos (3 % → 24 %), inclinación del tronco (2,7° → 7,9°)</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(46,2 → 52,9 ciclos/min), asimetría de brazos (1 % → 23 %), alcance del brazo (−32 %)</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Estilo predicho (probabilidad)</w:t>
            </w:r>
          </w:p>
        </w:tc>
        <w:tc>
          <w:tcPr>
            <w:tcW w:w="311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(0,98)</w:t>
            </w:r>
          </w:p>
        </w:tc>
        <w:tc>
          <w:tcPr>
            <w:tcW w:w="31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(0,95)</w:t>
            </w:r>
          </w:p>
        </w:tc>
      </w:tr>
    </w:tbl>
    <w:p>
      <w:pPr>
        <w:pStyle w:val="Normal"/>
        <w:jc w:val="both"/>
        <w:rPr/>
      </w:pPr>
      <w:r>
        <w:rPr/>
      </w:r>
    </w:p>
    <w:p>
      <w:pPr>
        <w:pStyle w:val="Normal"/>
        <w:jc w:val="both"/>
        <w:rPr/>
      </w:pPr>
      <w:r>
        <w:rPr/>
        <w:t>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8). En vista frontal el error de la frecuencia es menor porque la señal sintética está libre de oclusiones; este valor no debe extrapolarse a datos reales.</w:t>
      </w:r>
    </w:p>
    <w:p>
      <w:pPr>
        <w:pStyle w:val="Normal"/>
        <w:keepNext w:val="true"/>
        <w:jc w:val="center"/>
        <w:rPr/>
      </w:pPr>
      <w:r>
        <w:rPr/>
        <w:drawing>
          <wp:inline distT="0" distB="0" distL="0" distR="0">
            <wp:extent cx="5400040" cy="378015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0"/>
                    <a:stretch>
                      <a:fillRect/>
                    </a:stretch>
                  </pic:blipFill>
                  <pic:spPr bwMode="auto">
                    <a:xfrm>
                      <a:off x="0" y="0"/>
                      <a:ext cx="5400040" cy="37801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8</w:t>
      </w:r>
      <w:r>
        <w:rPr/>
        <w:fldChar w:fldCharType="end"/>
      </w:r>
      <w:r>
        <w:rPr/>
        <w:t>. Datos sintéticos (vista lateral): velocidad, frecuencia y distancia por ciclo estimadas frente a la referencia.</w:t>
      </w:r>
    </w:p>
    <w:p>
      <w:pPr>
        <w:pStyle w:val="Heading3"/>
        <w:keepNext w:val="true"/>
        <w:numPr>
          <w:ilvl w:val="2"/>
          <w:numId w:val="58"/>
        </w:numPr>
        <w:rPr/>
      </w:pPr>
      <w:r>
        <w:rPr/>
        <w:t>Clasificación del estilo de nado</w:t>
      </w:r>
    </w:p>
    <w:p>
      <w:pPr>
        <w:pStyle w:val="Normal"/>
        <w:jc w:val="both"/>
        <w:rPr/>
      </w:pPr>
      <w:r>
        <w:rPr/>
        <w:t>El clasificador se evaluó con 64 vídeos sintéticos (4 estilos × 2 vistas × 8 nadadores con parámetros aleatorios), que suman 1216 ventanas, mediante validación cruzada agrupada por vídeo de cinco particiones. La exactitud fue del 99,8 % por ventana y del 100 % por vídeo (Figura 9). La atribución SHAP muestra que la posición de la nariz distingue el crol de la espalda, la simultaneidad de los brazos caracteriza la mariposa y la correlación entre piernas, la braza, lo que coincide con la definición biomecánica de cada estilo.</w:t>
      </w:r>
    </w:p>
    <w:p>
      <w:pPr>
        <w:pStyle w:val="Normal"/>
        <w:keepNext w:val="true"/>
        <w:jc w:val="center"/>
        <w:rPr/>
      </w:pPr>
      <w:r>
        <w:rPr/>
        <w:drawing>
          <wp:inline distT="0" distB="0" distL="0" distR="0">
            <wp:extent cx="5400040" cy="196405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1"/>
                    <a:stretch>
                      <a:fillRect/>
                    </a:stretch>
                  </pic:blipFill>
                  <pic:spPr bwMode="auto">
                    <a:xfrm>
                      <a:off x="0" y="0"/>
                      <a:ext cx="5400040" cy="19640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9</w:t>
      </w:r>
      <w:r>
        <w:rPr/>
        <w:fldChar w:fldCharType="end"/>
      </w:r>
      <w:r>
        <w:rPr/>
        <w:t>. Clasificación del estilo en datos sintéticos: matriz de confusión por vídeo y atribución SHAP por estilo.</w:t>
      </w:r>
    </w:p>
    <w:p>
      <w:pPr>
        <w:pStyle w:val="Normal"/>
        <w:jc w:val="both"/>
        <w:rPr/>
      </w:pPr>
      <w:r>
        <w:rPr/>
        <w:t>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domain gap</w:t>
      </w:r>
      <w:r>
        <w:rPr/>
        <w:t>) y motivó la estimación por reglas biomecánicas, que se evalúa con el conjunto real más adelante en esta sección.</w:t>
      </w:r>
    </w:p>
    <w:p>
      <w:pPr>
        <w:pStyle w:val="Heading3"/>
        <w:keepNext w:val="true"/>
        <w:numPr>
          <w:ilvl w:val="2"/>
          <w:numId w:val="59"/>
        </w:numPr>
        <w:rPr/>
      </w:pPr>
      <w:r>
        <w:rPr/>
        <w:t>Conjunto real: cobertura del análisis</w:t>
      </w:r>
    </w:p>
    <w:p>
      <w:pPr>
        <w:pStyle w:val="Normal"/>
        <w:jc w:val="both"/>
        <w:rPr/>
      </w:pPr>
      <w:r>
        <w:rPr/>
        <w:t xml:space="preserve">El análisis por lotes se aplicó a las 25 secuencias del conjunto real con la configuración siguiente (YOLOv8n-Pose; las 17 secuencias del conjunto inicial con la entrada validada de 640 píxeles y las 8 nuevas, procesadas en el clúster, con 1280 píxeles, un fotograma de cada dos, filtros anatómicos, vista y estilo comprobados automáticamente). De los 44,9 min grabados, el sistema obtuvo </w:t>
      </w:r>
      <w:r>
        <w:rPr>
          <w:b/>
        </w:rPr>
        <w:t>6,3 min analizables (14 %) y 165 ciclos válidos</w:t>
      </w:r>
      <w:r>
        <w:rPr/>
        <w:t xml:space="preserve"> (Figura 10; detalle por secuencia en el Anexo D). La Tabla 8 agrega los resultados por participante y estilo.</w:t>
      </w:r>
    </w:p>
    <w:p>
      <w:pPr>
        <w:pStyle w:val="Normal"/>
        <w:keepNext w:val="true"/>
        <w:jc w:val="center"/>
        <w:rPr/>
      </w:pPr>
      <w:r>
        <w:rPr/>
        <w:drawing>
          <wp:inline distT="0" distB="0" distL="0" distR="0">
            <wp:extent cx="5400040" cy="4860290"/>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2"/>
                    <a:stretch>
                      <a:fillRect/>
                    </a:stretch>
                  </pic:blipFill>
                  <pic:spPr bwMode="auto">
                    <a:xfrm>
                      <a:off x="0" y="0"/>
                      <a:ext cx="5400040" cy="486029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10</w:t>
      </w:r>
      <w:r>
        <w:rPr/>
        <w:fldChar w:fldCharType="end"/>
      </w:r>
      <w:r>
        <w:rPr/>
        <w:t>. Conjunto real: duración grabada, tiempo analizable y ciclos válidos por secuencia.</w:t>
      </w:r>
    </w:p>
    <w:p>
      <w:pPr>
        <w:pStyle w:val="Caption"/>
        <w:keepNext w:val="true"/>
        <w:jc w:val="center"/>
        <w:rPr/>
      </w:pPr>
      <w:r>
        <w:rPr/>
        <w:t xml:space="preserve">Tabla </w:t>
      </w:r>
      <w:r>
        <w:rPr/>
        <w:fldChar w:fldCharType="begin"/>
      </w:r>
      <w:r>
        <w:rPr/>
        <w:instrText xml:space="preserve"> SEQ Tabla \* ARABIC </w:instrText>
      </w:r>
      <w:r>
        <w:rPr/>
        <w:fldChar w:fldCharType="separate"/>
      </w:r>
      <w:r>
        <w:rPr/>
        <w:t>8</w:t>
      </w:r>
      <w:r>
        <w:rPr/>
        <w:fldChar w:fldCharType="end"/>
      </w:r>
      <w:r>
        <w:rPr/>
        <w:t>. Conjunto real: tiempo analizable y ciclos válidos por participante y estilo.</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1360"/>
        <w:gridCol w:w="1475"/>
        <w:gridCol w:w="2041"/>
        <w:gridCol w:w="1928"/>
      </w:tblGrid>
      <w:tr>
        <w:trPr>
          <w:tblHeader w:val="true"/>
          <w:cantSplit w:val="true"/>
        </w:trPr>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Participante y estilo</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w:t>
            </w:r>
          </w:p>
        </w:tc>
        <w:tc>
          <w:tcPr>
            <w:tcW w:w="147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Grabado</w:t>
            </w:r>
          </w:p>
        </w:tc>
        <w:tc>
          <w:tcPr>
            <w:tcW w:w="204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Analizable</w:t>
            </w:r>
          </w:p>
        </w:tc>
        <w:tc>
          <w:tcPr>
            <w:tcW w:w="192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válidos</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118,8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35,9 s (30 %)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mariposa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40,2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 s (8 %)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49,6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12,2 s (25 %)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 · espalda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12,9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 s (23 %)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39,4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6,1 s (15 %)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mariposa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58,2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39,7 s (68 %)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75,1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32,4 s (43 %)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P5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2301,9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248,7 s (11 %)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70</w:t>
            </w:r>
          </w:p>
        </w:tc>
      </w:tr>
      <w:tr>
        <w:trPr>
          <w:cantSplit w:val="true"/>
        </w:trPr>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25</w:t>
            </w:r>
          </w:p>
        </w:tc>
        <w:tc>
          <w:tcPr>
            <w:tcW w:w="147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2696,1 s</w:t>
            </w:r>
          </w:p>
        </w:tc>
        <w:tc>
          <w:tcPr>
            <w:tcW w:w="204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381,0 s (14 %)</w:t>
            </w:r>
          </w:p>
        </w:tc>
        <w:tc>
          <w:tcPr>
            <w:tcW w:w="192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165</w:t>
            </w:r>
          </w:p>
        </w:tc>
      </w:tr>
    </w:tbl>
    <w:p>
      <w:pPr>
        <w:pStyle w:val="Normal"/>
        <w:jc w:val="both"/>
        <w:rPr/>
      </w:pPr>
      <w:r>
        <w:rPr/>
      </w:r>
    </w:p>
    <w:p>
      <w:pPr>
        <w:pStyle w:val="Normal"/>
        <w:jc w:val="both"/>
        <w:rPr/>
      </w:pPr>
      <w:r>
        <w:rPr/>
        <w:t>La entrada de 1280 píxeles se probó en el clúster con las 17 secuencias del conjunto inicial y no mejoró la detección respecto a la de 640 píxeles: produjo 64 ciclos válidos frente a 95, 114,5 s analizables frente a 132,3 s y un error de la frecuencia frente al conteo manual mucho mayor. Por ello, para esas secuencias se mantiene la entrada de 640 píxeles. Las secuencias nuevas de P5 solo se han analizado con 1280 píxeles; su repetición con 640 píxeles queda pendiente y podría aumentar sus ciclos válidos.</w:t>
      </w:r>
    </w:p>
    <w:p>
      <w:pPr>
        <w:pStyle w:val="Normal"/>
        <w:jc w:val="both"/>
        <w:rPr/>
      </w:pPr>
      <w:r>
        <w:rPr/>
        <w:t>La cobertura depende sobre todo de las condiciones de grabación: la distancia entre la cámara y el nadador y el tiempo que este permanece en el encuadre. La secuencia con mayor proporción analizable es GX010719 (P5, crol, 87 %). 5 secuencias no producen ningún ciclo válido (GX011617, GX011610, IMG_7209, ASCR, GX011613), por detección insuficiente o por una señal de la mano fragmentada.</w:t>
      </w:r>
    </w:p>
    <w:p>
      <w:pPr>
        <w:pStyle w:val="Heading3"/>
        <w:keepNext w:val="true"/>
        <w:numPr>
          <w:ilvl w:val="2"/>
          <w:numId w:val="60"/>
        </w:numPr>
        <w:rPr/>
      </w:pPr>
      <w:r>
        <w:rPr/>
        <w:t>Validación de la frecuencia de ciclo frente al conteo manual</w:t>
      </w:r>
    </w:p>
    <w:p>
      <w:pPr>
        <w:pStyle w:val="Caption"/>
        <w:keepNext w:val="true"/>
        <w:jc w:val="center"/>
        <w:rPr/>
      </w:pPr>
      <w:r>
        <w:rPr/>
        <w:t xml:space="preserve">Tabla </w:t>
      </w:r>
      <w:r>
        <w:rPr/>
        <w:fldChar w:fldCharType="begin"/>
      </w:r>
      <w:r>
        <w:rPr/>
        <w:instrText xml:space="preserve"> SEQ Tabla \* ARABIC </w:instrText>
      </w:r>
      <w:r>
        <w:rPr/>
        <w:fldChar w:fldCharType="separate"/>
      </w:r>
      <w:r>
        <w:rPr/>
        <w:t>9</w:t>
      </w:r>
      <w:r>
        <w:rPr/>
        <w:fldChar w:fldCharType="end"/>
      </w:r>
      <w:r>
        <w:rPr/>
        <w:t>. Frecuencia de ciclo estimada (media de la secuencia) frente al conteo manual.</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1019"/>
        <w:gridCol w:w="2609"/>
        <w:gridCol w:w="1644"/>
        <w:gridCol w:w="1133"/>
        <w:gridCol w:w="1191"/>
      </w:tblGrid>
      <w:tr>
        <w:trPr>
          <w:tblHeader w:val="true"/>
          <w:cantSplit w:val="true"/>
        </w:trPr>
        <w:tc>
          <w:tcPr>
            <w:tcW w:w="147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w:t>
            </w:r>
          </w:p>
        </w:tc>
        <w:tc>
          <w:tcPr>
            <w:tcW w:w="101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260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Conteo manual</w:t>
            </w:r>
          </w:p>
        </w:tc>
        <w:tc>
          <w:tcPr>
            <w:tcW w:w="164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Sistema</w:t>
            </w:r>
          </w:p>
        </w:tc>
        <w:tc>
          <w:tcPr>
            <w:tcW w:w="113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Error relativo</w:t>
            </w:r>
          </w:p>
        </w:tc>
        <w:tc>
          <w:tcPr>
            <w:tcW w:w="119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válidos</w:t>
            </w:r>
          </w:p>
        </w:tc>
      </w:tr>
      <w:tr>
        <w:trPr>
          <w:cantSplit w:val="true"/>
        </w:trPr>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w:t>
            </w:r>
          </w:p>
        </w:tc>
        <w:tc>
          <w:tcPr>
            <w:tcW w:w="10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260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54 ciclos/min (9 ciclos en 10 s, s 30-40)</w:t>
            </w:r>
          </w:p>
        </w:tc>
        <w:tc>
          <w:tcPr>
            <w:tcW w:w="164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50,5 ciclos/min</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6,5 %</w:t>
            </w:r>
          </w:p>
        </w:tc>
        <w:tc>
          <w:tcPr>
            <w:tcW w:w="119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r>
      <w:tr>
        <w:trPr>
          <w:cantSplit w:val="true"/>
        </w:trPr>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w:t>
            </w:r>
          </w:p>
        </w:tc>
        <w:tc>
          <w:tcPr>
            <w:tcW w:w="10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260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80 ciclos/min (8 en 6,0 s)</w:t>
            </w:r>
          </w:p>
        </w:tc>
        <w:tc>
          <w:tcPr>
            <w:tcW w:w="164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73,9 ciclos/min</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7,6 %</w:t>
            </w:r>
          </w:p>
        </w:tc>
        <w:tc>
          <w:tcPr>
            <w:tcW w:w="119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r>
      <w:tr>
        <w:trPr>
          <w:cantSplit w:val="true"/>
        </w:trPr>
        <w:tc>
          <w:tcPr>
            <w:tcW w:w="147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w:t>
            </w:r>
          </w:p>
        </w:tc>
        <w:tc>
          <w:tcPr>
            <w:tcW w:w="101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260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51 ciclos/min (8 en 9,4 s)</w:t>
            </w:r>
          </w:p>
        </w:tc>
        <w:tc>
          <w:tcPr>
            <w:tcW w:w="164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55,2 ciclos/min</w:t>
            </w:r>
          </w:p>
        </w:tc>
        <w:tc>
          <w:tcPr>
            <w:tcW w:w="113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8,2 %</w:t>
            </w:r>
          </w:p>
        </w:tc>
        <w:tc>
          <w:tcPr>
            <w:tcW w:w="119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r>
    </w:tbl>
    <w:p>
      <w:pPr>
        <w:pStyle w:val="Normal"/>
        <w:jc w:val="both"/>
        <w:rPr/>
      </w:pPr>
      <w:r>
        <w:rPr/>
      </w:r>
    </w:p>
    <w:p>
      <w:pPr>
        <w:pStyle w:val="Normal"/>
        <w:jc w:val="both"/>
        <w:rPr/>
      </w:pPr>
      <w:r>
        <w:rPr/>
        <w:t>El error relativo de la frecuencia de ciclo (Ecuación 18) se sitúa entre el 6,5 % y el 8,2 % en las dos vistas, y el sistema distingue ritmos muy distintos de un mismo nadador. El conteo manual se realizó en tramos de las secuencias, mientras que el sistema promedia los ciclos válidos de toda la secuencia, lo que explica parte de la diferencia. Estas comparaciones forman parte de las pruebas automáticas del código.</w:t>
      </w:r>
    </w:p>
    <w:p>
      <w:pPr>
        <w:pStyle w:val="Heading3"/>
        <w:keepNext w:val="true"/>
        <w:numPr>
          <w:ilvl w:val="2"/>
          <w:numId w:val="61"/>
        </w:numPr>
        <w:rPr/>
      </w:pPr>
      <w:r>
        <w:rPr/>
        <w:t>Frecuencia de ciclo y técnica por participante y estilo</w:t>
      </w:r>
    </w:p>
    <w:p>
      <w:pPr>
        <w:pStyle w:val="Normal"/>
        <w:jc w:val="both"/>
        <w:rPr/>
      </w:pPr>
      <w:r>
        <w:rPr/>
        <w:t>La Tabla 10 resume los ciclos laterales por participante y estilo; las secuencias frontales se excluyen porque sus ángulos 2D no son comparables. La Figura 11 muestra la distribución por ciclo de tres variables.</w:t>
      </w:r>
    </w:p>
    <w:p>
      <w:pPr>
        <w:pStyle w:val="Caption"/>
        <w:keepNext w:val="true"/>
        <w:jc w:val="center"/>
        <w:rPr/>
      </w:pPr>
      <w:r>
        <w:rPr/>
        <w:t xml:space="preserve">Tabla </w:t>
      </w:r>
      <w:r>
        <w:rPr/>
        <w:fldChar w:fldCharType="begin"/>
      </w:r>
      <w:r>
        <w:rPr/>
        <w:instrText xml:space="preserve"> SEQ Tabla \* ARABIC </w:instrText>
      </w:r>
      <w:r>
        <w:rPr/>
        <w:fldChar w:fldCharType="separate"/>
      </w:r>
      <w:r>
        <w:rPr/>
        <w:t>10</w:t>
      </w:r>
      <w:r>
        <w:rPr/>
        <w:fldChar w:fldCharType="end"/>
      </w:r>
      <w:r>
        <w:rPr/>
        <w:t>. Variables por ciclo (media ± desviación típica) de los ciclos laterales por participante y estilo. Los ángulos son la media de los lados izquierdo y derecho.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738"/>
        <w:gridCol w:w="1587"/>
        <w:gridCol w:w="1247"/>
        <w:gridCol w:w="1246"/>
        <w:gridCol w:w="1247"/>
        <w:gridCol w:w="1304"/>
      </w:tblGrid>
      <w:tr>
        <w:trPr>
          <w:tblHeader w:val="true"/>
          <w:cantSplit w:val="true"/>
        </w:trPr>
        <w:tc>
          <w:tcPr>
            <w:tcW w:w="170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Participante y estilo</w:t>
            </w:r>
          </w:p>
        </w:tc>
        <w:tc>
          <w:tcPr>
            <w:tcW w:w="73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Ciclos</w:t>
            </w:r>
          </w:p>
        </w:tc>
        <w:tc>
          <w:tcPr>
            <w:tcW w:w="158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Frecuencia (ciclos/min)</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Codo (°)</w:t>
            </w:r>
          </w:p>
        </w:tc>
        <w:tc>
          <w:tcPr>
            <w:tcW w:w="124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Cadera (°)</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Rodilla (°)</w:t>
            </w:r>
          </w:p>
        </w:tc>
        <w:tc>
          <w:tcPr>
            <w:tcW w:w="130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Inclinación (°)</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52,1 ± 11,6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125 ± 17</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166 ± 14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149 ± 32</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 ± 3,4</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66,6 ± 13,6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 ± 18</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148 ± 13</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133 ± 31</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17,8 ± 5,3</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75,3 ± 7,6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101 ± 34</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125 ± 27</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80 ± 45</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30,0 ± 7,1</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 · mariposa</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26</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59,5 ± 18,0</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103 ± 32</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162 ± 18</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125 ± 36</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15,0 ± 5,7</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 · braza</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79,5 ± 17,1</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103 ± 43</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157 ± 14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145 ± 28</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12,1 ± 5,8</w:t>
            </w:r>
          </w:p>
        </w:tc>
      </w:tr>
      <w:tr>
        <w:trPr>
          <w:cantSplit w:val="true"/>
        </w:trPr>
        <w:tc>
          <w:tcPr>
            <w:tcW w:w="170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P5 · crol</w:t>
            </w:r>
          </w:p>
        </w:tc>
        <w:tc>
          <w:tcPr>
            <w:tcW w:w="73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54</w:t>
            </w:r>
          </w:p>
        </w:tc>
        <w:tc>
          <w:tcPr>
            <w:tcW w:w="158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49,1 ± 10,6</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96 ± 38</w:t>
            </w:r>
          </w:p>
        </w:tc>
        <w:tc>
          <w:tcPr>
            <w:tcW w:w="124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146 ± 35</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105 ± 56</w:t>
            </w:r>
          </w:p>
        </w:tc>
        <w:tc>
          <w:tcPr>
            <w:tcW w:w="130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16,7 ± 10,7</w:t>
            </w:r>
          </w:p>
        </w:tc>
      </w:tr>
    </w:tbl>
    <w:p>
      <w:pPr>
        <w:pStyle w:val="Normal"/>
        <w:jc w:val="both"/>
        <w:rPr/>
      </w:pPr>
      <w:r>
        <w:rPr/>
      </w:r>
    </w:p>
    <w:p>
      <w:pPr>
        <w:pStyle w:val="Normal"/>
        <w:keepNext w:val="true"/>
        <w:jc w:val="center"/>
        <w:rPr/>
      </w:pPr>
      <w:r>
        <w:rPr/>
        <w:drawing>
          <wp:inline distT="0" distB="0" distL="0" distR="0">
            <wp:extent cx="5400040" cy="1865630"/>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3"/>
                    <a:stretch>
                      <a:fillRect/>
                    </a:stretch>
                  </pic:blipFill>
                  <pic:spPr bwMode="auto">
                    <a:xfrm>
                      <a:off x="0" y="0"/>
                      <a:ext cx="5400040" cy="186563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11</w:t>
      </w:r>
      <w:r>
        <w:rPr/>
        <w:fldChar w:fldCharType="end"/>
      </w:r>
      <w:r>
        <w:rPr/>
        <w:t>. Distribución por ciclo de la frecuencia de ciclo, la flexión del codo y la inclinación del tronco por participante y estilo (ciclos laterales).</w:t>
      </w:r>
    </w:p>
    <w:p>
      <w:pPr>
        <w:pStyle w:val="Normal"/>
        <w:jc w:val="both"/>
        <w:rPr/>
      </w:pPr>
      <w:r>
        <w:rPr/>
        <w:t>Los perfiles deben leerse junto con la calidad de la detección:</w:t>
      </w:r>
    </w:p>
    <w:p>
      <w:pPr>
        <w:pStyle w:val="ListParagraph"/>
        <w:numPr>
          <w:ilvl w:val="0"/>
          <w:numId w:val="3"/>
        </w:numPr>
        <w:spacing w:before="0" w:after="0"/>
        <w:contextualSpacing/>
        <w:jc w:val="both"/>
        <w:rPr/>
      </w:pPr>
      <w:r>
        <w:rPr>
          <w:b/>
        </w:rPr>
        <w:t>P1 · crol</w:t>
      </w:r>
      <w:r>
        <w:rPr/>
        <w:t>: 10 ciclos, 52,1 ciclos/min, inclinación del tronco de 7,9° y ángulo de cadera de 166°, valores coherentes con un cuerpo alineado.</w:t>
      </w:r>
    </w:p>
    <w:p>
      <w:pPr>
        <w:pStyle w:val="ListParagraph"/>
        <w:numPr>
          <w:ilvl w:val="0"/>
          <w:numId w:val="3"/>
        </w:numPr>
        <w:spacing w:before="0" w:after="0"/>
        <w:contextualSpacing/>
        <w:jc w:val="both"/>
        <w:rPr/>
      </w:pPr>
      <w:r>
        <w:rPr>
          <w:b/>
        </w:rPr>
        <w:t>P2 · crol</w:t>
      </w:r>
      <w:r>
        <w:rPr/>
        <w:t>: 9 ciclos, 66,6 ciclos/min, inclinación del tronco de 17,8° y ángulo de cadera de 148°, valores coherentes con un cuerpo alineado.</w:t>
      </w:r>
    </w:p>
    <w:p>
      <w:pPr>
        <w:pStyle w:val="ListParagraph"/>
        <w:numPr>
          <w:ilvl w:val="0"/>
          <w:numId w:val="3"/>
        </w:numPr>
        <w:spacing w:before="0" w:after="0"/>
        <w:contextualSpacing/>
        <w:jc w:val="both"/>
        <w:rPr/>
      </w:pPr>
      <w:r>
        <w:rPr>
          <w:b/>
        </w:rPr>
        <w:t>P3 · crol</w:t>
      </w:r>
      <w:r>
        <w:rPr/>
        <w:t>: con 5 ciclos, una inclinación media del tronco de 30,0° y una cadera de 125°, los valores reflejan una detección deficiente y no se interpretan como rasgos técnicos.</w:t>
      </w:r>
    </w:p>
    <w:p>
      <w:pPr>
        <w:pStyle w:val="ListParagraph"/>
        <w:numPr>
          <w:ilvl w:val="0"/>
          <w:numId w:val="3"/>
        </w:numPr>
        <w:spacing w:before="0" w:after="0"/>
        <w:contextualSpacing/>
        <w:jc w:val="both"/>
        <w:rPr/>
      </w:pPr>
      <w:r>
        <w:rPr>
          <w:b/>
        </w:rPr>
        <w:t>P3 · mariposa</w:t>
      </w:r>
      <w:r>
        <w:rPr/>
        <w:t>: 26 ciclos, 59,5 ciclos/min, inclinación del tronco de 15,0° y ángulo de cadera de 162°, valores coherentes con un cuerpo alineado.</w:t>
      </w:r>
    </w:p>
    <w:p>
      <w:pPr>
        <w:pStyle w:val="ListParagraph"/>
        <w:numPr>
          <w:ilvl w:val="0"/>
          <w:numId w:val="3"/>
        </w:numPr>
        <w:spacing w:before="0" w:after="0"/>
        <w:contextualSpacing/>
        <w:jc w:val="both"/>
        <w:rPr/>
      </w:pPr>
      <w:r>
        <w:rPr>
          <w:b/>
        </w:rPr>
        <w:t>P4 · braza</w:t>
      </w:r>
      <w:r>
        <w:rPr/>
        <w:t>: la frecuencia media de 79,5 ciclos/min es superior a la habitual en braza. Con los límites de intervalo entre brazadas de 0,70, 0,85 y 1,00 s, la frecuencia de las secuencias laterales de este participante varía entre unos 40 y 84 ciclos/min: la señal de la mano registra probablemente dos máximos por ciclo (tracción y recobro). El valor queda pendiente de validar con un conteo manual y no se interpreta.</w:t>
      </w:r>
    </w:p>
    <w:p>
      <w:pPr>
        <w:pStyle w:val="ListParagraph"/>
        <w:numPr>
          <w:ilvl w:val="0"/>
          <w:numId w:val="3"/>
        </w:numPr>
        <w:spacing w:before="0" w:after="0"/>
        <w:contextualSpacing/>
        <w:jc w:val="both"/>
        <w:rPr/>
      </w:pPr>
      <w:r>
        <w:rPr>
          <w:b/>
        </w:rPr>
        <w:t>P5 · crol</w:t>
      </w:r>
      <w:r>
        <w:rPr/>
        <w:t>: 54 ciclos, 49,1 ciclos/min, inclinación del tronco de 16,7° y ángulo de cadera de 146°, valores coherentes con un cuerpo alineado.</w:t>
      </w:r>
    </w:p>
    <w:p>
      <w:pPr>
        <w:pStyle w:val="Normal"/>
        <w:jc w:val="both"/>
        <w:rPr/>
      </w:pPr>
      <w:r>
        <w:rPr/>
        <w:t>La dispersión entre ciclos es elevada en todas las variables, lo que refuerza la decisión de comparar a cada nadador consigo mismo en lugar de con un patrón común.</w:t>
      </w:r>
    </w:p>
    <w:p>
      <w:pPr>
        <w:pStyle w:val="Heading3"/>
        <w:keepNext w:val="true"/>
        <w:numPr>
          <w:ilvl w:val="2"/>
          <w:numId w:val="62"/>
        </w:numPr>
        <w:rPr/>
      </w:pPr>
      <w:r>
        <w:rPr/>
        <w:t>Fatiga en una secuencia continua de larga duración</w:t>
      </w:r>
    </w:p>
    <w:p>
      <w:pPr>
        <w:pStyle w:val="Normal"/>
        <w:jc w:val="both"/>
        <w:rPr/>
      </w:pPr>
      <w:r>
        <w:rPr/>
        <w:t>La secuencia GX010731 (P5, crol) dura 34,5 min y es la única del conjunto con duración suficiente para observar la fatiga dentro de una misma grabación. El sistema determinó la vista por tramos (lateral de 0,0 a 34,5 min), obtuvo 2,2 min analizables y 19 ciclos válidos, con una frecuencia media de 51,6 ciclos/min.</w:t>
      </w:r>
    </w:p>
    <w:p>
      <w:pPr>
        <w:pStyle w:val="Normal"/>
        <w:jc w:val="both"/>
        <w:rPr/>
      </w:pPr>
      <w:r>
        <w:rPr>
          <w:b/>
        </w:rPr>
        <w:t>El sistema detecta un cambio técnico sostenido, compatible con la fatiga, a partir del ciclo 7 (t = 748,0 s, 12,5 min)</w:t>
      </w:r>
      <w:r>
        <w:rPr/>
        <w:t>: a partir de ese ciclo la puntuación de anomalía respecto a la fase base del propio nadador supera el umbral de forma sostenida (Figura 12). Las variables con mayor atribución SHAP tras el inicio son: Amplitud de patada (troncos): 0,27 → 0,62 (+125%); Frecuencia de ciclo (ciclos/min): 44,59 → 55,27 (+24%); Flexión codo dcho. en agarre (°): 101,96 → 86,23 (-15%); Apertura hombro dcho. (°): 78,40 → 98,73 (+26%).</w:t>
      </w:r>
    </w:p>
    <w:p>
      <w:pPr>
        <w:pStyle w:val="Normal"/>
        <w:keepNext w:val="true"/>
        <w:jc w:val="center"/>
        <w:rPr/>
      </w:pPr>
      <w:r>
        <w:rPr/>
        <w:drawing>
          <wp:inline distT="0" distB="0" distL="0" distR="0">
            <wp:extent cx="5400040" cy="2700020"/>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4"/>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12</w:t>
      </w:r>
      <w:r>
        <w:rPr/>
        <w:fldChar w:fldCharType="end"/>
      </w:r>
      <w:r>
        <w:rPr/>
        <w:t>. Secuencia GX010731 (P5): puntuación de anomalía por ciclo, umbral de la fase base y frecuencia y flexión del codo por ciclo.</w:t>
      </w:r>
    </w:p>
    <w:p>
      <w:pPr>
        <w:pStyle w:val="Normal"/>
        <w:keepNext w:val="true"/>
        <w:jc w:val="center"/>
        <w:rPr/>
      </w:pPr>
      <w:r>
        <w:rPr/>
        <w:drawing>
          <wp:inline distT="0" distB="0" distL="0" distR="0">
            <wp:extent cx="4319905" cy="4018915"/>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5"/>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13</w:t>
      </w:r>
      <w:r>
        <w:rPr/>
        <w:fldChar w:fldCharType="end"/>
      </w:r>
      <w:r>
        <w:rPr/>
        <w:t>. Secuencia GX010731 (P5): atribución SHAP de la puntuación de anomalía.</w:t>
      </w:r>
    </w:p>
    <w:p>
      <w:pPr>
        <w:pStyle w:val="Normal"/>
        <w:keepNext w:val="true"/>
        <w:jc w:val="center"/>
        <w:rPr/>
      </w:pPr>
      <w:r>
        <w:rPr/>
        <w:drawing>
          <wp:inline distT="0" distB="0" distL="0" distR="0">
            <wp:extent cx="4319905" cy="3313430"/>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6"/>
                    <a:stretch>
                      <a:fillRect/>
                    </a:stretch>
                  </pic:blipFill>
                  <pic:spPr bwMode="auto">
                    <a:xfrm>
                      <a:off x="0" y="0"/>
                      <a:ext cx="4319905" cy="331343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14</w:t>
      </w:r>
      <w:r>
        <w:rPr/>
        <w:fldChar w:fldCharType="end"/>
      </w:r>
      <w:r>
        <w:rPr/>
        <w:t>. Secuencia GX010731 (P5): atribución SHAP en el ciclo de inicio de la fatiga.</w:t>
      </w:r>
    </w:p>
    <w:p>
      <w:pPr>
        <w:pStyle w:val="Normal"/>
        <w:jc w:val="both"/>
        <w:rPr/>
      </w:pPr>
      <w:r>
        <w:rPr/>
        <w:t>El resultado debe interpretarse con cautela. Los 19 ciclos válidos están repartidos a lo largo de toda la grabación (uno cada 1,8 min de media), porque el nadador solo es analizable cuando nada cerca de la cámara; la fase base la forman los primeros ciclos, pocos, y el análisis compara pasadas separadas por minutos de entrenamiento, que pueden incluir cambios de ritmo o de ejercicio. Además, el estilo observado (brazos simultaneos) no coincide con el indicado (crol), lo que sugiere que la sesión contiene tramos de otros estilos o ejercicios técnicos. No se dispone de una referencia independiente del estado de fatiga (lactato, esfuerzo percibido o valoración del entrenador). El resultado es, por tanto, un indicio de cambio técnico sostenido compatible con la fatiga, no una fatiga fisiológica confirmada; su validación requiere grabar series de nado continuo con el nadador siempre en el encuadre.</w:t>
      </w:r>
    </w:p>
    <w:p>
      <w:pPr>
        <w:pStyle w:val="Heading3"/>
        <w:keepNext w:val="true"/>
        <w:numPr>
          <w:ilvl w:val="2"/>
          <w:numId w:val="63"/>
        </w:numPr>
        <w:rPr/>
      </w:pPr>
      <w:r>
        <w:rPr/>
        <w:t>Fatiga en las sesiones de pasadas cortas</w:t>
      </w:r>
    </w:p>
    <w:p>
      <w:pPr>
        <w:pStyle w:val="Normal"/>
        <w:jc w:val="both"/>
        <w:rPr/>
      </w:pPr>
      <w:r>
        <w:rPr/>
        <w:t>Las secuencias cortas de un mismo participante, estilo y cámara se unen en sesiones. El análisis de fatiga se aplica a las sesiones con al menos ocho ciclos (Tabla 11).</w:t>
      </w:r>
    </w:p>
    <w:p>
      <w:pPr>
        <w:pStyle w:val="Caption"/>
        <w:keepNext w:val="true"/>
        <w:jc w:val="center"/>
        <w:rPr/>
      </w:pPr>
      <w:r>
        <w:rPr/>
        <w:t xml:space="preserve">Tabla </w:t>
      </w:r>
      <w:r>
        <w:rPr/>
        <w:fldChar w:fldCharType="begin"/>
      </w:r>
      <w:r>
        <w:rPr/>
        <w:instrText xml:space="preserve"> SEQ Tabla \* ARABIC </w:instrText>
      </w:r>
      <w:r>
        <w:rPr/>
        <w:fldChar w:fldCharType="separate"/>
      </w:r>
      <w:r>
        <w:rPr/>
        <w:t>11</w:t>
      </w:r>
      <w:r>
        <w:rPr/>
        <w:fldChar w:fldCharType="end"/>
      </w:r>
      <w:r>
        <w:rPr/>
        <w:t>. Resultado del análisis de fatiga en las sesiones con más de una secuencia.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1134"/>
        <w:gridCol w:w="851"/>
        <w:gridCol w:w="1701"/>
        <w:gridCol w:w="2551"/>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Sesión</w:t>
            </w:r>
          </w:p>
        </w:tc>
        <w:tc>
          <w:tcPr>
            <w:tcW w:w="11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w:t>
            </w:r>
          </w:p>
        </w:tc>
        <w:tc>
          <w:tcPr>
            <w:tcW w:w="85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w:t>
            </w:r>
          </w:p>
        </w:tc>
        <w:tc>
          <w:tcPr>
            <w:tcW w:w="17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Inicio de la fatiga</w:t>
            </w:r>
          </w:p>
        </w:tc>
        <w:tc>
          <w:tcPr>
            <w:tcW w:w="255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P5 · crol · GoPro</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46</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P5 · crol · móvil</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24</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 · GoPro</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 · móvil</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Insuficiente (&lt; 8 ciclos)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 · GoPro</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27</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 · móvil</w:t>
            </w:r>
          </w:p>
        </w:tc>
        <w:tc>
          <w:tcPr>
            <w:tcW w:w="11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7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Insuficiente (&lt; 8 ciclos)</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P3 · mariposa · GoPro</w:t>
            </w:r>
          </w:p>
        </w:tc>
        <w:tc>
          <w:tcPr>
            <w:tcW w:w="11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26</w:t>
            </w:r>
          </w:p>
        </w:tc>
        <w:tc>
          <w:tcPr>
            <w:tcW w:w="17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255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bl>
    <w:p>
      <w:pPr>
        <w:pStyle w:val="Normal"/>
        <w:jc w:val="both"/>
        <w:rPr/>
      </w:pPr>
      <w:r>
        <w:rPr/>
      </w:r>
    </w:p>
    <w:p>
      <w:pPr>
        <w:pStyle w:val="Normal"/>
        <w:keepNext w:val="true"/>
        <w:jc w:val="center"/>
        <w:rPr/>
      </w:pPr>
      <w:r>
        <w:rPr/>
        <w:drawing>
          <wp:inline distT="0" distB="0" distL="0" distR="0">
            <wp:extent cx="5400040" cy="2700020"/>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7"/>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15</w:t>
      </w:r>
      <w:r>
        <w:rPr/>
        <w:fldChar w:fldCharType="end"/>
      </w:r>
      <w:r>
        <w:rPr/>
        <w:t>. Sesión P5 · crol · gopro: puntuación de anomalía por ciclo y umbral de la fase base.</w:t>
      </w:r>
    </w:p>
    <w:p>
      <w:pPr>
        <w:pStyle w:val="Normal"/>
        <w:jc w:val="both"/>
        <w:rPr/>
      </w:pPr>
      <w:r>
        <w:rPr/>
        <w:t>Las sesiones están formadas por pasadas cortas a ritmo de técnica, separadas por descansos, y no por un esfuerzo continuo capaz de producir fatiga. Que el sistema no genere falsas alarmas en ellas es un resultado relevante, aunque no demuestra por sí solo su capacidad de detectar la fatiga.</w:t>
      </w:r>
    </w:p>
    <w:p>
      <w:pPr>
        <w:pStyle w:val="Heading3"/>
        <w:keepNext w:val="true"/>
        <w:numPr>
          <w:ilvl w:val="2"/>
          <w:numId w:val="64"/>
        </w:numPr>
        <w:rPr/>
      </w:pPr>
      <w:r>
        <w:rPr/>
        <w:t>Estimación del estilo con vídeos reales</w:t>
      </w:r>
    </w:p>
    <w:p>
      <w:pPr>
        <w:pStyle w:val="Normal"/>
        <w:jc w:val="both"/>
        <w:rPr/>
      </w:pPr>
      <w:r>
        <w:rPr/>
        <w:t>El enfoque supervisado se evaluó primero con los vídeos reales: 42 ventanas de 11 vídeos con señal suficiente. Dejando un vídeo fuera, acertó el 45,5 % de los vídeos (54,5 % al añadir datos sintéticos), frente al 36,4 % de asignar siempre la clase mayoritaria; dejando fuera un participante completo, el 9,1 %; y entrenado solo con datos sintéticos, el 9,1 %. El estilo está confundido con el nadador y los rasgos que distinguen los estilos en la simulación, la alternancia de piernas y brazos, son los que el modelo de pose no reproduce bajo el agua.</w:t>
      </w:r>
    </w:p>
    <w:p>
      <w:pPr>
        <w:pStyle w:val="Normal"/>
        <w:jc w:val="both"/>
        <w:rPr/>
      </w:pPr>
      <w:r>
        <w:rPr/>
        <w:t xml:space="preserve">Con las reglas biomecánicas, que no se entrenan, el sistema obtuvo una estimación en 19 de las 25 secuencias reales (las demás no tienen señal suficiente de los dos brazos). </w:t>
      </w:r>
      <w:r>
        <w:rPr>
          <w:b/>
        </w:rPr>
        <w:t>La familia del estilo (brazos alternos o simultáneos), que determina cómo se cuentan los ciclos, fue correcta en 15 de 19</w:t>
      </w:r>
      <w:r>
        <w:rPr/>
        <w:t>, y el estilo exacto en 12 de 19; en 3 secuencias frontales de estilos simultáneos el sistema indicó solo la familia. Con datos sintéticos (64 vídeos, independientes de los umbrales) la familia fue correcta en el 81 % de los casos. Los umbrales se fijaron con los vídeos reales del estudio, por lo que la exactitud en vídeo real es optimista; la validación con nadadores nuevos queda como trabajo futuro.</w:t>
      </w:r>
    </w:p>
    <w:p>
      <w:pPr>
        <w:pStyle w:val="Heading3"/>
        <w:keepNext w:val="true"/>
        <w:numPr>
          <w:ilvl w:val="2"/>
          <w:numId w:val="65"/>
        </w:numPr>
        <w:rPr/>
      </w:pPr>
      <w:r>
        <w:rPr/>
        <w:t>Análisis de sensibilidad del detector de fatiga (datos sintéticos)</w:t>
      </w:r>
    </w:p>
    <w:p>
      <w:pPr>
        <w:pStyle w:val="Normal"/>
        <w:jc w:val="both"/>
        <w:rPr/>
      </w:pPr>
      <w:r>
        <w:rPr/>
        <w:t>Los parámetros del detector (proporción de la fase base, percentil del umbral y número de ciclos consecutivos exigidos) se fijaron a priori. Para evaluar su influencia se generaron, con datos sintéticos, 10 secuencias de crol de 120 s con fatiga programada (transición del 10 % al 90 % entre t = 59 s y t = 81 s) y 10 secuencias sin fatiga, con copia parcial de brazos y variabilidad entre ciclos. Se midió la tasa de detección en las secuencias con fatiga, la tasa de falsas alarmas en las secuencias sin fatiga y el instante medio de inicio (Tabla 12 y Figura 16).</w:t>
      </w:r>
    </w:p>
    <w:p>
      <w:pPr>
        <w:pStyle w:val="Caption"/>
        <w:keepNext w:val="true"/>
        <w:jc w:val="center"/>
        <w:rPr/>
      </w:pPr>
      <w:r>
        <w:rPr/>
        <w:t xml:space="preserve">Tabla </w:t>
      </w:r>
      <w:r>
        <w:rPr/>
        <w:fldChar w:fldCharType="begin"/>
      </w:r>
      <w:r>
        <w:rPr/>
        <w:instrText xml:space="preserve"> SEQ Tabla \* ARABIC </w:instrText>
      </w:r>
      <w:r>
        <w:rPr/>
        <w:fldChar w:fldCharType="separate"/>
      </w:r>
      <w:r>
        <w:rPr/>
        <w:t>12</w:t>
      </w:r>
      <w:r>
        <w:rPr/>
        <w:fldChar w:fldCharType="end"/>
      </w:r>
      <w:r>
        <w:rPr/>
        <w:t>. Datos sintéticos: tasa de detección / tasa de falsas alarmas / inicio medio según la fase base, el percentil del umbral y los ciclos consecutivos k (10 secuencias con fatiga y 10 sin fatiga por configuración). En negrita, la configuración empleada.</w:t>
      </w:r>
    </w:p>
    <w:tbl>
      <w:tblPr>
        <w:tblStyle w:val="Tablaconcuadrcula"/>
        <w:tblW w:w="904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7"/>
        <w:gridCol w:w="1247"/>
        <w:gridCol w:w="2183"/>
        <w:gridCol w:w="2183"/>
        <w:gridCol w:w="2183"/>
      </w:tblGrid>
      <w:tr>
        <w:trPr>
          <w:tblHeader w:val="true"/>
          <w:cantSplit w:val="true"/>
        </w:trPr>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Fase base</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Percentil</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2</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3</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4</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0,4 / 64,9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67,3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69,1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71,8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72,1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74,3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79,2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 / 0,0 / 75,2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 / 0,0 / 79,2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60,3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64,1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66,4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1,0 / 0,1 / 70,5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71,2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0,8 / 0,1 / 84,8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83,8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0,2 / 66,1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0,2 / 66,1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67,1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68,8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69,3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70,4 s</w:t>
            </w:r>
          </w:p>
        </w:tc>
      </w:tr>
      <w:tr>
        <w:trPr>
          <w:cantSplit w:val="true"/>
        </w:trPr>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 / 0,0 / 86,8 s</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85,9 s</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85,9 s</w:t>
            </w:r>
          </w:p>
        </w:tc>
      </w:tr>
    </w:tbl>
    <w:p>
      <w:pPr>
        <w:pStyle w:val="Normal"/>
        <w:jc w:val="both"/>
        <w:rPr/>
      </w:pPr>
      <w:r>
        <w:rPr/>
      </w:r>
    </w:p>
    <w:p>
      <w:pPr>
        <w:pStyle w:val="Normal"/>
        <w:keepNext w:val="true"/>
        <w:jc w:val="center"/>
        <w:rPr/>
      </w:pPr>
      <w:r>
        <w:rPr/>
        <w:drawing>
          <wp:inline distT="0" distB="0" distL="0" distR="0">
            <wp:extent cx="5400040" cy="1668780"/>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18"/>
                    <a:stretch>
                      <a:fillRect/>
                    </a:stretch>
                  </pic:blipFill>
                  <pic:spPr bwMode="auto">
                    <a:xfrm>
                      <a:off x="0" y="0"/>
                      <a:ext cx="5400040" cy="166878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16</w:t>
      </w:r>
      <w:r>
        <w:rPr/>
        <w:fldChar w:fldCharType="end"/>
      </w:r>
      <w:r>
        <w:rPr/>
        <w:t>. Datos sintéticos: inicio de la fatiga detectado (media ± desviación típica) según los parámetros del detector.</w:t>
      </w:r>
    </w:p>
    <w:p>
      <w:pPr>
        <w:pStyle w:val="Normal"/>
        <w:jc w:val="both"/>
        <w:rPr/>
      </w:pPr>
      <w:r>
        <w:rPr/>
        <w:t>El percentil del umbral es el parámetro decisivo. Con el percentil 90 la detección es completa, pero aparecen hasta un 40 % de falsas alarmas y el inicio se adelanta al comienzo de la transición. Con el percentil 99 desaparecen las falsas alarmas, pero se pierde entre el 20 % y el 50 % de las fatigas y las detectadas llegan tarde (75-87 s). El percentil 95 ofrece el mejor equilibrio en todas las combinaciones: detección del 100 %, falsas alarmas del 10 % e inicio medio entre 68,8 s y 74,3 s, dentro de la transición programada. La configuración elegida (30 %, percentil 95, k = 3) detecta el inicio en 70,5 ± 5,0 s, en el centro de la transición. La proporción de la fase base y el valor de k tienen un efecto menor: aumentar k reduce las falsas alarmas a costa de retrasar ligeramente el aviso.</w:t>
      </w:r>
    </w:p>
    <w:p>
      <w:pPr>
        <w:pStyle w:val="Heading3"/>
        <w:keepNext w:val="true"/>
        <w:numPr>
          <w:ilvl w:val="2"/>
          <w:numId w:val="66"/>
        </w:numPr>
        <w:rPr/>
      </w:pPr>
      <w:r>
        <w:rPr/>
        <w:t>Robustez del conteo de ciclos (datos sintéticos)</w:t>
      </w:r>
    </w:p>
    <w:p>
      <w:pPr>
        <w:pStyle w:val="Normal"/>
        <w:jc w:val="both"/>
        <w:rPr/>
      </w:pPr>
      <w:r>
        <w:rPr/>
        <w:t>Para separar el efecto de cada fuente de error sobre la frecuencia de ciclo se generaron secuencias sintéticas de crol en vista lateral de 60 s sin fatiga, con copia parcial de brazos (probabilidad 0,5) y con distintos niveles de ruido en la posición de los puntos y de pérdida de puntos (Tabla 13).</w:t>
      </w:r>
    </w:p>
    <w:p>
      <w:pPr>
        <w:pStyle w:val="Caption"/>
        <w:keepNext w:val="true"/>
        <w:jc w:val="center"/>
        <w:rPr/>
      </w:pPr>
      <w:r>
        <w:rPr/>
        <w:t xml:space="preserve">Tabla </w:t>
      </w:r>
      <w:r>
        <w:rPr/>
        <w:fldChar w:fldCharType="begin"/>
      </w:r>
      <w:r>
        <w:rPr/>
        <w:instrText xml:space="preserve"> SEQ Tabla \* ARABIC </w:instrText>
      </w:r>
      <w:r>
        <w:rPr/>
        <w:fldChar w:fldCharType="separate"/>
      </w:r>
      <w:r>
        <w:rPr/>
        <w:t>13</w:t>
      </w:r>
      <w:r>
        <w:rPr/>
        <w:fldChar w:fldCharType="end"/>
      </w:r>
      <w:r>
        <w:rPr/>
        <w:t>. Datos sintéticos: error relativo mediano de la frecuencia de ciclo (y número medio de ciclos válidos) según el ruido de posición y la proporción de puntos perdidos.</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Ruido de posición</w:t>
            </w:r>
          </w:p>
        </w:tc>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5 %</w:t>
            </w:r>
          </w:p>
        </w:tc>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20 %</w:t>
            </w:r>
          </w:p>
        </w:tc>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40 %</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píxel</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13,6 % (45,4)</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11,1 % (44,2)</w:t>
            </w:r>
          </w:p>
        </w:tc>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11,8 % (41,8)</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píxeles</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11,8 % (43,0)</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12,2 % (42,6)</w:t>
            </w:r>
          </w:p>
        </w:tc>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12,5 % (42,6)</w:t>
            </w:r>
          </w:p>
        </w:tc>
      </w:tr>
      <w:tr>
        <w:trPr>
          <w:cantSplit w:val="true"/>
        </w:trPr>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6 píxeles</w:t>
            </w:r>
          </w:p>
        </w:tc>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33,2 % (45,4)</w:t>
            </w:r>
          </w:p>
        </w:tc>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38,2 % (49,8)</w:t>
            </w:r>
          </w:p>
        </w:tc>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32,5 % (45,6)</w:t>
            </w:r>
          </w:p>
        </w:tc>
      </w:tr>
    </w:tbl>
    <w:p>
      <w:pPr>
        <w:pStyle w:val="Normal"/>
        <w:jc w:val="both"/>
        <w:rPr/>
      </w:pPr>
      <w:r>
        <w:rPr/>
      </w:r>
    </w:p>
    <w:p>
      <w:pPr>
        <w:pStyle w:val="Normal"/>
        <w:jc w:val="both"/>
        <w:rPr/>
      </w:pPr>
      <w:r>
        <w:rPr/>
        <w:t>El conteo es robusto a la pérdida de puntos, incluso del 40 %, gracias a la interpolación de huecos cortos y a la mediana de los intervalos entre brazadas. El ruido de posición de hasta 3 píxeles apenas lo afecta, pero a partir de 6 píxeles aparecen máximos espurios y el error se triplica. La copia de brazos introduce por sí sola un error del 11-13 % (frente al 3-5 % sin copia), lo que confirma que la confusión entre brazos es la principal fuente de error del conteo en vista lateral y justifica el uso de la mano más profunda en lugar de cada brazo por separado. Los errores observados en vídeo real (6,5-8,2 %) son del mismo orden.</w:t>
      </w:r>
    </w:p>
    <w:p>
      <w:pPr>
        <w:pStyle w:val="Heading3"/>
        <w:keepNext w:val="true"/>
        <w:numPr>
          <w:ilvl w:val="2"/>
          <w:numId w:val="67"/>
        </w:numPr>
        <w:rPr/>
      </w:pPr>
      <w:r>
        <w:rPr/>
        <w:t>Fatiga en tiempo real (datos sintéticos)</w:t>
      </w:r>
    </w:p>
    <w:p>
      <w:pPr>
        <w:pStyle w:val="Normal"/>
        <w:jc w:val="both"/>
        <w:rPr/>
      </w:pPr>
      <w:r>
        <w:rPr/>
        <w:t>El modo en tiempo real se evaluó con datos sintéticos: 20 secuencias de crol en vista lateral de 120 s, diez con fatiga programada (transición del 10 % al 90 % entre t = 59 s y t = 81 s) y diez sin fatiga, con copia parcial de brazos (probabilidad 0,5) y variabilidad entre nadadores. El estilo y la vista se dejaron en automático. Se detectó la fatiga en las diez secuencias que la tenían, con un inicio mediano de 71,5 s (entre 58,7 s y 107,7 s), y no hubo ninguna falsa alarma en las diez secuencias sin fatiga. El estilo (crol) y la vista (lateral) se identificaron correctamente en todas. El retraso respecto al análisis completo se debe a que la fase base son los diez primeros ciclos, más corta que el 30 % de la secuencia.</w:t>
      </w:r>
    </w:p>
    <w:p>
      <w:pPr>
        <w:pStyle w:val="Heading3"/>
        <w:keepNext w:val="true"/>
        <w:numPr>
          <w:ilvl w:val="2"/>
          <w:numId w:val="68"/>
        </w:numPr>
        <w:rPr/>
      </w:pPr>
      <w:r>
        <w:rPr/>
        <w:t>Evaluación de la reconstrucción 3D frente a la 2D</w:t>
      </w:r>
    </w:p>
    <w:p>
      <w:pPr>
        <w:pStyle w:val="Caption"/>
        <w:keepNext w:val="true"/>
        <w:jc w:val="center"/>
        <w:rPr/>
      </w:pPr>
      <w:r>
        <w:rPr/>
        <w:t xml:space="preserve">Tabla </w:t>
      </w:r>
      <w:r>
        <w:rPr/>
        <w:fldChar w:fldCharType="begin"/>
      </w:r>
      <w:r>
        <w:rPr/>
        <w:instrText xml:space="preserve"> SEQ Tabla \* ARABIC </w:instrText>
      </w:r>
      <w:r>
        <w:rPr/>
        <w:fldChar w:fldCharType="separate"/>
      </w:r>
      <w:r>
        <w:rPr/>
        <w:t>14</w:t>
      </w:r>
      <w:r>
        <w:rPr/>
        <w:fldChar w:fldCharType="end"/>
      </w:r>
      <w:r>
        <w:rPr/>
        <w:t>. Ángulos 2D frente a 3D en la vista lateral de la secuencia GX011614 (85 fotogramas).</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1"/>
        <w:gridCol w:w="2153"/>
        <w:gridCol w:w="2154"/>
        <w:gridCol w:w="2211"/>
      </w:tblGrid>
      <w:tr>
        <w:trPr>
          <w:tblHeader w:val="true"/>
          <w:cantSplit w:val="true"/>
        </w:trPr>
        <w:tc>
          <w:tcPr>
            <w:tcW w:w="255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Ángulo</w:t>
            </w:r>
          </w:p>
        </w:tc>
        <w:tc>
          <w:tcPr>
            <w:tcW w:w="215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2D</w:t>
            </w:r>
          </w:p>
        </w:tc>
        <w:tc>
          <w:tcPr>
            <w:tcW w:w="215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3D</w:t>
            </w:r>
          </w:p>
        </w:tc>
        <w:tc>
          <w:tcPr>
            <w:tcW w:w="221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Correlación</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Codo izq. / dcho.</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156° / 144°</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158° / 143°</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0,51 / −0,08</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Hombro izq. / dcho.</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 / 81°</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89° / 92°</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0,69 / 0,71</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Cadera izq. / dcha.</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171° / 172°</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160° / 164°</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0,58 / 0,69</w:t>
            </w:r>
          </w:p>
        </w:tc>
      </w:tr>
      <w:tr>
        <w:trPr>
          <w:cantSplit w:val="true"/>
        </w:trPr>
        <w:tc>
          <w:tcPr>
            <w:tcW w:w="255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Rodilla izq. / dcha.</w:t>
            </w:r>
          </w:p>
        </w:tc>
        <w:tc>
          <w:tcPr>
            <w:tcW w:w="215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173° / 173°</w:t>
            </w:r>
          </w:p>
        </w:tc>
        <w:tc>
          <w:tcPr>
            <w:tcW w:w="215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107° / 106°</w:t>
            </w:r>
          </w:p>
        </w:tc>
        <w:tc>
          <w:tcPr>
            <w:tcW w:w="221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0,01 / −0,04</w:t>
            </w:r>
          </w:p>
        </w:tc>
      </w:tr>
    </w:tbl>
    <w:p>
      <w:pPr>
        <w:pStyle w:val="Normal"/>
        <w:jc w:val="both"/>
        <w:rPr/>
      </w:pPr>
      <w:r>
        <w:rPr/>
      </w:r>
    </w:p>
    <w:p>
      <w:pPr>
        <w:pStyle w:val="Normal"/>
        <w:jc w:val="both"/>
        <w:rPr/>
      </w:pPr>
      <w:r>
        <w:rPr/>
        <w:t>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pPr>
        <w:pStyle w:val="Heading1"/>
        <w:numPr>
          <w:ilvl w:val="0"/>
          <w:numId w:val="69"/>
        </w:numPr>
        <w:rPr/>
      </w:pPr>
      <w:bookmarkStart w:id="117" w:name="__RefHeading___Toc9218_350176733"/>
      <w:bookmarkStart w:id="118" w:name="_Toc37845890"/>
      <w:bookmarkStart w:id="119" w:name="_Toc37758905"/>
      <w:bookmarkEnd w:id="117"/>
      <w:r>
        <w:rPr/>
        <w:t>DISCUSIÓN</w:t>
      </w:r>
      <w:bookmarkEnd w:id="118"/>
      <w:bookmarkEnd w:id="119"/>
    </w:p>
    <w:p>
      <w:pPr>
        <w:pStyle w:val="Normal"/>
        <w:jc w:val="both"/>
        <w:rPr/>
      </w:pPr>
      <w:r>
        <w:rPr/>
        <w:t>Este capítulo analiza el grado de cumplimiento de las indicaciones recibidas, los cambios respecto al planteamiento inicial, las decisiones metodológicas y las limitaciones del trabajo.</w:t>
      </w:r>
    </w:p>
    <w:p>
      <w:pPr>
        <w:pStyle w:val="Heading2"/>
        <w:keepNext w:val="true"/>
        <w:numPr>
          <w:ilvl w:val="1"/>
          <w:numId w:val="70"/>
        </w:numPr>
        <w:rPr/>
      </w:pPr>
      <w:bookmarkStart w:id="120" w:name="__RefHeading___Toc9220_350176733"/>
      <w:bookmarkEnd w:id="120"/>
      <w:r>
        <w:rPr/>
        <w:t>Respuesta a las indicaciones del director</w:t>
      </w:r>
    </w:p>
    <w:p>
      <w:pPr>
        <w:pStyle w:val="Caption"/>
        <w:keepNext w:val="true"/>
        <w:jc w:val="center"/>
        <w:rPr/>
      </w:pPr>
      <w:r>
        <w:rPr/>
        <w:t xml:space="preserve">Tabla </w:t>
      </w:r>
      <w:r>
        <w:rPr/>
        <w:fldChar w:fldCharType="begin"/>
      </w:r>
      <w:r>
        <w:rPr/>
        <w:instrText xml:space="preserve"> SEQ Tabla \* ARABIC </w:instrText>
      </w:r>
      <w:r>
        <w:rPr/>
        <w:fldChar w:fldCharType="separate"/>
      </w:r>
      <w:r>
        <w:rPr/>
        <w:t>15</w:t>
      </w:r>
      <w:r>
        <w:rPr/>
        <w:fldChar w:fldCharType="end"/>
      </w:r>
      <w:r>
        <w:rPr/>
        <w:t>. Indicaciones del director y su implementación.</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1"/>
        <w:gridCol w:w="5669"/>
      </w:tblGrid>
      <w:tr>
        <w:trPr>
          <w:tblHeader w:val="true"/>
          <w:cantSplit w:val="true"/>
        </w:trPr>
        <w:tc>
          <w:tcPr>
            <w:tcW w:w="34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Indicación</w:t>
            </w:r>
          </w:p>
        </w:tc>
        <w:tc>
          <w:tcPr>
            <w:tcW w:w="566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Implementación</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 explicabilidad (SHAP) es el eje del producto</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Atribución global, local y textual de la fatiga y del estilo</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Dos verticales de IA: visión y datos tabulares</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Visión (pose 2D y 3D) y tabular (variables, fatiga, estilo y SHAP) con un formato intermedio común</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diferenciados</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vídeo y tabular implementados; audio como trabajo futuro</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 hidrodinámico como conocimiento previo</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Presentado en el Capítulo 2; la potencia no es variable de los modelos</w:t>
            </w:r>
          </w:p>
        </w:tc>
      </w:tr>
      <w:tr>
        <w:trPr>
          <w:cantSplit w:val="true"/>
        </w:trPr>
        <w:tc>
          <w:tcPr>
            <w:tcW w:w="34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Optimizar el modelo de visión (MoveNet, ViTPose)</w:t>
            </w:r>
          </w:p>
        </w:tc>
        <w:tc>
          <w:tcPr>
            <w:tcW w:w="566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elegido YOLOv8n; MoveNet y MediaPipe como opciones; ViTPose como trabajo futuro</w:t>
            </w:r>
          </w:p>
        </w:tc>
      </w:tr>
    </w:tbl>
    <w:p>
      <w:pPr>
        <w:pStyle w:val="Normal"/>
        <w:jc w:val="both"/>
        <w:rPr/>
      </w:pPr>
      <w:r>
        <w:rPr/>
      </w:r>
    </w:p>
    <w:p>
      <w:pPr>
        <w:pStyle w:val="Heading2"/>
        <w:keepNext w:val="true"/>
        <w:numPr>
          <w:ilvl w:val="1"/>
          <w:numId w:val="71"/>
        </w:numPr>
        <w:rPr/>
      </w:pPr>
      <w:bookmarkStart w:id="121" w:name="__RefHeading___Toc9222_350176733"/>
      <w:bookmarkEnd w:id="121"/>
      <w:r>
        <w:rPr/>
        <w:t>Cambios respecto al planteamiento inicial</w:t>
      </w:r>
    </w:p>
    <w:p>
      <w:pPr>
        <w:pStyle w:val="ListParagraph"/>
        <w:numPr>
          <w:ilvl w:val="0"/>
          <w:numId w:val="3"/>
        </w:numPr>
        <w:spacing w:before="0" w:after="0"/>
        <w:contextualSpacing/>
        <w:jc w:val="both"/>
        <w:rPr/>
      </w:pPr>
      <w:r>
        <w:rPr>
          <w:b/>
        </w:rPr>
        <w:t>Solo vista lateral → vistas lateral y frontal.</w:t>
      </w:r>
      <w:r>
        <w:rPr/>
        <w:t xml:space="preserve"> Parte de los vídeos se registró de frente, donde la profundidad de la mano no es observable; se añadió una señal específica para esa vista.</w:t>
      </w:r>
    </w:p>
    <w:p>
      <w:pPr>
        <w:pStyle w:val="ListParagraph"/>
        <w:numPr>
          <w:ilvl w:val="0"/>
          <w:numId w:val="3"/>
        </w:numPr>
        <w:spacing w:before="0" w:after="0"/>
        <w:contextualSpacing/>
        <w:jc w:val="both"/>
        <w:rPr/>
      </w:pPr>
      <w:r>
        <w:rPr>
          <w:b/>
        </w:rPr>
        <w:t>MoveNet → YOLOv8n.</w:t>
      </w:r>
      <w:r>
        <w:rPr/>
        <w:t xml:space="preserve"> MoveNet se eligió por su fluidez, pero sobre vídeo subacuático YOLO detectó con el doble de confianza y produjo cinco veces más ciclos válidos.</w:t>
      </w:r>
    </w:p>
    <w:p>
      <w:pPr>
        <w:pStyle w:val="ListParagraph"/>
        <w:numPr>
          <w:ilvl w:val="0"/>
          <w:numId w:val="3"/>
        </w:numPr>
        <w:spacing w:before="0" w:after="0"/>
        <w:contextualSpacing/>
        <w:jc w:val="both"/>
        <w:rPr/>
      </w:pPr>
      <w:r>
        <w:rPr>
          <w:b/>
        </w:rPr>
        <w:t>Sensores inerciales → solo vídeo.</w:t>
      </w:r>
      <w:r>
        <w:rPr/>
        <w:t xml:space="preserve"> No se dispuso de sensores; la fusión con unidades inerciales queda como trabajo futuro.</w:t>
      </w:r>
    </w:p>
    <w:p>
      <w:pPr>
        <w:pStyle w:val="ListParagraph"/>
        <w:numPr>
          <w:ilvl w:val="0"/>
          <w:numId w:val="3"/>
        </w:numPr>
        <w:spacing w:before="0" w:after="0"/>
        <w:contextualSpacing/>
        <w:jc w:val="both"/>
        <w:rPr/>
      </w:pPr>
      <w:r>
        <w:rPr>
          <w:b/>
        </w:rPr>
        <w:t>Red recurrente supervisada → Isolation Forest no supervisado.</w:t>
      </w:r>
      <w:r>
        <w:rPr/>
        <w:t xml:space="preserve"> Sin etiquetas de fatiga, la comparación con el estado inicial del propio nadador no las requiere y admite una atribución SHAP exacta.</w:t>
      </w:r>
    </w:p>
    <w:p>
      <w:pPr>
        <w:pStyle w:val="ListParagraph"/>
        <w:numPr>
          <w:ilvl w:val="0"/>
          <w:numId w:val="3"/>
        </w:numPr>
        <w:spacing w:before="0" w:after="0"/>
        <w:contextualSpacing/>
        <w:jc w:val="both"/>
        <w:rPr/>
      </w:pPr>
      <w:r>
        <w:rPr>
          <w:b/>
        </w:rPr>
        <w:t>Potencia en vatios → indicadores cinemáticos.</w:t>
      </w:r>
      <w:r>
        <w:rPr/>
        <w:t xml:space="preserve"> La potencia depende de </w:t>
      </w:r>
      <w:r>
        <w:rPr>
          <w:i/>
        </w:rPr>
        <w:t>C</w:t>
      </w:r>
      <w:r>
        <w:rPr>
          <w:vertAlign w:val="subscript"/>
        </w:rPr>
        <w:t>D</w:t>
      </w:r>
      <w:r>
        <w:rPr/>
        <w:t xml:space="preserve"> y </w:t>
      </w:r>
      <w:r>
        <w:rPr>
          <w:i/>
        </w:rPr>
        <w:t>A</w:t>
      </w:r>
      <w:r>
        <w:rPr/>
        <w:t>, no medibles desde vídeo.</w:t>
      </w:r>
    </w:p>
    <w:p>
      <w:pPr>
        <w:pStyle w:val="ListParagraph"/>
        <w:numPr>
          <w:ilvl w:val="0"/>
          <w:numId w:val="3"/>
        </w:numPr>
        <w:spacing w:before="0" w:after="0"/>
        <w:contextualSpacing/>
        <w:jc w:val="both"/>
        <w:rPr/>
      </w:pPr>
      <w:r>
        <w:rPr>
          <w:b/>
        </w:rPr>
        <w:t>Validación por fotograma → validación por vídeo.</w:t>
      </w:r>
      <w:r>
        <w:rPr/>
        <w:t xml:space="preserve"> La exactitud del 99,99 % de una versión anterior era fuga de datos.</w:t>
      </w:r>
    </w:p>
    <w:p>
      <w:pPr>
        <w:pStyle w:val="ListParagraph"/>
        <w:numPr>
          <w:ilvl w:val="0"/>
          <w:numId w:val="3"/>
        </w:numPr>
        <w:spacing w:before="0" w:after="0"/>
        <w:contextualSpacing/>
        <w:jc w:val="both"/>
        <w:rPr/>
      </w:pPr>
      <w:r>
        <w:rPr>
          <w:b/>
        </w:rPr>
        <w:t>XGBoost → bosque aleatorio → reglas biomecánicas.</w:t>
      </w:r>
      <w:r>
        <w:rPr/>
        <w:t xml:space="preserve"> Para el estilo se pasó de XGBoost a un bosque aleatorio, más sencillo y con atribución SHAP exacta; con vídeos reales, el modelo supervisado aprendía al nadador y no el estilo, por lo que se adoptaron reglas basadas en la definición de cada estilo.</w:t>
      </w:r>
    </w:p>
    <w:p>
      <w:pPr>
        <w:pStyle w:val="ListParagraph"/>
        <w:numPr>
          <w:ilvl w:val="0"/>
          <w:numId w:val="3"/>
        </w:numPr>
        <w:spacing w:before="0" w:after="0"/>
        <w:contextualSpacing/>
        <w:jc w:val="both"/>
        <w:rPr/>
      </w:pPr>
      <w:r>
        <w:rPr>
          <w:b/>
        </w:rPr>
        <w:t>Una vista indicada por el usuario → vista automática por tramos.</w:t>
      </w:r>
      <w:r>
        <w:rPr/>
        <w:t xml:space="preserve"> El sistema determina si cada tramo del vídeo es lateral o frontal y lo analiza con la señal correspondiente.</w:t>
      </w:r>
    </w:p>
    <w:p>
      <w:pPr>
        <w:pStyle w:val="ListParagraph"/>
        <w:numPr>
          <w:ilvl w:val="0"/>
          <w:numId w:val="3"/>
        </w:numPr>
        <w:spacing w:before="0" w:after="0"/>
        <w:contextualSpacing/>
        <w:jc w:val="both"/>
        <w:rPr/>
      </w:pPr>
      <w:r>
        <w:rPr>
          <w:b/>
        </w:rPr>
        <w:t>Ejecución en Colab con GPU → ordenador personal en CPU y clúster con GPU.</w:t>
      </w:r>
      <w:r>
        <w:rPr/>
        <w:t xml:space="preserve"> El sistema funciona sin coste en el ordenador de un club; el clúster de la escuela se usó para analizar el conjunto completo con mayor resolución y para hacer viable el tiempo real.</w:t>
      </w:r>
    </w:p>
    <w:p>
      <w:pPr>
        <w:pStyle w:val="Heading2"/>
        <w:keepNext w:val="true"/>
        <w:numPr>
          <w:ilvl w:val="1"/>
          <w:numId w:val="72"/>
        </w:numPr>
        <w:rPr/>
      </w:pPr>
      <w:bookmarkStart w:id="122" w:name="__RefHeading___Toc9224_350176733"/>
      <w:bookmarkEnd w:id="122"/>
      <w:r>
        <w:rPr/>
        <w:t>Decisiones metodológicas</w:t>
      </w:r>
    </w:p>
    <w:p>
      <w:pPr>
        <w:pStyle w:val="Normal"/>
        <w:jc w:val="both"/>
        <w:rPr/>
      </w:pPr>
      <w:r>
        <w:rPr/>
        <w:t>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pStyle w:val="Normal"/>
        <w:jc w:val="both"/>
        <w:rPr/>
      </w:pPr>
      <w:r>
        <w:rPr/>
        <w:t>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Heading2"/>
        <w:keepNext w:val="true"/>
        <w:numPr>
          <w:ilvl w:val="1"/>
          <w:numId w:val="73"/>
        </w:numPr>
        <w:rPr/>
      </w:pPr>
      <w:bookmarkStart w:id="123" w:name="__RefHeading___Toc9226_350176733"/>
      <w:bookmarkEnd w:id="123"/>
      <w:r>
        <w:rPr/>
        <w:t>Interpretación de los resultados con datos reales</w:t>
      </w:r>
    </w:p>
    <w:p>
      <w:pPr>
        <w:pStyle w:val="Normal"/>
        <w:jc w:val="both"/>
        <w:rPr/>
      </w:pPr>
      <w:r>
        <w:rPr/>
        <w:t>La aplicación al conjunto real permite separar lo que el sistema ya resuelve de lo que depende de los datos. La frecuencia de ciclo funciona en vídeo real con un error del 6,5 % al 8,2 % frente al conteo manual, del mismo orden que el que introduce la copia de brazos en los datos sintéticos (11-13 %), lo que indica que el conteo por la mano más profunda neutraliza en gran parte esa confusión. Las medidas angulares son plausibles cuando la detección es buena y delatan los fallos de la pose cuando no lo es; tras añadir el filtro de tronco vertical, el sistema descarta los esqueletos erróneos en lugar de convertirlos en ciclos.</w:t>
      </w:r>
    </w:p>
    <w:p>
      <w:pPr>
        <w:pStyle w:val="Normal"/>
        <w:jc w:val="both"/>
        <w:rPr/>
      </w:pPr>
      <w:r>
        <w:rPr/>
        <w:t>La cobertura del análisis (14 % del tiempo grabado) es el principal cuello de botella y depende sobre todo de la distancia entre la cámara y el nadador. Un encuadre más cerrado multiplica la información útil sin cambiar de modelo, lo que tiene una consecuencia práctica inmediata para el protocolo de grabación del club.</w:t>
      </w:r>
    </w:p>
    <w:p>
      <w:pPr>
        <w:pStyle w:val="Normal"/>
        <w:jc w:val="both"/>
        <w:rPr/>
      </w:pPr>
      <w:r>
        <w:rPr/>
        <w:t>La secuencia continua de 34 min es el único dato real en el que la fatiga puede manifestarse. En ella el sistema detecta un cambio técnico sostenido a partir de t = 748,0 s y lo atribuye a variables concretas, lo que constituye la primera evidencia real del funcionamiento del detector. Al no disponer de una referencia fisiológica, este resultado debe interpretarse como fatiga técnica y no como fatiga fisiológica confirmada.</w:t>
      </w:r>
    </w:p>
    <w:p>
      <w:pPr>
        <w:pStyle w:val="Normal"/>
        <w:jc w:val="both"/>
        <w:rPr/>
      </w:pPr>
      <w:r>
        <w:rPr/>
        <w:t>La ausencia de fatiga en las sesiones de pasadas cortas es coherente con su naturaleza, y el análisis de sensibilidad con datos sintéticos, que estima un 10 % de falsas alarmas, y la evaluación del modo en tiempo real (ninguna falsa alarma en diez secuencias) son coherentes con ese resultado.</w:t>
      </w:r>
    </w:p>
    <w:p>
      <w:pPr>
        <w:pStyle w:val="Normal"/>
        <w:jc w:val="both"/>
        <w:rPr/>
      </w:pPr>
      <w:r>
        <w:rPr/>
        <w:t>Por último, la estimación del estilo ilustra la distancia entre dominios: un modelo perfecto en datos sintéticos falla en vídeo real porque los rasgos que lo hacen perfecto son los que el modelo de pose no reproduce bajo el agua. Las reglas biomecánicas resuelven lo necesario para el análisis, la familia del estilo (15 de 19 secuencias), aunque su validación con nadadores nuevos está pendiente. La explicabilidad resultó útil también para el desarrollo: comparar los rasgos en ambos dominios permitió localizar la causa del fallo.</w:t>
      </w:r>
    </w:p>
    <w:p>
      <w:pPr>
        <w:pStyle w:val="Heading2"/>
        <w:keepNext w:val="true"/>
        <w:numPr>
          <w:ilvl w:val="1"/>
          <w:numId w:val="74"/>
        </w:numPr>
        <w:rPr/>
      </w:pPr>
      <w:bookmarkStart w:id="124" w:name="__RefHeading___Toc9228_350176733"/>
      <w:bookmarkEnd w:id="124"/>
      <w:r>
        <w:rPr/>
        <w:t>Comparación con trabajos relacionados</w:t>
      </w:r>
    </w:p>
    <w:p>
      <w:pPr>
        <w:pStyle w:val="Normal"/>
        <w:jc w:val="both"/>
        <w:rPr/>
      </w:pPr>
      <w:r>
        <w:rPr/>
        <w:t>Los trabajos de estimación de pose en natación se centran en la precisión de los puntos articulares en condiciones controladas [</w:t>
      </w:r>
      <w:hyperlink w:anchor="ref_einfalt2018">
        <w:r>
          <w:rPr>
            <w:rStyle w:val="ListLabel316"/>
            <w:color w:val="1F4E79"/>
          </w:rPr>
          <w:t>18</w:t>
        </w:r>
      </w:hyperlink>
      <w:r>
        <w:rPr/>
        <w:t xml:space="preserve">, </w:t>
      </w:r>
      <w:hyperlink w:anchor="ref_fiche2023">
        <w:r>
          <w:rPr>
            <w:rStyle w:val="ListLabel316"/>
            <w:color w:val="1F4E79"/>
          </w:rPr>
          <w:t>19</w:t>
        </w:r>
      </w:hyperlink>
      <w:r>
        <w:rPr/>
        <w:t xml:space="preserve">] y emplean conjuntos anotados o generados por ordenador. </w:t>
      </w:r>
      <w:r>
        <w:rPr>
          <w:i/>
        </w:rPr>
        <w:t>StrokeLab</w:t>
      </w:r>
      <w:r>
        <w:rPr/>
        <w:t xml:space="preserve"> no compite en esa precisión, que no puede medir sin anotaciones, sino que aborda un problema posterior: convertir una pose imperfecta en indicadores por ciclo y en una explicación de la fatiga. La literatura biomecánica describe la fatiga como un aumento de la frecuencia de ciclo con descenso de la distancia por ciclo y cambios de coordinación [</w:t>
      </w:r>
      <w:hyperlink w:anchor="ref_craig1979">
        <w:r>
          <w:rPr>
            <w:rStyle w:val="ListLabel316"/>
            <w:color w:val="1F4E79"/>
          </w:rPr>
          <w:t>1</w:t>
        </w:r>
      </w:hyperlink>
      <w:r>
        <w:rPr/>
        <w:t xml:space="preserve">, </w:t>
      </w:r>
      <w:hyperlink w:anchor="ref_alberty2005">
        <w:r>
          <w:rPr>
            <w:rStyle w:val="ListLabel316"/>
            <w:color w:val="1F4E79"/>
          </w:rPr>
          <w:t>2</w:t>
        </w:r>
      </w:hyperlink>
      <w:r>
        <w:rPr/>
        <w:t xml:space="preserve">, </w:t>
      </w:r>
      <w:hyperlink w:anchor="ref_chollet2000">
        <w:r>
          <w:rPr>
            <w:rStyle w:val="ListLabel316"/>
            <w:color w:val="1F4E79"/>
          </w:rPr>
          <w:t>5</w:t>
        </w:r>
      </w:hyperlink>
      <w:r>
        <w:rPr/>
        <w:t>]; estas son las variables que el sistema modela y, en los datos sintéticos, las que la atribución SHAP señala. La diferencia principal respecto a los sistemas instrumentados es el coste y la ausencia de sensores; la principal desventaja, la menor precisión de la medida y la dependencia de la calidad del vídeo.</w:t>
      </w:r>
    </w:p>
    <w:p>
      <w:pPr>
        <w:pStyle w:val="Heading2"/>
        <w:keepNext w:val="true"/>
        <w:numPr>
          <w:ilvl w:val="1"/>
          <w:numId w:val="75"/>
        </w:numPr>
        <w:rPr/>
      </w:pPr>
      <w:bookmarkStart w:id="125" w:name="__RefHeading___Toc9230_350176733"/>
      <w:bookmarkEnd w:id="125"/>
      <w:r>
        <w:rPr/>
        <w:t>Amenazas a la validez</w:t>
      </w:r>
    </w:p>
    <w:p>
      <w:pPr>
        <w:pStyle w:val="ListParagraph"/>
        <w:numPr>
          <w:ilvl w:val="0"/>
          <w:numId w:val="3"/>
        </w:numPr>
        <w:spacing w:before="0" w:after="0"/>
        <w:contextualSpacing/>
        <w:jc w:val="both"/>
        <w:rPr/>
      </w:pPr>
      <w:r>
        <w:rPr>
          <w:b/>
        </w:rPr>
        <w:t>Validez interna.</w:t>
      </w:r>
      <w:r>
        <w:rPr/>
        <w:t xml:space="preserve"> Los parámetros del detector se fijaron antes del análisis de sensibilidad, que confirma que la configuración elegida se sitúa en la zona de mejor equilibrio; no se han ajustado a los datos reales, lo que evita un sesgo optimista. El simulador fue diseñado por la autora, de modo que los datos sintéticos pueden favorecer al método; por ello se presentan siempre separados de los reales.</w:t>
      </w:r>
    </w:p>
    <w:p>
      <w:pPr>
        <w:pStyle w:val="ListParagraph"/>
        <w:numPr>
          <w:ilvl w:val="0"/>
          <w:numId w:val="3"/>
        </w:numPr>
        <w:spacing w:before="0" w:after="0"/>
        <w:contextualSpacing/>
        <w:jc w:val="both"/>
        <w:rPr/>
      </w:pPr>
      <w:r>
        <w:rPr>
          <w:b/>
        </w:rPr>
        <w:t>Validez de constructo.</w:t>
      </w:r>
      <w:r>
        <w:rPr/>
        <w:t xml:space="preserve"> El sistema mide la </w:t>
      </w:r>
      <w:r>
        <w:rPr>
          <w:i/>
        </w:rPr>
        <w:t>fatiga técnica</w:t>
      </w:r>
      <w:r>
        <w:rPr/>
        <w:t>, entendida como el cambio sostenido de la técnica respecto al estado inicial; no mide la fatiga fisiológica. Un cambio técnico voluntario (por ejemplo, un cambio de ritmo) se detectaría igualmente como anomalía.</w:t>
      </w:r>
    </w:p>
    <w:p>
      <w:pPr>
        <w:pStyle w:val="ListParagraph"/>
        <w:numPr>
          <w:ilvl w:val="0"/>
          <w:numId w:val="3"/>
        </w:numPr>
        <w:spacing w:before="0" w:after="0"/>
        <w:contextualSpacing/>
        <w:jc w:val="both"/>
        <w:rPr/>
      </w:pPr>
      <w:r>
        <w:rPr>
          <w:b/>
        </w:rPr>
        <w:t>Validez externa.</w:t>
      </w:r>
      <w:r>
        <w:rPr/>
        <w:t xml:space="preserve"> Pocos participantes de un mismo club, grabados con dos o tres dispositivos, no representan la variedad de nadadores, piscinas y cámaras; los resultados no deben generalizarse sin nuevos datos.</w:t>
      </w:r>
    </w:p>
    <w:p>
      <w:pPr>
        <w:pStyle w:val="ListParagraph"/>
        <w:numPr>
          <w:ilvl w:val="0"/>
          <w:numId w:val="3"/>
        </w:numPr>
        <w:spacing w:before="0" w:after="0"/>
        <w:contextualSpacing/>
        <w:jc w:val="both"/>
        <w:rPr/>
      </w:pPr>
      <w:r>
        <w:rPr>
          <w:b/>
        </w:rPr>
        <w:t>Fiabilidad de la referencia.</w:t>
      </w:r>
      <w:r>
        <w:rPr/>
        <w:t xml:space="preserve"> El conteo manual de ciclos fue realizado por una sola persona y sin repetición, por lo que su error propio no está cuantificado.</w:t>
      </w:r>
    </w:p>
    <w:p>
      <w:pPr>
        <w:pStyle w:val="Heading2"/>
        <w:keepNext w:val="true"/>
        <w:numPr>
          <w:ilvl w:val="1"/>
          <w:numId w:val="76"/>
        </w:numPr>
        <w:rPr/>
      </w:pPr>
      <w:bookmarkStart w:id="126" w:name="__RefHeading___Toc9232_350176733"/>
      <w:bookmarkEnd w:id="126"/>
      <w:r>
        <w:rPr/>
        <w:t>Limitaciones</w:t>
      </w:r>
    </w:p>
    <w:p>
      <w:pPr>
        <w:pStyle w:val="ListParagraph"/>
        <w:numPr>
          <w:ilvl w:val="0"/>
          <w:numId w:val="3"/>
        </w:numPr>
        <w:spacing w:before="0" w:after="0"/>
        <w:contextualSpacing/>
        <w:jc w:val="both"/>
        <w:rPr/>
      </w:pPr>
      <w:r>
        <w:rPr>
          <w:b/>
        </w:rPr>
        <w:t>Escasez de datos reales.</w:t>
      </w:r>
      <w:r>
        <w:rPr/>
        <w:t xml:space="preserve"> El conjunto real suma 25 secuencias de 5 participantes (6,3 min analizables y 165 ciclos); varios estilos tienen un solo participante y la espalda carece de datos suficientes.</w:t>
      </w:r>
    </w:p>
    <w:p>
      <w:pPr>
        <w:pStyle w:val="ListParagraph"/>
        <w:numPr>
          <w:ilvl w:val="0"/>
          <w:numId w:val="3"/>
        </w:numPr>
        <w:spacing w:before="0" w:after="0"/>
        <w:contextualSpacing/>
        <w:jc w:val="both"/>
        <w:rPr/>
      </w:pPr>
      <w:r>
        <w:rPr>
          <w:b/>
        </w:rPr>
        <w:t>Referencia de la fatiga.</w:t>
      </w:r>
      <w:r>
        <w:rPr/>
        <w:t xml:space="preserve"> No se ha contrastado el inicio detectado con una medida independiente (lactato, esfuerzo percibido o valoración experta).</w:t>
      </w:r>
    </w:p>
    <w:p>
      <w:pPr>
        <w:pStyle w:val="ListParagraph"/>
        <w:numPr>
          <w:ilvl w:val="0"/>
          <w:numId w:val="3"/>
        </w:numPr>
        <w:spacing w:before="0" w:after="0"/>
        <w:contextualSpacing/>
        <w:jc w:val="both"/>
        <w:rPr/>
      </w:pPr>
      <w:r>
        <w:rPr>
          <w:b/>
        </w:rPr>
        <w:t>Estilo con pocos nadadores.</w:t>
      </w:r>
      <w:r>
        <w:rPr/>
        <w:t xml:space="preserve"> Los umbrales de las reglas se fijaron con los mismos vídeos con que se comprobaron, y de frente no se distingue la mariposa de la braza.</w:t>
      </w:r>
    </w:p>
    <w:p>
      <w:pPr>
        <w:pStyle w:val="ListParagraph"/>
        <w:numPr>
          <w:ilvl w:val="0"/>
          <w:numId w:val="3"/>
        </w:numPr>
        <w:spacing w:before="0" w:after="0"/>
        <w:contextualSpacing/>
        <w:jc w:val="both"/>
        <w:rPr/>
      </w:pPr>
      <w:r>
        <w:rPr>
          <w:b/>
        </w:rPr>
        <w:t>Validación manual limitada.</w:t>
      </w:r>
      <w:r>
        <w:rPr/>
        <w:t xml:space="preserve"> El conteo manual cubre tres secuencias de crol; la frecuencia de los demás estilos, en particular la braza, no se ha validado.</w:t>
      </w:r>
    </w:p>
    <w:p>
      <w:pPr>
        <w:pStyle w:val="ListParagraph"/>
        <w:numPr>
          <w:ilvl w:val="0"/>
          <w:numId w:val="3"/>
        </w:numPr>
        <w:spacing w:before="0" w:after="0"/>
        <w:contextualSpacing/>
        <w:jc w:val="both"/>
        <w:rPr/>
      </w:pPr>
      <w:r>
        <w:rPr>
          <w:b/>
        </w:rPr>
        <w:t>Una sola cámara.</w:t>
      </w:r>
      <w:r>
        <w:rPr/>
        <w:t xml:space="preserve"> Los ángulos 2D son proyecciones; la refracción y la rotación del cuerpo los distorsionan.</w:t>
      </w:r>
    </w:p>
    <w:p>
      <w:pPr>
        <w:pStyle w:val="ListParagraph"/>
        <w:numPr>
          <w:ilvl w:val="0"/>
          <w:numId w:val="3"/>
        </w:numPr>
        <w:spacing w:before="0" w:after="0"/>
        <w:contextualSpacing/>
        <w:jc w:val="both"/>
        <w:rPr/>
      </w:pPr>
      <w:r>
        <w:rPr>
          <w:b/>
        </w:rPr>
        <w:t>Brazos y piernas indistinguibles en vista lateral.</w:t>
      </w:r>
      <w:r>
        <w:rPr/>
        <w:t xml:space="preserve"> La asimetría y los ángulos de cada lado son poco fiables en esa vista.</w:t>
      </w:r>
    </w:p>
    <w:p>
      <w:pPr>
        <w:pStyle w:val="ListParagraph"/>
        <w:numPr>
          <w:ilvl w:val="0"/>
          <w:numId w:val="3"/>
        </w:numPr>
        <w:spacing w:before="0" w:after="0"/>
        <w:contextualSpacing/>
        <w:jc w:val="both"/>
        <w:rPr/>
      </w:pPr>
      <w:r>
        <w:rPr>
          <w:b/>
        </w:rPr>
        <w:t>Detección parcial.</w:t>
      </w:r>
      <w:r>
        <w:rPr/>
        <w:t xml:space="preserve"> El nadador es analizable en el 14 % del tiempo grabado.</w:t>
      </w:r>
    </w:p>
    <w:p>
      <w:pPr>
        <w:pStyle w:val="ListParagraph"/>
        <w:numPr>
          <w:ilvl w:val="0"/>
          <w:numId w:val="3"/>
        </w:numPr>
        <w:spacing w:before="0" w:after="0"/>
        <w:contextualSpacing/>
        <w:jc w:val="both"/>
        <w:rPr/>
      </w:pPr>
      <w:r>
        <w:rPr>
          <w:b/>
        </w:rPr>
        <w:t>Vista automática ajustada con pocos datos.</w:t>
      </w:r>
      <w:r>
        <w:rPr/>
        <w:t xml:space="preserve"> El umbral se fijó con las 17 secuencias iniciales y no detecta cambios de vista de pocos segundos; cuando se conoce la vista, conviene indicarla.</w:t>
      </w:r>
    </w:p>
    <w:p>
      <w:pPr>
        <w:pStyle w:val="ListParagraph"/>
        <w:numPr>
          <w:ilvl w:val="0"/>
          <w:numId w:val="3"/>
        </w:numPr>
        <w:spacing w:before="0" w:after="0"/>
        <w:contextualSpacing/>
        <w:jc w:val="both"/>
        <w:rPr/>
      </w:pPr>
      <w:r>
        <w:rPr>
          <w:b/>
        </w:rPr>
        <w:t>Fase base.</w:t>
      </w:r>
      <w:r>
        <w:rPr/>
        <w:t xml:space="preserve"> Se supone que el nadador comienza descansado; si no es así, el inicio de la fatiga se subestima. En tiempo real la fase base son los diez primeros ciclos.</w:t>
      </w:r>
    </w:p>
    <w:p>
      <w:pPr>
        <w:pStyle w:val="ListParagraph"/>
        <w:numPr>
          <w:ilvl w:val="0"/>
          <w:numId w:val="3"/>
        </w:numPr>
        <w:spacing w:before="0" w:after="0"/>
        <w:contextualSpacing/>
        <w:jc w:val="both"/>
        <w:rPr/>
      </w:pPr>
      <w:r>
        <w:rPr>
          <w:b/>
        </w:rPr>
        <w:t>Datos sintéticos.</w:t>
      </w:r>
      <w:r>
        <w:rPr/>
        <w:t xml:space="preserve"> Validan el método, pero son más regulares que los reales.</w:t>
      </w:r>
    </w:p>
    <w:p>
      <w:pPr>
        <w:pStyle w:val="Normal"/>
        <w:rPr/>
      </w:pPr>
      <w:r>
        <w:rPr/>
      </w:r>
    </w:p>
    <w:p>
      <w:pPr>
        <w:pStyle w:val="Heading1"/>
        <w:numPr>
          <w:ilvl w:val="0"/>
          <w:numId w:val="77"/>
        </w:numPr>
        <w:rPr/>
      </w:pPr>
      <w:bookmarkStart w:id="127" w:name="__RefHeading___Toc9234_350176733"/>
      <w:bookmarkStart w:id="128" w:name="_Toc37845891"/>
      <w:bookmarkStart w:id="129" w:name="_Toc37758906"/>
      <w:bookmarkEnd w:id="127"/>
      <w:r>
        <w:rPr/>
        <w:t>CONCLUSIONES</w:t>
      </w:r>
      <w:bookmarkEnd w:id="128"/>
      <w:bookmarkEnd w:id="129"/>
    </w:p>
    <w:p>
      <w:pPr>
        <w:pStyle w:val="Heading2"/>
        <w:numPr>
          <w:ilvl w:val="1"/>
          <w:numId w:val="78"/>
        </w:numPr>
        <w:rPr/>
      </w:pPr>
      <w:bookmarkStart w:id="130" w:name="__RefHeading___Toc9236_350176733"/>
      <w:bookmarkStart w:id="131" w:name="_Toc37845892"/>
      <w:bookmarkStart w:id="132" w:name="_Toc37758907"/>
      <w:bookmarkEnd w:id="130"/>
      <w:r>
        <w:rPr/>
        <w:t>Conclusiones del trabajo</w:t>
      </w:r>
      <w:bookmarkEnd w:id="131"/>
      <w:bookmarkEnd w:id="132"/>
    </w:p>
    <w:p>
      <w:pPr>
        <w:pStyle w:val="Normal"/>
        <w:jc w:val="both"/>
        <w:rPr/>
      </w:pPr>
      <w:r>
        <w:rPr/>
        <w:t>Se ha desarrollado un sistema completo de análisis biomecánico explicable que funciona en la CPU de un ordenador personal y que transforma un vídeo de nado en indicadores de eficiencia, inicio de la fatiga técnica y atribución por variable. La Tabla 16 resume el grado de cumplimiento de los objetivos.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16</w:t>
      </w:r>
      <w:r>
        <w:rPr/>
        <w:fldChar w:fldCharType="end"/>
      </w:r>
      <w:r>
        <w:rPr/>
        <w:t>. Grado de cumplimiento de los objetivos específicos.</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4253"/>
        <w:gridCol w:w="1984"/>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Objetivo</w:t>
            </w:r>
          </w:p>
        </w:tc>
        <w:tc>
          <w:tcPr>
            <w:tcW w:w="425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c>
          <w:tcPr>
            <w:tcW w:w="198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OE1. Selección del modelo de pose</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YOLOv8n-Pose elegido y justificado</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OE2. Elevación a 3D</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Implementada y evaluada; válida en codo y cadera, no en rodilla</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 con limitaciones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OE3. Ciclos de brazada</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de la frecuencia del 6,5 % al 8,2 % frente al conteo manual; vista automática</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OE4. Variables por ciclo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Eficiencia y ángulos de codo, hombro, cadera, rodilla y pies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OE5. Inicio de la fatiga</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Validado con datos sintéticos (detección 100 %, falsas alarmas 10 %) y en tiempo real (10/10, sin falsas alarmas); cambio técnico sostenido detectado en la secuencia real de 34 min; sin referencia fisiológica</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OE6. Atribución con SHAP</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Global, local y textual; coincide con las variables alteradas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OE7. Clasificación del estilo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 supervisado: 100 % en datos sintéticos, no generaliza en vídeo real. Reglas biomecánicas: familia correcta en 15 de 19 vídeos reales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OE8. Vídeo anotado y tiempo real</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Panel de fatiga por ciclo en el vídeo anotado y en el modo en tiempo real</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OE9. Evaluación con datos sintéticos</w:t>
            </w:r>
          </w:p>
        </w:tc>
        <w:tc>
          <w:tcPr>
            <w:tcW w:w="425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Generador con referencia conocida y pruebas automáticas</w:t>
            </w:r>
          </w:p>
        </w:tc>
        <w:tc>
          <w:tcPr>
            <w:tcW w:w="198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bl>
    <w:p>
      <w:pPr>
        <w:pStyle w:val="Normal"/>
        <w:jc w:val="both"/>
        <w:rPr/>
      </w:pPr>
      <w:r>
        <w:rPr/>
      </w:r>
    </w:p>
    <w:p>
      <w:pPr>
        <w:pStyle w:val="Normal"/>
        <w:jc w:val="both"/>
        <w:rPr/>
      </w:pPr>
      <w:r>
        <w:rPr/>
        <w:t>Con datos sintéticos de referencia conocida, el sistema estima la frecuencia de ciclo, la velocidad y la distancia por ciclo con errores medianos inferiores al 5 %, detecta el inicio de la fatiga al comienzo de la transición programada, también en tiempo real, y atribuye la fatiga a las variables alteradas. Con vídeo real, la frecuencia de ciclo se aproxima al conteo manual con un error del 6,5 % al 8,2 %, la vista y la familia del estilo se determinan automáticamente, y el análisis de 25 secuencias de 5 participantes produjo 165 ciclos válidos y perfiles técnicos diferenciados por nadador. En la secuencia de 34 min, el sistema detectó un cambio técnico sostenido compatible con la fatiga a partir de t = 748,0 s y explicó sus causas, con la cautela de los pocos ciclos válidos. Las sesiones de pasadas cortas no presentaron fatiga, como cabía esperar por su duración.</w:t>
      </w:r>
    </w:p>
    <w:p>
      <w:pPr>
        <w:pStyle w:val="Normal"/>
        <w:jc w:val="both"/>
        <w:rPr/>
      </w:pPr>
      <w:r>
        <w:rPr/>
        <w:t>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pPr>
        <w:pStyle w:val="NoSpacing"/>
        <w:jc w:val="both"/>
        <w:rPr>
          <w:color w:val="FF0000"/>
        </w:rPr>
      </w:pPr>
      <w:r>
        <w:rPr>
          <w:color w:val="FF0000"/>
        </w:rPr>
      </w:r>
    </w:p>
    <w:p>
      <w:pPr>
        <w:pStyle w:val="Heading2"/>
        <w:numPr>
          <w:ilvl w:val="1"/>
          <w:numId w:val="79"/>
        </w:numPr>
        <w:rPr/>
      </w:pPr>
      <w:bookmarkStart w:id="133" w:name="__RefHeading___Toc9238_350176733"/>
      <w:bookmarkStart w:id="134" w:name="_Toc37845893"/>
      <w:bookmarkStart w:id="135" w:name="_Toc37758908"/>
      <w:bookmarkEnd w:id="133"/>
      <w:r>
        <w:rPr/>
        <w:t>Conclusiones personales</w:t>
      </w:r>
      <w:bookmarkEnd w:id="134"/>
      <w:bookmarkEnd w:id="135"/>
    </w:p>
    <w:p>
      <w:pPr>
        <w:pStyle w:val="Normal"/>
        <w:jc w:val="both"/>
        <w:rPr/>
      </w:pPr>
      <w:r>
        <w:rPr/>
        <w:t>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pStyle w:val="Normal"/>
        <w:jc w:val="both"/>
        <w:rPr/>
      </w:pPr>
      <w:r>
        <w:rPr/>
        <w:t>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pPr>
        <w:pStyle w:val="NoSpacing"/>
        <w:jc w:val="both"/>
        <w:rPr>
          <w:color w:val="FF0000"/>
        </w:rPr>
      </w:pPr>
      <w:r>
        <w:rPr>
          <w:color w:val="FF0000"/>
        </w:rPr>
      </w:r>
    </w:p>
    <w:p>
      <w:pPr>
        <w:pStyle w:val="NoSpacing"/>
        <w:jc w:val="both"/>
        <w:rPr>
          <w:color w:val="FF0000"/>
        </w:rPr>
      </w:pPr>
      <w:r>
        <w:rPr>
          <w:color w:val="FF0000"/>
        </w:rPr>
      </w:r>
    </w:p>
    <w:p>
      <w:pPr>
        <w:pStyle w:val="NoSpacing"/>
        <w:jc w:val="both"/>
        <w:rPr>
          <w:color w:val="FF0000"/>
        </w:rPr>
      </w:pPr>
      <w:r>
        <w:rPr>
          <w:color w:val="FF0000"/>
        </w:rPr>
      </w:r>
    </w:p>
    <w:p>
      <w:pPr>
        <w:pStyle w:val="Normal"/>
        <w:rPr>
          <w:color w:val="FF0000"/>
        </w:rPr>
      </w:pPr>
      <w:r>
        <w:rPr>
          <w:color w:val="FF0000"/>
        </w:rPr>
      </w:r>
    </w:p>
    <w:p>
      <w:pPr>
        <w:pStyle w:val="Heading1"/>
        <w:numPr>
          <w:ilvl w:val="0"/>
          <w:numId w:val="80"/>
        </w:numPr>
        <w:rPr/>
      </w:pPr>
      <w:bookmarkStart w:id="136" w:name="__RefHeading___Toc9240_350176733"/>
      <w:bookmarkStart w:id="137" w:name="_Toc37845894"/>
      <w:bookmarkStart w:id="138" w:name="_Toc37758909"/>
      <w:bookmarkEnd w:id="136"/>
      <w:r>
        <w:rPr/>
        <w:t>FUTURAS LÍNEAS DE TRABAJO</w:t>
      </w:r>
      <w:bookmarkEnd w:id="137"/>
      <w:bookmarkEnd w:id="138"/>
    </w:p>
    <w:p>
      <w:pPr>
        <w:pStyle w:val="Normal"/>
        <w:jc w:val="both"/>
        <w:rPr/>
      </w:pPr>
      <w:r>
        <w:rPr/>
        <w:t>Las líneas de trabajo futuras se derivan directamente de las limitaciones identificadas y se agrupan en cuatro ámbitos: los datos y la validación experimental, los modelos de visión, la extensión del sistema y su aplicación práctica.</w:t>
      </w:r>
    </w:p>
    <w:p>
      <w:pPr>
        <w:pStyle w:val="Heading2"/>
        <w:keepNext w:val="true"/>
        <w:numPr>
          <w:ilvl w:val="1"/>
          <w:numId w:val="81"/>
        </w:numPr>
        <w:rPr/>
      </w:pPr>
      <w:bookmarkStart w:id="139" w:name="__RefHeading___Toc9242_350176733"/>
      <w:bookmarkEnd w:id="139"/>
      <w:r>
        <w:rPr/>
        <w:t>Datos y validación experimental</w:t>
      </w:r>
    </w:p>
    <w:p>
      <w:pPr>
        <w:pStyle w:val="Normal"/>
        <w:jc w:val="both"/>
        <w:rPr/>
      </w:pPr>
      <w:r>
        <w:rPr/>
        <w:t>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pStyle w:val="Normal"/>
        <w:jc w:val="both"/>
        <w:rPr/>
      </w:pPr>
      <w:r>
        <w:rPr/>
        <w:t>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Heading2"/>
        <w:keepNext w:val="true"/>
        <w:numPr>
          <w:ilvl w:val="1"/>
          <w:numId w:val="82"/>
        </w:numPr>
        <w:rPr/>
      </w:pPr>
      <w:bookmarkStart w:id="140" w:name="__RefHeading___Toc9244_350176733"/>
      <w:bookmarkEnd w:id="140"/>
      <w:r>
        <w:rPr/>
        <w:t>Modelos de visión</w:t>
      </w:r>
    </w:p>
    <w:p>
      <w:pPr>
        <w:pStyle w:val="Normal"/>
        <w:jc w:val="both"/>
        <w:rPr/>
      </w:pPr>
      <w:r>
        <w:rPr/>
        <w:t>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Heading2"/>
        <w:keepNext w:val="true"/>
        <w:numPr>
          <w:ilvl w:val="1"/>
          <w:numId w:val="83"/>
        </w:numPr>
        <w:rPr/>
      </w:pPr>
      <w:bookmarkStart w:id="141" w:name="__RefHeading___Toc9246_350176733"/>
      <w:bookmarkEnd w:id="141"/>
      <w:r>
        <w:rPr/>
        <w:t>Extensión del sistema</w:t>
      </w:r>
    </w:p>
    <w:p>
      <w:pPr>
        <w:pStyle w:val="Normal"/>
        <w:jc w:val="both"/>
        <w:rPr/>
      </w:pPr>
      <w:r>
        <w:rPr/>
        <w:t>El modo audio, que estimaría la frecuencia de brazada y el patrón respiratorio a partir del sonido, completaría los modos de entrada previstos. La fusión con sensores inerciales permitiría medir la velocidad sin calibrar la cámara. La validación de la vista automática con secuencias nuevas, y su extensión a vistas oblicuas, reforzaría el modo híbrido, y el entrenamiento del clasificador de estilo con vídeos reales etiquetados reduciría la distancia entre el dominio sintético y el real.</w:t>
      </w:r>
    </w:p>
    <w:p>
      <w:pPr>
        <w:pStyle w:val="Heading2"/>
        <w:keepNext w:val="true"/>
        <w:numPr>
          <w:ilvl w:val="1"/>
          <w:numId w:val="84"/>
        </w:numPr>
        <w:rPr/>
      </w:pPr>
      <w:bookmarkStart w:id="142" w:name="__RefHeading___Toc9248_350176733"/>
      <w:bookmarkEnd w:id="142"/>
      <w:r>
        <w:rPr/>
        <w:t>Aplicación práctica</w:t>
      </w:r>
    </w:p>
    <w:p>
      <w:pPr>
        <w:pStyle w:val="Normal"/>
        <w:jc w:val="both"/>
        <w:rPr/>
      </w:pPr>
      <w:r>
        <w:rPr/>
        <w:t>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pPr>
        <w:pStyle w:val="Heading1"/>
        <w:numPr>
          <w:ilvl w:val="0"/>
          <w:numId w:val="85"/>
        </w:numPr>
        <w:rPr/>
      </w:pPr>
      <w:bookmarkStart w:id="143" w:name="__RefHeading___Toc9250_350176733"/>
      <w:bookmarkStart w:id="144" w:name="_Toc37845895"/>
      <w:bookmarkStart w:id="145" w:name="_Toc37758910"/>
      <w:bookmarkEnd w:id="143"/>
      <w:r>
        <w:rPr/>
        <w:t>REFERENCIAS</w:t>
      </w:r>
      <w:bookmarkEnd w:id="144"/>
      <w:bookmarkEnd w:id="145"/>
    </w:p>
    <w:p>
      <w:pPr>
        <w:pStyle w:val="Bibliography"/>
        <w:spacing w:before="120" w:after="80"/>
        <w:ind w:hanging="567" w:left="567"/>
        <w:rPr/>
      </w:pPr>
      <w:bookmarkStart w:id="146" w:name="ref_craig1979"/>
      <w:r>
        <w:rPr/>
        <w:t>[1]</w:t>
      </w:r>
      <w:bookmarkEnd w:id="146"/>
      <w:r>
        <w:rPr/>
        <w:tab/>
        <w:t xml:space="preserve">A. B. Craig y D. R. Pendergast, «Relationships of stroke rate, distance per stroke, and velocity in competitive swimming», </w:t>
      </w:r>
      <w:r>
        <w:rPr>
          <w:i/>
        </w:rPr>
        <w:t>Medicine and Science in Sports</w:t>
      </w:r>
      <w:r>
        <w:rPr/>
        <w:t>, vol. 11, n.º 3, pp. 278-283, 1979.</w:t>
      </w:r>
    </w:p>
    <w:p>
      <w:pPr>
        <w:pStyle w:val="Bibliography"/>
        <w:spacing w:before="120" w:after="80"/>
        <w:ind w:hanging="567" w:left="567"/>
        <w:rPr/>
      </w:pPr>
      <w:bookmarkStart w:id="147" w:name="ref_alberty2005"/>
      <w:r>
        <w:rPr/>
        <w:t>[2]</w:t>
      </w:r>
      <w:bookmarkEnd w:id="147"/>
      <w:r>
        <w:rPr/>
        <w:tab/>
        <w:t xml:space="preserve">M. Alberty, M. Sidney, F. Huot-Marchand, J. M. Hespel y P. Pelayo, «Intracyclic velocity variations and arm coordination during exhaustive exercise in front crawl stroke», </w:t>
      </w:r>
      <w:r>
        <w:rPr>
          <w:i/>
        </w:rPr>
        <w:t>International Journal of Sports Medicine</w:t>
      </w:r>
      <w:r>
        <w:rPr/>
        <w:t>, vol. 26, n.º 6, pp. 471-475, 2005.</w:t>
      </w:r>
    </w:p>
    <w:p>
      <w:pPr>
        <w:pStyle w:val="Bibliography"/>
        <w:spacing w:before="120" w:after="80"/>
        <w:ind w:hanging="567" w:left="567"/>
        <w:rPr/>
      </w:pPr>
      <w:bookmarkStart w:id="148" w:name="ref_costill1985"/>
      <w:r>
        <w:rPr/>
        <w:t>[3]</w:t>
      </w:r>
      <w:bookmarkEnd w:id="148"/>
      <w:r>
        <w:rPr/>
        <w:tab/>
        <w:t xml:space="preserve">D. L. Costill, J. Kovaleski, D. Porter, J. Kirwan, R. Fielding y D. King, «Energy expenditure during front crawl swimming: predicting success in middle-distance events», </w:t>
      </w:r>
      <w:r>
        <w:rPr>
          <w:i/>
        </w:rPr>
        <w:t>International Journal of Sports Medicine</w:t>
      </w:r>
      <w:r>
        <w:rPr/>
        <w:t>, vol. 6, n.º 5, pp. 266-270, 1985.</w:t>
      </w:r>
    </w:p>
    <w:p>
      <w:pPr>
        <w:pStyle w:val="Bibliography"/>
        <w:spacing w:before="120" w:after="80"/>
        <w:ind w:hanging="567" w:left="567"/>
        <w:rPr/>
      </w:pPr>
      <w:bookmarkStart w:id="149" w:name="ref_toussaint1992"/>
      <w:r>
        <w:rPr/>
        <w:t>[4]</w:t>
      </w:r>
      <w:bookmarkEnd w:id="149"/>
      <w:r>
        <w:rPr/>
        <w:tab/>
        <w:t xml:space="preserve">H. M. Toussaint y P. J. Beek, «Biomechanics of competitive front crawl swimming», </w:t>
      </w:r>
      <w:r>
        <w:rPr>
          <w:i/>
        </w:rPr>
        <w:t>Sports Medicine</w:t>
      </w:r>
      <w:r>
        <w:rPr/>
        <w:t>, vol. 13, n.º 1, pp. 8-24, 1992.</w:t>
      </w:r>
    </w:p>
    <w:p>
      <w:pPr>
        <w:pStyle w:val="Bibliography"/>
        <w:spacing w:before="120" w:after="80"/>
        <w:ind w:hanging="567" w:left="567"/>
        <w:rPr/>
      </w:pPr>
      <w:bookmarkStart w:id="150" w:name="ref_chollet2000"/>
      <w:r>
        <w:rPr/>
        <w:t>[5]</w:t>
      </w:r>
      <w:bookmarkEnd w:id="150"/>
      <w:r>
        <w:rPr/>
        <w:tab/>
        <w:t xml:space="preserve">D. Chollet, S. Chalies y J. C. Chatard, «A new index of coordination for the crawl: description and usefulness», </w:t>
      </w:r>
      <w:r>
        <w:rPr>
          <w:i/>
        </w:rPr>
        <w:t>International Journal of Sports Medicine</w:t>
      </w:r>
      <w:r>
        <w:rPr/>
        <w:t>, vol. 21, n.º 1, pp. 54-59, 2000.</w:t>
      </w:r>
    </w:p>
    <w:p>
      <w:pPr>
        <w:pStyle w:val="Bibliography"/>
        <w:spacing w:before="120" w:after="80"/>
        <w:ind w:hanging="567" w:left="567"/>
        <w:rPr/>
      </w:pPr>
      <w:bookmarkStart w:id="151" w:name="ref_lecun2015"/>
      <w:r>
        <w:rPr/>
        <w:t>[6]</w:t>
      </w:r>
      <w:bookmarkEnd w:id="151"/>
      <w:r>
        <w:rPr/>
        <w:tab/>
        <w:t xml:space="preserve">Y. LeCun, Y. Bengio y G. Hinton, «Deep learning», </w:t>
      </w:r>
      <w:r>
        <w:rPr>
          <w:i/>
        </w:rPr>
        <w:t>Nature</w:t>
      </w:r>
      <w:r>
        <w:rPr/>
        <w:t>, vol. 521, n.º 7553, pp. 436-444, 2015.</w:t>
      </w:r>
    </w:p>
    <w:p>
      <w:pPr>
        <w:pStyle w:val="Bibliography"/>
        <w:spacing w:before="120" w:after="80"/>
        <w:ind w:hanging="567" w:left="567"/>
        <w:rPr/>
      </w:pPr>
      <w:bookmarkStart w:id="152" w:name="ref_vaswani2017"/>
      <w:r>
        <w:rPr/>
        <w:t>[7]</w:t>
      </w:r>
      <w:bookmarkEnd w:id="152"/>
      <w:r>
        <w:rPr/>
        <w:tab/>
        <w:t xml:space="preserve">A. Vaswani et al., «Attention is all you need», en </w:t>
      </w:r>
      <w:r>
        <w:rPr>
          <w:i/>
        </w:rPr>
        <w:t>Advances in Neural Information Processing Systems (NeurIPS)</w:t>
      </w:r>
      <w:r>
        <w:rPr/>
        <w:t>, vol. 30, 2017.</w:t>
      </w:r>
    </w:p>
    <w:p>
      <w:pPr>
        <w:pStyle w:val="Bibliography"/>
        <w:spacing w:before="120" w:after="80"/>
        <w:ind w:hanging="567" w:left="567"/>
        <w:rPr/>
      </w:pPr>
      <w:bookmarkStart w:id="153" w:name="ref_pan2010"/>
      <w:r>
        <w:rPr/>
        <w:t>[8]</w:t>
      </w:r>
      <w:bookmarkEnd w:id="153"/>
      <w:r>
        <w:rPr/>
        <w:tab/>
        <w:t xml:space="preserve">S. J. Pan y Q. Yang, «A survey on transfer learning», </w:t>
      </w:r>
      <w:r>
        <w:rPr>
          <w:i/>
        </w:rPr>
        <w:t>IEEE Transactions on Knowledge and Data Engineering</w:t>
      </w:r>
      <w:r>
        <w:rPr/>
        <w:t>, vol. 22, n.º 10, pp. 1345-1359, 2010.</w:t>
      </w:r>
    </w:p>
    <w:p>
      <w:pPr>
        <w:pStyle w:val="Bibliography"/>
        <w:spacing w:before="120" w:after="80"/>
        <w:ind w:hanging="567" w:left="567"/>
        <w:rPr/>
      </w:pPr>
      <w:bookmarkStart w:id="154" w:name="ref_lin2014"/>
      <w:r>
        <w:rPr/>
        <w:t>[9]</w:t>
      </w:r>
      <w:bookmarkEnd w:id="154"/>
      <w:r>
        <w:rPr/>
        <w:tab/>
        <w:t xml:space="preserve">T.-Y. Lin et al., «Microsoft COCO: common objects in context», en </w:t>
      </w:r>
      <w:r>
        <w:rPr>
          <w:i/>
        </w:rPr>
        <w:t>European Conference on Computer Vision (ECCV)</w:t>
      </w:r>
      <w:r>
        <w:rPr/>
        <w:t>, 2014, pp. 740-755.</w:t>
      </w:r>
    </w:p>
    <w:p>
      <w:pPr>
        <w:pStyle w:val="Bibliography"/>
        <w:spacing w:before="120" w:after="80"/>
        <w:ind w:hanging="567" w:left="567"/>
        <w:rPr/>
      </w:pPr>
      <w:bookmarkStart w:id="155" w:name="ref_cao2017"/>
      <w:r>
        <w:rPr/>
        <w:t>[10]</w:t>
      </w:r>
      <w:bookmarkEnd w:id="155"/>
      <w:r>
        <w:rPr/>
        <w:tab/>
        <w:t xml:space="preserve">Z. Cao, T. Simon, S.-E. Wei y Y. Sheikh, «Realtime multi-person 2D pose estimation using part affinity fields», en </w:t>
      </w:r>
      <w:r>
        <w:rPr>
          <w:i/>
        </w:rPr>
        <w:t>Proc. IEEE CVPR</w:t>
      </w:r>
      <w:r>
        <w:rPr/>
        <w:t>, 2017, pp. 7291-7299.</w:t>
      </w:r>
    </w:p>
    <w:p>
      <w:pPr>
        <w:pStyle w:val="Bibliography"/>
        <w:spacing w:before="120" w:after="80"/>
        <w:ind w:hanging="567" w:left="567"/>
        <w:rPr/>
      </w:pPr>
      <w:bookmarkStart w:id="156" w:name="ref_sun2019"/>
      <w:r>
        <w:rPr/>
        <w:t>[11]</w:t>
      </w:r>
      <w:bookmarkEnd w:id="156"/>
      <w:r>
        <w:rPr/>
        <w:tab/>
        <w:t xml:space="preserve">K. Sun, B. Xiao, D. Liu y J. Wang, «Deep high-resolution representation learning for human pose estimation», en </w:t>
      </w:r>
      <w:r>
        <w:rPr>
          <w:i/>
        </w:rPr>
        <w:t>Proc. IEEE CVPR</w:t>
      </w:r>
      <w:r>
        <w:rPr/>
        <w:t>, 2019, pp. 5693-5703.</w:t>
      </w:r>
    </w:p>
    <w:p>
      <w:pPr>
        <w:pStyle w:val="Bibliography"/>
        <w:spacing w:before="120" w:after="80"/>
        <w:ind w:hanging="567" w:left="567"/>
        <w:rPr/>
      </w:pPr>
      <w:bookmarkStart w:id="157" w:name="ref_redmon2016"/>
      <w:r>
        <w:rPr/>
        <w:t>[12]</w:t>
      </w:r>
      <w:bookmarkEnd w:id="157"/>
      <w:r>
        <w:rPr/>
        <w:tab/>
        <w:t xml:space="preserve">J. Redmon, S. Divvala, R. Girshick y A. Farhadi, «You only look once: unified, real-time object detection», en </w:t>
      </w:r>
      <w:r>
        <w:rPr>
          <w:i/>
        </w:rPr>
        <w:t>Proc. IEEE Conference on Computer Vision and Pattern Recognition (CVPR)</w:t>
      </w:r>
      <w:r>
        <w:rPr/>
        <w:t>, 2016, pp. 779-788.</w:t>
      </w:r>
    </w:p>
    <w:p>
      <w:pPr>
        <w:pStyle w:val="Bibliography"/>
        <w:spacing w:before="120" w:after="80"/>
        <w:ind w:hanging="567" w:left="567"/>
        <w:rPr/>
      </w:pPr>
      <w:bookmarkStart w:id="158" w:name="ref_maji2022"/>
      <w:r>
        <w:rPr/>
        <w:t>[13]</w:t>
      </w:r>
      <w:bookmarkEnd w:id="158"/>
      <w:r>
        <w:rPr/>
        <w:tab/>
        <w:t xml:space="preserve">D. Maji, S. Nagori, M. Mathew y D. Poddar, «YOLO-Pose: enhancing YOLO for multi person pose estimation using object keypoint similarity loss», en </w:t>
      </w:r>
      <w:r>
        <w:rPr>
          <w:i/>
        </w:rPr>
        <w:t>Proc. IEEE CVPR Workshops</w:t>
      </w:r>
      <w:r>
        <w:rPr/>
        <w:t>, 2022.</w:t>
      </w:r>
    </w:p>
    <w:p>
      <w:pPr>
        <w:pStyle w:val="Bibliography"/>
        <w:spacing w:before="120" w:after="80"/>
        <w:ind w:hanging="567" w:left="567"/>
        <w:rPr/>
      </w:pPr>
      <w:bookmarkStart w:id="159" w:name="ref_jocher2023"/>
      <w:r>
        <w:rPr/>
        <w:t>[14]</w:t>
      </w:r>
      <w:bookmarkEnd w:id="159"/>
      <w:r>
        <w:rPr/>
        <w:tab/>
        <w:t xml:space="preserve">G. Jocher, A. Chaurasia y J. Qiu, </w:t>
      </w:r>
      <w:r>
        <w:rPr>
          <w:i/>
        </w:rPr>
        <w:t>Ultralytics YOLOv8</w:t>
      </w:r>
      <w:r>
        <w:rPr/>
        <w:t xml:space="preserve"> (software y documentación de modelos), GitHub, 2023.</w:t>
      </w:r>
    </w:p>
    <w:p>
      <w:pPr>
        <w:pStyle w:val="Bibliography"/>
        <w:spacing w:before="120" w:after="80"/>
        <w:ind w:hanging="567" w:left="567"/>
        <w:rPr/>
      </w:pPr>
      <w:bookmarkStart w:id="160" w:name="ref_google2021"/>
      <w:r>
        <w:rPr/>
        <w:t>[15]</w:t>
      </w:r>
      <w:bookmarkEnd w:id="160"/>
      <w:r>
        <w:rPr/>
        <w:tab/>
        <w:t xml:space="preserve">Google, </w:t>
      </w:r>
      <w:r>
        <w:rPr>
          <w:i/>
        </w:rPr>
        <w:t>MoveNet: ultra fast and accurate pose detection model</w:t>
      </w:r>
      <w:r>
        <w:rPr/>
        <w:t>, TensorFlow Hub, 2021.</w:t>
      </w:r>
    </w:p>
    <w:p>
      <w:pPr>
        <w:pStyle w:val="Bibliography"/>
        <w:spacing w:before="120" w:after="80"/>
        <w:ind w:hanging="567" w:left="567"/>
        <w:rPr/>
      </w:pPr>
      <w:bookmarkStart w:id="161" w:name="ref_bazarevsky2020"/>
      <w:r>
        <w:rPr/>
        <w:t>[16]</w:t>
      </w:r>
      <w:bookmarkEnd w:id="161"/>
      <w:r>
        <w:rPr/>
        <w:tab/>
        <w:t>V. Bazarevsky, I. Grishchenko, K. Raveendran, T. Zhu, F. Zhang y M. Grundmann, «BlazePose: on-device real-time body pose tracking», arXiv:2006.10204, 2020.</w:t>
      </w:r>
    </w:p>
    <w:p>
      <w:pPr>
        <w:pStyle w:val="Bibliography"/>
        <w:spacing w:before="120" w:after="80"/>
        <w:ind w:hanging="567" w:left="567"/>
        <w:rPr/>
      </w:pPr>
      <w:bookmarkStart w:id="162" w:name="ref_xu2022"/>
      <w:r>
        <w:rPr/>
        <w:t>[17]</w:t>
      </w:r>
      <w:bookmarkEnd w:id="162"/>
      <w:r>
        <w:rPr/>
        <w:tab/>
        <w:t xml:space="preserve">Y. Xu, J. Zhang, Q. Zhang y D. Tao, «ViTPose: simple vision transformer baselines for human pose estimation», en </w:t>
      </w:r>
      <w:r>
        <w:rPr>
          <w:i/>
        </w:rPr>
        <w:t>Advances in Neural Information Processing Systems (NeurIPS)</w:t>
      </w:r>
      <w:r>
        <w:rPr/>
        <w:t>, vol. 35, 2022.</w:t>
      </w:r>
    </w:p>
    <w:p>
      <w:pPr>
        <w:pStyle w:val="Bibliography"/>
        <w:spacing w:before="120" w:after="80"/>
        <w:ind w:hanging="567" w:left="567"/>
        <w:rPr/>
      </w:pPr>
      <w:bookmarkStart w:id="163" w:name="ref_einfalt2018"/>
      <w:r>
        <w:rPr/>
        <w:t>[18]</w:t>
      </w:r>
      <w:bookmarkEnd w:id="163"/>
      <w:r>
        <w:rPr/>
        <w:tab/>
        <w:t xml:space="preserve">M. Einfalt, D. Zecha y R. Lienhart, «Activity-conditioned continuous human pose estimation for performance analysis of athletes using the example of swimming», en </w:t>
      </w:r>
      <w:r>
        <w:rPr>
          <w:i/>
        </w:rPr>
        <w:t>Proc. IEEE Winter Conference on Applications of Computer Vision (WACV)</w:t>
      </w:r>
      <w:r>
        <w:rPr/>
        <w:t>, 2018, pp. 446-455.</w:t>
      </w:r>
    </w:p>
    <w:p>
      <w:pPr>
        <w:pStyle w:val="Bibliography"/>
        <w:spacing w:before="120" w:after="80"/>
        <w:ind w:hanging="567" w:left="567"/>
        <w:rPr/>
      </w:pPr>
      <w:bookmarkStart w:id="164" w:name="ref_fiche2023"/>
      <w:r>
        <w:rPr/>
        <w:t>[19]</w:t>
      </w:r>
      <w:bookmarkEnd w:id="164"/>
      <w:r>
        <w:rPr/>
        <w:tab/>
        <w:t xml:space="preserve">G. Fiche, V. Sevestre, C. Gonzalez-Barral, S. Leglaive y R. Séguier, «SwimXYZ: a large-scale dataset of synthetic swimming motions and videos», en </w:t>
      </w:r>
      <w:r>
        <w:rPr>
          <w:i/>
        </w:rPr>
        <w:t>ACM SIGGRAPH Conference on Motion, Interaction and Games (MIG)</w:t>
      </w:r>
      <w:r>
        <w:rPr/>
        <w:t>, 2023.</w:t>
      </w:r>
    </w:p>
    <w:p>
      <w:pPr>
        <w:pStyle w:val="Bibliography"/>
        <w:spacing w:before="120" w:after="80"/>
        <w:ind w:hanging="567" w:left="567"/>
        <w:rPr/>
      </w:pPr>
      <w:bookmarkStart w:id="165" w:name="ref_andriluka2014"/>
      <w:r>
        <w:rPr/>
        <w:t>[20]</w:t>
      </w:r>
      <w:bookmarkEnd w:id="165"/>
      <w:r>
        <w:rPr/>
        <w:tab/>
        <w:t xml:space="preserve">M. Andriluka, L. Pishchulin, P. Gehler y B. Schiele, «2D human pose estimation: new benchmark and state of the art analysis», en </w:t>
      </w:r>
      <w:r>
        <w:rPr>
          <w:i/>
        </w:rPr>
        <w:t>Proc. IEEE CVPR</w:t>
      </w:r>
      <w:r>
        <w:rPr/>
        <w:t>, 2014, pp. 3686-3693.</w:t>
      </w:r>
    </w:p>
    <w:p>
      <w:pPr>
        <w:pStyle w:val="Bibliography"/>
        <w:spacing w:before="120" w:after="80"/>
        <w:ind w:hanging="567" w:left="567"/>
        <w:rPr/>
      </w:pPr>
      <w:bookmarkStart w:id="166" w:name="ref_martinez2017"/>
      <w:r>
        <w:rPr/>
        <w:t>[21]</w:t>
      </w:r>
      <w:bookmarkEnd w:id="166"/>
      <w:r>
        <w:rPr/>
        <w:tab/>
        <w:t xml:space="preserve">J. Martinez, R. Hossain, J. Romero y J. J. Little, «A simple yet effective baseline for 3D human pose estimation», en </w:t>
      </w:r>
      <w:r>
        <w:rPr>
          <w:i/>
        </w:rPr>
        <w:t>Proc. IEEE International Conference on Computer Vision (ICCV)</w:t>
      </w:r>
      <w:r>
        <w:rPr/>
        <w:t>, 2017, pp. 2640-2649.</w:t>
      </w:r>
    </w:p>
    <w:p>
      <w:pPr>
        <w:pStyle w:val="Bibliography"/>
        <w:spacing w:before="120" w:after="80"/>
        <w:ind w:hanging="567" w:left="567"/>
        <w:rPr/>
      </w:pPr>
      <w:bookmarkStart w:id="167" w:name="ref_ionescu2014"/>
      <w:r>
        <w:rPr/>
        <w:t>[22]</w:t>
      </w:r>
      <w:bookmarkEnd w:id="167"/>
      <w:r>
        <w:rPr/>
        <w:tab/>
        <w:t xml:space="preserve">C. Ionescu, D. Papava, V. Olaru y C. Sminchisescu, «Human3.6M: large scale datasets and predictive methods for 3D human sensing in natural environments», </w:t>
      </w:r>
      <w:r>
        <w:rPr>
          <w:i/>
        </w:rPr>
        <w:t>IEEE Transactions on Pattern Analysis and Machine Intelligence</w:t>
      </w:r>
      <w:r>
        <w:rPr/>
        <w:t>, vol. 36, n.º 7, pp. 1325-1339, 2014.</w:t>
      </w:r>
    </w:p>
    <w:p>
      <w:pPr>
        <w:pStyle w:val="Bibliography"/>
        <w:spacing w:before="120" w:after="80"/>
        <w:ind w:hanging="567" w:left="567"/>
        <w:rPr/>
      </w:pPr>
      <w:bookmarkStart w:id="168" w:name="ref_zhu2023"/>
      <w:r>
        <w:rPr/>
        <w:t>[23]</w:t>
      </w:r>
      <w:bookmarkEnd w:id="168"/>
      <w:r>
        <w:rPr/>
        <w:tab/>
        <w:t xml:space="preserve">W. Zhu, X. Ma, Z. Liu, L. Liu, W. Wu e Y. Wang, «MotionBERT: a unified perspective on learning human motion representations», en </w:t>
      </w:r>
      <w:r>
        <w:rPr>
          <w:i/>
        </w:rPr>
        <w:t>Proc. IEEE/CVF ICCV</w:t>
      </w:r>
      <w:r>
        <w:rPr/>
        <w:t>, 2023, pp. 15085-15099.</w:t>
      </w:r>
    </w:p>
    <w:p>
      <w:pPr>
        <w:pStyle w:val="Bibliography"/>
        <w:spacing w:before="120" w:after="80"/>
        <w:ind w:hanging="567" w:left="567"/>
        <w:rPr/>
      </w:pPr>
      <w:bookmarkStart w:id="169" w:name="ref_chandola2009"/>
      <w:r>
        <w:rPr/>
        <w:t>[24]</w:t>
      </w:r>
      <w:bookmarkEnd w:id="169"/>
      <w:r>
        <w:rPr/>
        <w:tab/>
        <w:t xml:space="preserve">V. Chandola, A. Banerjee y V. Kumar, «Anomaly detection: a survey», </w:t>
      </w:r>
      <w:r>
        <w:rPr>
          <w:i/>
        </w:rPr>
        <w:t>ACM Computing Surveys</w:t>
      </w:r>
      <w:r>
        <w:rPr/>
        <w:t>, vol. 41, n.º 3, art. 15, 2009.</w:t>
      </w:r>
    </w:p>
    <w:p>
      <w:pPr>
        <w:pStyle w:val="Bibliography"/>
        <w:spacing w:before="120" w:after="80"/>
        <w:ind w:hanging="567" w:left="567"/>
        <w:rPr/>
      </w:pPr>
      <w:bookmarkStart w:id="170" w:name="ref_liu2008"/>
      <w:r>
        <w:rPr/>
        <w:t>[25]</w:t>
      </w:r>
      <w:bookmarkEnd w:id="170"/>
      <w:r>
        <w:rPr/>
        <w:tab/>
        <w:t xml:space="preserve">F. T. Liu, K. M. Ting y Z.-H. Zhou, «Isolation forest», en </w:t>
      </w:r>
      <w:r>
        <w:rPr>
          <w:i/>
        </w:rPr>
        <w:t>Proc. IEEE International Conference on Data Mining (ICDM)</w:t>
      </w:r>
      <w:r>
        <w:rPr/>
        <w:t>, 2008, pp. 413-422.</w:t>
      </w:r>
    </w:p>
    <w:p>
      <w:pPr>
        <w:pStyle w:val="Bibliography"/>
        <w:spacing w:before="120" w:after="80"/>
        <w:ind w:hanging="567" w:left="567"/>
        <w:rPr/>
      </w:pPr>
      <w:bookmarkStart w:id="171" w:name="ref_killick2012"/>
      <w:r>
        <w:rPr/>
        <w:t>[26]</w:t>
      </w:r>
      <w:bookmarkEnd w:id="171"/>
      <w:r>
        <w:rPr/>
        <w:tab/>
        <w:t xml:space="preserve">R. Killick, P. Fearnhead e I. A. Eckley, «Optimal detection of changepoints with a linear computational cost», </w:t>
      </w:r>
      <w:r>
        <w:rPr>
          <w:i/>
        </w:rPr>
        <w:t>Journal of the American Statistical Association</w:t>
      </w:r>
      <w:r>
        <w:rPr/>
        <w:t>, vol. 107, n.º 500, pp. 1590-1598, 2012.</w:t>
      </w:r>
    </w:p>
    <w:p>
      <w:pPr>
        <w:pStyle w:val="Bibliography"/>
        <w:spacing w:before="120" w:after="80"/>
        <w:ind w:hanging="567" w:left="567"/>
        <w:rPr/>
      </w:pPr>
      <w:bookmarkStart w:id="172" w:name="ref_breiman2001"/>
      <w:r>
        <w:rPr/>
        <w:t>[27]</w:t>
      </w:r>
      <w:bookmarkEnd w:id="172"/>
      <w:r>
        <w:rPr/>
        <w:tab/>
        <w:t xml:space="preserve">L. Breiman, «Random forests», </w:t>
      </w:r>
      <w:r>
        <w:rPr>
          <w:i/>
        </w:rPr>
        <w:t>Machine Learning</w:t>
      </w:r>
      <w:r>
        <w:rPr/>
        <w:t>, vol. 45, n.º 1, pp. 5-32, 2001.</w:t>
      </w:r>
    </w:p>
    <w:p>
      <w:pPr>
        <w:pStyle w:val="Bibliography"/>
        <w:spacing w:before="120" w:after="80"/>
        <w:ind w:hanging="567" w:left="567"/>
        <w:rPr/>
      </w:pPr>
      <w:bookmarkStart w:id="173" w:name="ref_chen2016"/>
      <w:r>
        <w:rPr/>
        <w:t>[28]</w:t>
      </w:r>
      <w:bookmarkEnd w:id="173"/>
      <w:r>
        <w:rPr/>
        <w:tab/>
        <w:t xml:space="preserve">T. Chen y C. Guestrin, «XGBoost: a scalable tree boosting system», en </w:t>
      </w:r>
      <w:r>
        <w:rPr>
          <w:i/>
        </w:rPr>
        <w:t>Proc. 22nd ACM SIGKDD Conference on Knowledge Discovery and Data Mining</w:t>
      </w:r>
      <w:r>
        <w:rPr/>
        <w:t>, 2016, pp. 785-794.</w:t>
      </w:r>
    </w:p>
    <w:p>
      <w:pPr>
        <w:pStyle w:val="Bibliography"/>
        <w:spacing w:before="120" w:after="80"/>
        <w:ind w:hanging="567" w:left="567"/>
        <w:rPr/>
      </w:pPr>
      <w:bookmarkStart w:id="174" w:name="ref_kaufman2012"/>
      <w:r>
        <w:rPr/>
        <w:t>[29]</w:t>
      </w:r>
      <w:bookmarkEnd w:id="174"/>
      <w:r>
        <w:rPr/>
        <w:tab/>
        <w:t xml:space="preserve">S. Kaufman, S. Rosset, C. Perlich y O. Stitelman, «Leakage in data mining: formulation, detection, and avoidance», </w:t>
      </w:r>
      <w:r>
        <w:rPr>
          <w:i/>
        </w:rPr>
        <w:t>ACM Transactions on Knowledge Discovery from Data</w:t>
      </w:r>
      <w:r>
        <w:rPr/>
        <w:t>, vol. 6, n.º 4, art. 15, 2012.</w:t>
      </w:r>
    </w:p>
    <w:p>
      <w:pPr>
        <w:pStyle w:val="Bibliography"/>
        <w:spacing w:before="120" w:after="80"/>
        <w:ind w:hanging="567" w:left="567"/>
        <w:rPr/>
      </w:pPr>
      <w:bookmarkStart w:id="175" w:name="ref_shapley1953"/>
      <w:r>
        <w:rPr/>
        <w:t>[30]</w:t>
      </w:r>
      <w:bookmarkEnd w:id="175"/>
      <w:r>
        <w:rPr/>
        <w:tab/>
        <w:t xml:space="preserve">L. S. Shapley, «A value for n-person games», en </w:t>
      </w:r>
      <w:r>
        <w:rPr>
          <w:i/>
        </w:rPr>
        <w:t>Contributions to the Theory of Games II</w:t>
      </w:r>
      <w:r>
        <w:rPr/>
        <w:t>, Annals of Mathematics Studies 28, Princeton University Press, 1953, pp. 307-317.</w:t>
      </w:r>
    </w:p>
    <w:p>
      <w:pPr>
        <w:pStyle w:val="Bibliography"/>
        <w:spacing w:before="120" w:after="80"/>
        <w:ind w:hanging="567" w:left="567"/>
        <w:rPr/>
      </w:pPr>
      <w:bookmarkStart w:id="176" w:name="ref_lundberg2017"/>
      <w:r>
        <w:rPr/>
        <w:t>[31]</w:t>
      </w:r>
      <w:bookmarkEnd w:id="176"/>
      <w:r>
        <w:rPr/>
        <w:tab/>
        <w:t xml:space="preserve">S. M. Lundberg y S.-I. Lee, «A unified approach to interpreting model predictions», en </w:t>
      </w:r>
      <w:r>
        <w:rPr>
          <w:i/>
        </w:rPr>
        <w:t>Advances in Neural Information Processing Systems (NeurIPS)</w:t>
      </w:r>
      <w:r>
        <w:rPr/>
        <w:t>, vol. 30, 2017, pp. 4765-4774.</w:t>
      </w:r>
    </w:p>
    <w:p>
      <w:pPr>
        <w:pStyle w:val="Bibliography"/>
        <w:spacing w:before="120" w:after="80"/>
        <w:ind w:hanging="567" w:left="567"/>
        <w:rPr/>
      </w:pPr>
      <w:bookmarkStart w:id="177" w:name="ref_lundberg2020"/>
      <w:r>
        <w:rPr/>
        <w:t>[32]</w:t>
      </w:r>
      <w:bookmarkEnd w:id="177"/>
      <w:r>
        <w:rPr/>
        <w:tab/>
        <w:t xml:space="preserve">S. M. Lundberg et al., «From local explanations to global understanding with explainable AI for trees», </w:t>
      </w:r>
      <w:r>
        <w:rPr>
          <w:i/>
        </w:rPr>
        <w:t>Nature Machine Intelligence</w:t>
      </w:r>
      <w:r>
        <w:rPr/>
        <w:t>, vol. 2, pp. 56-67, 2020.</w:t>
      </w:r>
    </w:p>
    <w:p>
      <w:pPr>
        <w:pStyle w:val="Bibliography"/>
        <w:spacing w:before="120" w:after="80"/>
        <w:ind w:hanging="567" w:left="567"/>
        <w:rPr/>
      </w:pPr>
      <w:bookmarkStart w:id="178" w:name="ref_savitzky1964"/>
      <w:r>
        <w:rPr/>
        <w:t>[33]</w:t>
      </w:r>
      <w:bookmarkEnd w:id="178"/>
      <w:r>
        <w:rPr/>
        <w:tab/>
        <w:t xml:space="preserve">A. Savitzky y M. J. E. Golay, «Smoothing and differentiation of data by simplified least squares procedures», </w:t>
      </w:r>
      <w:r>
        <w:rPr>
          <w:i/>
        </w:rPr>
        <w:t>Analytical Chemistry</w:t>
      </w:r>
      <w:r>
        <w:rPr/>
        <w:t>, vol. 36, n.º 8, pp. 1627-1639, 1964.</w:t>
      </w:r>
    </w:p>
    <w:p>
      <w:pPr>
        <w:pStyle w:val="Bibliography"/>
        <w:spacing w:before="120" w:after="80"/>
        <w:ind w:hanging="567" w:left="567"/>
        <w:rPr/>
      </w:pPr>
      <w:bookmarkStart w:id="179" w:name="ref_jolliffe2016"/>
      <w:r>
        <w:rPr/>
        <w:t>[34]</w:t>
      </w:r>
      <w:bookmarkEnd w:id="179"/>
      <w:r>
        <w:rPr/>
        <w:tab/>
        <w:t xml:space="preserve">I. T. Jolliffe y J. Cadima, «Principal component analysis: a review and recent developments», </w:t>
      </w:r>
      <w:r>
        <w:rPr>
          <w:i/>
        </w:rPr>
        <w:t>Philosophical Transactions of the Royal Society A</w:t>
      </w:r>
      <w:r>
        <w:rPr/>
        <w:t>, vol. 374, n.º 2065, 20150202, 2016.</w:t>
      </w:r>
    </w:p>
    <w:p>
      <w:pPr>
        <w:pStyle w:val="Heading1"/>
        <w:numPr>
          <w:ilvl w:val="0"/>
          <w:numId w:val="86"/>
        </w:numPr>
        <w:rPr/>
      </w:pPr>
      <w:bookmarkStart w:id="180" w:name="__RefHeading___Toc9252_350176733"/>
      <w:bookmarkStart w:id="181" w:name="_Toc37845896"/>
      <w:bookmarkStart w:id="182" w:name="_Toc37758911"/>
      <w:bookmarkEnd w:id="180"/>
      <w:r>
        <w:rPr/>
        <w:t>ANEXOS</w:t>
      </w:r>
      <w:bookmarkEnd w:id="181"/>
      <w:bookmarkEnd w:id="182"/>
    </w:p>
    <w:p>
      <w:pPr>
        <w:pStyle w:val="Heading2"/>
        <w:keepNext w:val="true"/>
        <w:numPr>
          <w:ilvl w:val="1"/>
          <w:numId w:val="87"/>
        </w:numPr>
        <w:rPr/>
      </w:pPr>
      <w:bookmarkStart w:id="183" w:name="__RefHeading___Toc9254_350176733"/>
      <w:bookmarkEnd w:id="183"/>
      <w:r>
        <w:rPr/>
        <w:t>Anexo A. Guía de ejecución</w:t>
      </w:r>
    </w:p>
    <w:p>
      <w:pPr>
        <w:pStyle w:val="Normal"/>
        <w:rPr/>
      </w:pPr>
      <w:r>
        <w:rPr>
          <w:rFonts w:ascii="Consolas" w:hAnsi="Consolas"/>
          <w:sz w:val="18"/>
        </w:rPr>
        <w:t>pip install -r requirements.txt</w:t>
      </w:r>
    </w:p>
    <w:p>
      <w:pPr>
        <w:pStyle w:val="Normal"/>
        <w:rPr/>
      </w:pPr>
      <w:r>
        <w:rPr>
          <w:rFonts w:ascii="Consolas" w:hAnsi="Consolas"/>
          <w:sz w:val="18"/>
        </w:rPr>
        <w:t>python diagnostico.py</w:t>
      </w:r>
    </w:p>
    <w:p>
      <w:pPr>
        <w:pStyle w:val="Normal"/>
        <w:rPr/>
      </w:pPr>
      <w:r>
        <w:rPr>
          <w:rFonts w:ascii="Consolas" w:hAnsi="Consolas"/>
          <w:sz w:val="18"/>
        </w:rPr>
        <w:t>python analizar.py "videos/GX011614.MP4" --nadador "P1" --estilo crol --vista lateral</w:t>
      </w:r>
    </w:p>
    <w:p>
      <w:pPr>
        <w:pStyle w:val="Normal"/>
        <w:rPr/>
      </w:pPr>
      <w:r>
        <w:rPr>
          <w:rFonts w:ascii="Consolas" w:hAnsi="Consolas"/>
          <w:sz w:val="18"/>
        </w:rPr>
        <w:t>python analizar.py "videos/GX011614.MP4" --comparativa</w:t>
      </w:r>
    </w:p>
    <w:p>
      <w:pPr>
        <w:pStyle w:val="Normal"/>
        <w:rPr/>
      </w:pPr>
      <w:r>
        <w:rPr>
          <w:rFonts w:ascii="Consolas" w:hAnsi="Consolas"/>
          <w:sz w:val="18"/>
        </w:rPr>
        <w:t>python lote.py --carpeta videos --crear-lista      (y después sin --crear-lista)</w:t>
      </w:r>
    </w:p>
    <w:p>
      <w:pPr>
        <w:pStyle w:val="Normal"/>
        <w:rPr/>
      </w:pPr>
      <w:r>
        <w:rPr>
          <w:rFonts w:ascii="Consolas" w:hAnsi="Consolas"/>
          <w:sz w:val="18"/>
        </w:rPr>
        <w:t>python sesion.py resultados/GX011614 resultados/GX011617 resultados/GX011618 --nadador "P1"</w:t>
      </w:r>
    </w:p>
    <w:p>
      <w:pPr>
        <w:pStyle w:val="Normal"/>
        <w:rPr/>
      </w:pPr>
      <w:r>
        <w:rPr>
          <w:rFonts w:ascii="Consolas" w:hAnsi="Consolas"/>
          <w:sz w:val="18"/>
        </w:rPr>
        <w:t>python informe_nadador.py resultados --nadador P1 --estilo crol</w:t>
      </w:r>
    </w:p>
    <w:p>
      <w:pPr>
        <w:pStyle w:val="Normal"/>
        <w:rPr/>
      </w:pPr>
      <w:r>
        <w:rPr>
          <w:rFonts w:ascii="Consolas" w:hAnsi="Consolas"/>
          <w:sz w:val="18"/>
        </w:rPr>
        <w:t>python caso_ficticio.py      (datos sintéticos de referencia conocida)</w:t>
      </w:r>
    </w:p>
    <w:p>
      <w:pPr>
        <w:pStyle w:val="Normal"/>
        <w:rPr/>
      </w:pPr>
      <w:r>
        <w:rPr>
          <w:rFonts w:ascii="Consolas" w:hAnsi="Consolas"/>
          <w:sz w:val="18"/>
        </w:rPr>
        <w:t>python en_vivo.py "videos/Aaron/libre/GX011614.MP4" --nadador P1      (tiempo real; cámara: en_vivo.py 0)</w:t>
      </w:r>
    </w:p>
    <w:p>
      <w:pPr>
        <w:pStyle w:val="Normal"/>
        <w:rPr/>
      </w:pPr>
      <w:r>
        <w:rPr>
          <w:rFonts w:ascii="Consolas" w:hAnsi="Consolas"/>
          <w:sz w:val="18"/>
        </w:rPr>
        <w:t>python en_vivo.py "&lt;vídeo&gt;" --resultados resultados/&lt;vídeo&gt; --tiempo-real      (reutiliza la pose)</w:t>
      </w:r>
    </w:p>
    <w:p>
      <w:pPr>
        <w:pStyle w:val="Normal"/>
        <w:rPr/>
      </w:pPr>
      <w:r>
        <w:rPr>
          <w:rFonts w:ascii="Consolas" w:hAnsi="Consolas"/>
          <w:sz w:val="18"/>
        </w:rPr>
        <w:t>python reducir_video.py videos --salida videos_1920      (antes de subir al clúster)</w:t>
      </w:r>
    </w:p>
    <w:p>
      <w:pPr>
        <w:pStyle w:val="Normal"/>
        <w:rPr/>
      </w:pPr>
      <w:r>
        <w:rPr>
          <w:rFonts w:ascii="Consolas" w:hAnsi="Consolas"/>
          <w:sz w:val="18"/>
        </w:rPr>
        <w:t>sbatch cluster/lote.sbatch      (clúster con GPU; instalación: bash cluster/instalar.sh)</w:t>
      </w:r>
    </w:p>
    <w:p>
      <w:pPr>
        <w:pStyle w:val="Normal"/>
        <w:jc w:val="both"/>
        <w:rPr/>
      </w:pPr>
      <w:r>
        <w:rPr/>
        <w:t>Salidas en la carpeta de resultados: puntos 2D y 3D, medidas por fotograma, variables por ciclo, valores SHAP por ciclo, resumen en formato JSON, figuras y vídeo anotado.</w:t>
      </w:r>
    </w:p>
    <w:p>
      <w:pPr>
        <w:pStyle w:val="Heading2"/>
        <w:keepNext w:val="true"/>
        <w:numPr>
          <w:ilvl w:val="1"/>
          <w:numId w:val="88"/>
        </w:numPr>
        <w:rPr/>
      </w:pPr>
      <w:bookmarkStart w:id="184" w:name="__RefHeading___Toc9256_350176733"/>
      <w:bookmarkEnd w:id="184"/>
      <w:r>
        <w:rPr/>
        <w:t>Anexo B. Estructura del código</w:t>
      </w:r>
    </w:p>
    <w:p>
      <w:pPr>
        <w:pStyle w:val="Caption"/>
        <w:keepNext w:val="true"/>
        <w:jc w:val="center"/>
        <w:rPr/>
      </w:pPr>
      <w:r>
        <w:rPr/>
        <w:t xml:space="preserve">Tabla </w:t>
      </w:r>
      <w:r>
        <w:rPr/>
        <w:fldChar w:fldCharType="begin"/>
      </w:r>
      <w:r>
        <w:rPr/>
        <w:instrText xml:space="preserve"> SEQ Tabla \* ARABIC </w:instrText>
      </w:r>
      <w:r>
        <w:rPr/>
        <w:fldChar w:fldCharType="separate"/>
      </w:r>
      <w:r>
        <w:rPr/>
        <w:t>17</w:t>
      </w:r>
      <w:r>
        <w:rPr/>
        <w:fldChar w:fldCharType="end"/>
      </w:r>
      <w:r>
        <w:rPr/>
        <w:t xml:space="preserve">. Módulos del código de </w:t>
      </w:r>
      <w:r>
        <w:rPr>
          <w:i/>
        </w:rPr>
        <w:t>StrokeLab</w:t>
      </w:r>
      <w:r>
        <w:rPr/>
        <w:t>.</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6236"/>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62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Función</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analizar.py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Programa principal: pose, limpieza, 3D, medidas, fatiga y vídeo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strokelab/pose.py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Modelos de pose (YOLO, MoveNet, MediaPipe), giro y comparativa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strokelab/lift3d.py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a 3D con MotionBERT adaptada a nadadores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strokelab/medidas.py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Limpieza, filtros anatómicos, ángulos, ciclos y variables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strokelab/fatiga.py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Isolation Forest, PELT, SHAP y explicación textual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strokelab/estilo.py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Estilo: reglas biomecánicas y clasificador de bosque aleatorio con SHAP</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strokelab/vista.py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Vista automática (lateral o frontal) por tramos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en_vivo.py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en tiempo real con el panel de fatiga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reducir_video.py, cluster/</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Reducción de vídeos y ejecución con GPU en el clúster (Slurm)</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strokelab/simulador.py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Generación de datos sintéticos con referencia conocida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strokelab/video.py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 anotado con el panel de fatiga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sesion.py, lote.py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por sesión y de conjuntos de vídeos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informe_nadador.py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 de un nadador y un estilo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caso_ficticio.py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 de evaluación completo con datos sintéticos</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probar_deteccion.py, validar_3d.py</w:t>
            </w:r>
          </w:p>
        </w:tc>
        <w:tc>
          <w:tcPr>
            <w:tcW w:w="62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Ajustes de detección y comparación 2D-3D</w:t>
            </w:r>
          </w:p>
        </w:tc>
      </w:tr>
    </w:tbl>
    <w:p>
      <w:pPr>
        <w:pStyle w:val="Normal"/>
        <w:jc w:val="both"/>
        <w:rPr/>
      </w:pPr>
      <w:r>
        <w:rPr/>
      </w:r>
    </w:p>
    <w:p>
      <w:pPr>
        <w:pStyle w:val="Heading2"/>
        <w:keepNext w:val="true"/>
        <w:numPr>
          <w:ilvl w:val="1"/>
          <w:numId w:val="89"/>
        </w:numPr>
        <w:rPr/>
      </w:pPr>
      <w:bookmarkStart w:id="185" w:name="__RefHeading___Toc9258_350176733"/>
      <w:bookmarkEnd w:id="185"/>
      <w:r>
        <w:rPr/>
        <w:t>Anexo C. Pruebas automáticas</w:t>
      </w:r>
    </w:p>
    <w:p>
      <w:pPr>
        <w:pStyle w:val="ListParagraph"/>
        <w:numPr>
          <w:ilvl w:val="0"/>
          <w:numId w:val="3"/>
        </w:numPr>
        <w:spacing w:before="0" w:after="0"/>
        <w:contextualSpacing/>
        <w:jc w:val="both"/>
        <w:rPr/>
      </w:pPr>
      <w:r>
        <w:rPr>
          <w:rFonts w:ascii="Consolas" w:hAnsi="Consolas"/>
        </w:rPr>
        <w:t>tests/test_local.py</w:t>
      </w:r>
      <w:r>
        <w:rPr/>
        <w:t>: datos sintéticos con errores típicos; exige detectar la fatiga entre 40 y 60 s y medidas plausibles.</w:t>
      </w:r>
    </w:p>
    <w:p>
      <w:pPr>
        <w:pStyle w:val="ListParagraph"/>
        <w:numPr>
          <w:ilvl w:val="0"/>
          <w:numId w:val="3"/>
        </w:numPr>
        <w:spacing w:before="0" w:after="0"/>
        <w:contextualSpacing/>
        <w:jc w:val="both"/>
        <w:rPr/>
      </w:pPr>
      <w:r>
        <w:rPr>
          <w:rFonts w:ascii="Consolas" w:hAnsi="Consolas"/>
        </w:rPr>
        <w:t>tests/test_sesion.py</w:t>
      </w:r>
      <w:r>
        <w:rPr/>
        <w:t>: datos sintéticos divididos en pasadas, con una pasada vacía.</w:t>
      </w:r>
    </w:p>
    <w:p>
      <w:pPr>
        <w:pStyle w:val="ListParagraph"/>
        <w:numPr>
          <w:ilvl w:val="0"/>
          <w:numId w:val="3"/>
        </w:numPr>
        <w:spacing w:before="0" w:after="0"/>
        <w:contextualSpacing/>
        <w:jc w:val="both"/>
        <w:rPr/>
      </w:pPr>
      <w:r>
        <w:rPr>
          <w:rFonts w:ascii="Consolas" w:hAnsi="Consolas"/>
        </w:rPr>
        <w:t>tests/test_aaron.py</w:t>
      </w:r>
      <w:r>
        <w:rPr/>
        <w:t>: secuencia real GX011614; exige una frecuencia a menos de un 15 % del conteo manual.</w:t>
      </w:r>
    </w:p>
    <w:p>
      <w:pPr>
        <w:pStyle w:val="ListParagraph"/>
        <w:numPr>
          <w:ilvl w:val="0"/>
          <w:numId w:val="3"/>
        </w:numPr>
        <w:spacing w:before="0" w:after="0"/>
        <w:contextualSpacing/>
        <w:jc w:val="both"/>
        <w:rPr/>
      </w:pPr>
      <w:r>
        <w:rPr>
          <w:rFonts w:ascii="Consolas" w:hAnsi="Consolas"/>
        </w:rPr>
        <w:t>tests/test_aaron_frontal.py</w:t>
      </w:r>
      <w:r>
        <w:rPr/>
        <w:t>: secuencias reales frontales; mismo criterio.</w:t>
      </w:r>
    </w:p>
    <w:p>
      <w:pPr>
        <w:pStyle w:val="ListParagraph"/>
        <w:numPr>
          <w:ilvl w:val="0"/>
          <w:numId w:val="3"/>
        </w:numPr>
        <w:spacing w:before="0" w:after="0"/>
        <w:contextualSpacing/>
        <w:jc w:val="both"/>
        <w:rPr/>
      </w:pPr>
      <w:r>
        <w:rPr>
          <w:rFonts w:ascii="Consolas" w:hAnsi="Consolas"/>
        </w:rPr>
        <w:t>tests/test_frontal.py</w:t>
      </w:r>
      <w:r>
        <w:rPr/>
        <w:t>: datos sintéticos en vista frontal con fatiga.</w:t>
      </w:r>
    </w:p>
    <w:p>
      <w:pPr>
        <w:pStyle w:val="ListParagraph"/>
        <w:numPr>
          <w:ilvl w:val="0"/>
          <w:numId w:val="3"/>
        </w:numPr>
        <w:spacing w:before="0" w:after="0"/>
        <w:contextualSpacing/>
        <w:jc w:val="both"/>
        <w:rPr/>
      </w:pPr>
      <w:r>
        <w:rPr>
          <w:rFonts w:ascii="Consolas" w:hAnsi="Consolas"/>
        </w:rPr>
        <w:t>tests/test_estilos.py</w:t>
      </w:r>
      <w:r>
        <w:rPr/>
        <w:t>: ciclos de mariposa (1 brazada) y de crol (2 brazadas).</w:t>
      </w:r>
    </w:p>
    <w:p>
      <w:pPr>
        <w:pStyle w:val="ListParagraph"/>
        <w:numPr>
          <w:ilvl w:val="0"/>
          <w:numId w:val="3"/>
        </w:numPr>
        <w:spacing w:before="0" w:after="0"/>
        <w:contextualSpacing/>
        <w:jc w:val="both"/>
        <w:rPr/>
      </w:pPr>
      <w:r>
        <w:rPr>
          <w:rFonts w:ascii="Consolas" w:hAnsi="Consolas"/>
        </w:rPr>
        <w:t>tests/test_simulador_estilo.py</w:t>
      </w:r>
      <w:r>
        <w:rPr/>
        <w:t>: errores de frecuencia y velocidad frente a la referencia y exactitud del clasificador de estilo.</w:t>
      </w:r>
    </w:p>
    <w:p>
      <w:pPr>
        <w:pStyle w:val="ListParagraph"/>
        <w:numPr>
          <w:ilvl w:val="0"/>
          <w:numId w:val="3"/>
        </w:numPr>
        <w:spacing w:before="0" w:after="0"/>
        <w:contextualSpacing/>
        <w:jc w:val="both"/>
        <w:rPr/>
      </w:pPr>
      <w:r>
        <w:rPr>
          <w:rFonts w:ascii="Consolas" w:hAnsi="Consolas"/>
        </w:rPr>
        <w:t>tests/test_lote.py</w:t>
      </w:r>
      <w:r>
        <w:rPr/>
        <w:t xml:space="preserve"> y </w:t>
      </w:r>
      <w:r>
        <w:rPr>
          <w:rFonts w:ascii="Consolas" w:hAnsi="Consolas"/>
        </w:rPr>
        <w:t>tests/test_movenet_recorte.py</w:t>
      </w:r>
      <w:r>
        <w:rPr/>
        <w:t>: análisis por lotes con carpetas por nadador y estilo, y conversión de coordenadas.</w:t>
      </w:r>
    </w:p>
    <w:p>
      <w:pPr>
        <w:pStyle w:val="ListParagraph"/>
        <w:numPr>
          <w:ilvl w:val="0"/>
          <w:numId w:val="3"/>
        </w:numPr>
        <w:spacing w:before="0" w:after="0"/>
        <w:contextualSpacing/>
        <w:jc w:val="both"/>
        <w:rPr/>
      </w:pPr>
      <w:r>
        <w:rPr>
          <w:rFonts w:ascii="Consolas" w:hAnsi="Consolas"/>
        </w:rPr>
        <w:t>tests/test_vista_auto.py</w:t>
      </w:r>
      <w:r>
        <w:rPr/>
        <w:t>: datos sintéticos con 90 s en vista lateral y 90 s en frontal; exige el cambio de vista a 90 ± 5 s.</w:t>
      </w:r>
    </w:p>
    <w:p>
      <w:pPr>
        <w:pStyle w:val="ListParagraph"/>
        <w:numPr>
          <w:ilvl w:val="0"/>
          <w:numId w:val="3"/>
        </w:numPr>
        <w:spacing w:before="0" w:after="0"/>
        <w:contextualSpacing/>
        <w:jc w:val="both"/>
        <w:rPr/>
      </w:pPr>
      <w:r>
        <w:rPr>
          <w:rFonts w:ascii="Consolas" w:hAnsi="Consolas"/>
        </w:rPr>
        <w:t>tests/test_estilo_reglas.py</w:t>
      </w:r>
      <w:r>
        <w:rPr/>
        <w:t>: estilo por reglas con las secuencias reales de P1 (crol) y datos sintéticos de mariposa.</w:t>
      </w:r>
    </w:p>
    <w:p>
      <w:pPr>
        <w:pStyle w:val="ListParagraph"/>
        <w:numPr>
          <w:ilvl w:val="0"/>
          <w:numId w:val="3"/>
        </w:numPr>
        <w:spacing w:before="0" w:after="0"/>
        <w:contextualSpacing/>
        <w:jc w:val="both"/>
        <w:rPr/>
      </w:pPr>
      <w:r>
        <w:rPr>
          <w:rFonts w:ascii="Consolas" w:hAnsi="Consolas"/>
        </w:rPr>
        <w:t>tests/test_en_vivo.py</w:t>
      </w:r>
      <w:r>
        <w:rPr/>
        <w:t>: modo en tiempo real con y sin fatiga programada; exige detectarla y no dar falsas alarmas.</w:t>
      </w:r>
    </w:p>
    <w:p>
      <w:pPr>
        <w:pStyle w:val="Heading2"/>
        <w:keepNext w:val="true"/>
        <w:numPr>
          <w:ilvl w:val="1"/>
          <w:numId w:val="90"/>
        </w:numPr>
        <w:rPr/>
      </w:pPr>
      <w:bookmarkStart w:id="186" w:name="__RefHeading___Toc9260_350176733"/>
      <w:bookmarkEnd w:id="186"/>
      <w:r>
        <w:rPr/>
        <w:t>Anexo D. Resultados por secuencia del conjunto real</w:t>
      </w:r>
    </w:p>
    <w:p>
      <w:pPr>
        <w:pStyle w:val="Caption"/>
        <w:keepNext w:val="true"/>
        <w:jc w:val="center"/>
        <w:rPr/>
      </w:pPr>
      <w:r>
        <w:rPr/>
        <w:t xml:space="preserve">Tabla </w:t>
      </w:r>
      <w:r>
        <w:rPr/>
        <w:fldChar w:fldCharType="begin"/>
      </w:r>
      <w:r>
        <w:rPr/>
        <w:instrText xml:space="preserve"> SEQ Tabla \* ARABIC </w:instrText>
      </w:r>
      <w:r>
        <w:rPr/>
        <w:fldChar w:fldCharType="separate"/>
      </w:r>
      <w:r>
        <w:rPr/>
        <w:t>18</w:t>
      </w:r>
      <w:r>
        <w:rPr/>
        <w:fldChar w:fldCharType="end"/>
      </w:r>
      <w:r>
        <w:rPr/>
        <w:t>. Resultados del análisis por secuencia del conjunto real. El tiempo analizable es el que supera los filtros anatómicos y de tronco girado; el estilo estimado procede de las reglas biomecánicas (entre paréntesis, solo la familia).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7"/>
        <w:gridCol w:w="567"/>
        <w:gridCol w:w="964"/>
        <w:gridCol w:w="906"/>
        <w:gridCol w:w="964"/>
        <w:gridCol w:w="1021"/>
        <w:gridCol w:w="736"/>
        <w:gridCol w:w="1305"/>
        <w:gridCol w:w="1360"/>
      </w:tblGrid>
      <w:tr>
        <w:trPr>
          <w:tblHeader w:val="true"/>
          <w:cantSplit w:val="true"/>
        </w:trPr>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Secuencia</w:t>
            </w:r>
          </w:p>
        </w:tc>
        <w:tc>
          <w:tcPr>
            <w:tcW w:w="5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Part.</w:t>
            </w:r>
          </w:p>
        </w:tc>
        <w:tc>
          <w:tcPr>
            <w:tcW w:w="96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Estilo</w:t>
            </w:r>
          </w:p>
        </w:tc>
        <w:tc>
          <w:tcPr>
            <w:tcW w:w="90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Vista</w:t>
            </w:r>
          </w:p>
        </w:tc>
        <w:tc>
          <w:tcPr>
            <w:tcW w:w="96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Duración</w:t>
            </w:r>
          </w:p>
        </w:tc>
        <w:tc>
          <w:tcPr>
            <w:tcW w:w="10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Analizable</w:t>
            </w:r>
          </w:p>
        </w:tc>
        <w:tc>
          <w:tcPr>
            <w:tcW w:w="7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Ciclos</w:t>
            </w:r>
          </w:p>
        </w:tc>
        <w:tc>
          <w:tcPr>
            <w:tcW w:w="130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Frecuencia (ciclos/min)</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Estilo estimado</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GX011614</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46,2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50,5</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GX011617</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6,9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GX011618</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28,2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6,4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IMG_7207</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5,1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73,9</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IMG_7215</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55,2</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GX011610</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30,8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IMG_7209</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9,5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GX011608</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49,6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12,2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IMG_7205</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Espalda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12,9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54,6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GX011609</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39,4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75,3</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GX010724</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22,6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16,2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65,6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GX010725</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21,4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53,4</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IMG_7204</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14,1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47,3</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(simultáneos)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GX011611</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27,0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82,2</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GX011616</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31,7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18</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79,7</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IMG_7213</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9,1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64,8</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IMG_7217</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7,3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5,1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39,7</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(simultáneos)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ASCR</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P5</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28,2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2,3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GX010718</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P5</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20,7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11,5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52,0</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GX010719</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P5</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16,9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11</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58,4</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GX010731</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P5</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2068,2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130,3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19</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51,6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GX011613</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P5</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28,2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2,3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GX011615</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P5</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33,9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20,4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11</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39,7</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IMG_7214</w:t>
            </w:r>
          </w:p>
        </w:tc>
        <w:tc>
          <w:tcPr>
            <w:tcW w:w="5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P5</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6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65,3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48,3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47,2</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(simultáneos)</w:t>
            </w:r>
          </w:p>
        </w:tc>
      </w:tr>
      <w:tr>
        <w:trPr>
          <w:cantSplit w:val="true"/>
        </w:trPr>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IMG_7216</w:t>
            </w:r>
          </w:p>
        </w:tc>
        <w:tc>
          <w:tcPr>
            <w:tcW w:w="5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P5</w:t>
            </w:r>
          </w:p>
        </w:tc>
        <w:tc>
          <w:tcPr>
            <w:tcW w:w="96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6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40,3 s</w:t>
            </w:r>
          </w:p>
        </w:tc>
        <w:tc>
          <w:tcPr>
            <w:tcW w:w="10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18,8 s</w:t>
            </w:r>
          </w:p>
        </w:tc>
        <w:tc>
          <w:tcPr>
            <w:tcW w:w="7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8</w:t>
            </w:r>
          </w:p>
        </w:tc>
        <w:tc>
          <w:tcPr>
            <w:tcW w:w="130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41,4</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r>
    </w:tbl>
    <w:p>
      <w:pPr>
        <w:pStyle w:val="Normal"/>
        <w:jc w:val="both"/>
        <w:rPr/>
      </w:pPr>
      <w:r>
        <w:rPr/>
      </w:r>
    </w:p>
    <w:p>
      <w:pPr>
        <w:pStyle w:val="Heading2"/>
        <w:keepNext w:val="true"/>
        <w:numPr>
          <w:ilvl w:val="1"/>
          <w:numId w:val="91"/>
        </w:numPr>
        <w:rPr/>
      </w:pPr>
      <w:bookmarkStart w:id="187" w:name="__RefHeading___Toc9262_350176733"/>
      <w:bookmarkEnd w:id="187"/>
      <w:r>
        <w:rPr/>
        <w:t>Anexo E. Parámetros del sistema</w:t>
      </w:r>
    </w:p>
    <w:p>
      <w:pPr>
        <w:pStyle w:val="Caption"/>
        <w:keepNext w:val="true"/>
        <w:jc w:val="center"/>
        <w:rPr/>
      </w:pPr>
      <w:r>
        <w:rPr/>
        <w:t xml:space="preserve">Tabla </w:t>
      </w:r>
      <w:r>
        <w:rPr/>
        <w:fldChar w:fldCharType="begin"/>
      </w:r>
      <w:r>
        <w:rPr/>
        <w:instrText xml:space="preserve"> SEQ Tabla \* ARABIC </w:instrText>
      </w:r>
      <w:r>
        <w:rPr/>
        <w:fldChar w:fldCharType="separate"/>
      </w:r>
      <w:r>
        <w:rPr/>
        <w:t>19</w:t>
      </w:r>
      <w:r>
        <w:rPr/>
        <w:fldChar w:fldCharType="end"/>
      </w:r>
      <w:r>
        <w:rPr/>
        <w:t>. Parámetros principales del sistema y su justificación.</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20"/>
        <w:gridCol w:w="2381"/>
        <w:gridCol w:w="2493"/>
        <w:gridCol w:w="3175"/>
      </w:tblGrid>
      <w:tr>
        <w:trPr>
          <w:tblHeader w:val="true"/>
          <w:cantSplit w:val="true"/>
        </w:trPr>
        <w:tc>
          <w:tcPr>
            <w:tcW w:w="102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Etapa</w:t>
            </w:r>
          </w:p>
        </w:tc>
        <w:tc>
          <w:tcPr>
            <w:tcW w:w="238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Parámetro</w:t>
            </w:r>
          </w:p>
        </w:tc>
        <w:tc>
          <w:tcPr>
            <w:tcW w:w="249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Valor</w:t>
            </w:r>
          </w:p>
        </w:tc>
        <w:tc>
          <w:tcPr>
            <w:tcW w:w="317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Justificación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Mejor detección en vídeo subacuático en CPU (Capítulo 4)</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Fotogramas analizados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 de cada 2</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Reduce el tiempo a la mitad; 15 fps bastan para ciclos de 1-2 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Lado máximo de la imagen</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1920 píxeles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Evita el coste de procesar el vídeo 5K completo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Giro del fotograma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Automático (0°, ±90°)</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 modelo detecta mejor personas verticales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Confianza mínima de un punto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0,3</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Descarta puntos inciertos antes de interpolar</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 girado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&gt; 45° de la dirección habitual</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Elimina esqueletos verticales espurios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Longitud del tronco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0,5-2 × mediana</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Elimina caderas colocadas sobre el hombro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Suavizado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Savitzky-Golay</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Conserva máximos y mínimos de la señal</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Intervalo entre brazadas (crol)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0,35-1,0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Rango fisiológico de 30-85 ciclos/min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Intervalo entre brazadas (mariposa / braza)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0,7-2,0 s / 0,7-2,4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 ciclo por brazada</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Duración de un ciclo válido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0,6-3,0 s, ≤ 30 % de datos ausentes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Descarta ciclos partidos o fusionados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Mínimo y máximo por ciclo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Percentiles 10 y 90</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 fotograma erróneo no fija el valor del ciclo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Primer 30 % de los ciclos (mínimo 5)</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Análisis de sensibilidad (Tabla 12)</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Isolation Forest</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árboles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Estabilidad de la puntuación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Umbral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Percentil 95 de la fase base</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Mejor equilibrio entre detección y falsas alarmas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Inicio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Media móvil de 3 ciclos sobre el umbral durante 3 ciclos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Evita avisos por ciclos aislados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Mínimo de ciclos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 de al menos 5 ciclos y margen de observación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PELT</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Coste L2, penalización 2 ln n</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Criterio de información estándar</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Ventanas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 s cada 2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Al menos dos ciclos por ventana</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Bosque aleatorio (datos sintéticos)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300 árboles, 2 muestras por hoja</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Rendimiento estable sin ajuste fino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Correlación entre manos (reglas)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0,65 lateral / 0,20 frontal</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Brazos alternos o simultáneos; copia de brazos en lateral</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Nariz respecto a hombros (reglas)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r>
              <w:rPr>
                <w:rFonts w:eastAsia="Calibri" w:cs="Times New Roman"/>
                <w:kern w:val="0"/>
                <w:sz w:val="16"/>
                <w:lang w:val="es-ES" w:bidi="ar-SA"/>
              </w:rPr>
              <w:t>0,05 braza / −0,30 espalda (troncos)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Cabeza alta en braza; cara arriba en espalda</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Vista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Tramo / tronco vertical / umbral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 s / &gt; 55° / 65 % de fotogramas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Laterales ≤ 46 %, frontales ≥ 87 % en los datos reales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 vertical en vista lateral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&gt; 55° de la horizontal</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Esqueletos de pie imposibles en un nadador de lado</w:t>
            </w:r>
          </w:p>
        </w:tc>
      </w:tr>
      <w:tr>
        <w:trPr>
          <w:cantSplit w:val="true"/>
        </w:trPr>
        <w:tc>
          <w:tcPr>
            <w:tcW w:w="102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Tiempo real</w:t>
            </w:r>
          </w:p>
        </w:tc>
        <w:tc>
          <w:tcPr>
            <w:tcW w:w="238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 / ventana / paso</w:t>
            </w:r>
          </w:p>
        </w:tc>
        <w:tc>
          <w:tcPr>
            <w:tcW w:w="249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10 ciclos / 30 s / 1 s</w:t>
            </w:r>
          </w:p>
        </w:tc>
        <w:tc>
          <w:tcPr>
            <w:tcW w:w="317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Solo usa lo ya nadado</w:t>
            </w:r>
          </w:p>
        </w:tc>
      </w:tr>
    </w:tbl>
    <w:p>
      <w:pPr>
        <w:pStyle w:val="Normal"/>
        <w:jc w:val="both"/>
        <w:rPr/>
      </w:pPr>
      <w:r>
        <w:rPr/>
      </w:r>
    </w:p>
    <w:p>
      <w:pPr>
        <w:pStyle w:val="Heading2"/>
        <w:keepNext w:val="true"/>
        <w:numPr>
          <w:ilvl w:val="1"/>
          <w:numId w:val="92"/>
        </w:numPr>
        <w:rPr/>
      </w:pPr>
      <w:bookmarkStart w:id="188" w:name="__RefHeading___Toc9264_350176733"/>
      <w:bookmarkEnd w:id="188"/>
      <w:r>
        <w:rPr/>
        <w:t>Anexo F. Diccionario de variables por ciclo</w:t>
      </w:r>
    </w:p>
    <w:p>
      <w:pPr>
        <w:pStyle w:val="Caption"/>
        <w:keepNext w:val="true"/>
        <w:jc w:val="center"/>
        <w:rPr/>
      </w:pPr>
      <w:r>
        <w:rPr/>
        <w:t xml:space="preserve">Tabla </w:t>
      </w:r>
      <w:r>
        <w:rPr/>
        <w:fldChar w:fldCharType="begin"/>
      </w:r>
      <w:r>
        <w:rPr/>
        <w:instrText xml:space="preserve"> SEQ Tabla \* ARABIC </w:instrText>
      </w:r>
      <w:r>
        <w:rPr/>
        <w:fldChar w:fldCharType="separate"/>
      </w:r>
      <w:r>
        <w:rPr/>
        <w:t>20</w:t>
      </w:r>
      <w:r>
        <w:rPr/>
        <w:fldChar w:fldCharType="end"/>
      </w:r>
      <w:r>
        <w:rPr/>
        <w:t>. Variables por ciclo del archivo variables_por_ciclo.csv.</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1248"/>
        <w:gridCol w:w="5556"/>
      </w:tblGrid>
      <w:tr>
        <w:trPr>
          <w:tblHeader w:val="true"/>
          <w:cantSplit w:val="true"/>
        </w:trPr>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Variable</w:t>
            </w:r>
          </w:p>
        </w:tc>
        <w:tc>
          <w:tcPr>
            <w:tcW w:w="124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Unidad</w:t>
            </w:r>
          </w:p>
        </w:tc>
        <w:tc>
          <w:tcPr>
            <w:tcW w:w="555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Definición</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SR_ciclos_min</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ciclos/min</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Frecuencia de ciclo: 60 dividido por la duración del ciclo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velocidad_m_s</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Velocidad media de la cadera en el ciclo (solo vista lateral calibrada)</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DPS_m</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Distancia por ciclo: velocidad por duración del ciclo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codo_min_I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Flexión máxima del codo en el ciclo (percentil 10 del ángulo)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hombro_max_I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Apertura máxima del hombro (percentil 90 del ángulo tronco-brazo)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cadera_media_I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Ángulo medio de la cadera (alineación tronco-muslo)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rodilla_min_I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Flexión máxima de la rodilla (percentil 10)</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alcance_I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Recorrido de la muñeca en el ciclo, relativo a la longitud del tronco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asimetria_brazos_pct</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Diferencia de alcance entre brazos dividida por su media</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inclinacion_tronco</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Ángulo medio del eje hombros-cadera respecto a la horizontal de la imagen (solo vista lateral)</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amplitud_patada</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Separación máxima entre los tobillos en el ciclo, relativa a la longitud del tronco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patadas_por_ciclo</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patadas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Número de máximos de la separación entre tobillos en el ciclo</w:t>
            </w:r>
          </w:p>
        </w:tc>
      </w:tr>
      <w:tr>
        <w:trPr>
          <w:cantSplit w:val="true"/>
        </w:trPr>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anomalia, estado</w:t>
            </w:r>
          </w:p>
        </w:tc>
        <w:tc>
          <w:tcPr>
            <w:tcW w:w="124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r>
              <w:rPr>
                <w:rFonts w:eastAsia="Calibri" w:cs="Times New Roman"/>
                <w:kern w:val="0"/>
                <w:sz w:val="16"/>
                <w:lang w:val="es-ES" w:bidi="ar-SA"/>
              </w:rPr>
              <w:t>, texto</w:t>
            </w:r>
          </w:p>
        </w:tc>
        <w:tc>
          <w:tcPr>
            <w:tcW w:w="555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Puntuación de Isolation Forest y estado FRESCO o FATIGA</w:t>
            </w:r>
          </w:p>
        </w:tc>
      </w:tr>
    </w:tbl>
    <w:p>
      <w:pPr>
        <w:pStyle w:val="Normal"/>
        <w:spacing w:before="120" w:after="120"/>
        <w:jc w:val="both"/>
        <w:rPr/>
      </w:pPr>
      <w:r>
        <w:rPr/>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701" w:right="1701" w:gutter="0" w:header="708" w:top="2269" w:footer="708" w:bottom="184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Cambria">
    <w:charset w:val="01"/>
    <w:family w:val="swiss"/>
    <w:pitch w:val="variable"/>
  </w:font>
  <w:font w:name="Consola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9694939"/>
    </w:sdtPr>
    <w:sdtContent>
      <w:p>
        <w:pPr>
          <w:pStyle w:val="Footer"/>
          <w:spacing w:before="120" w:after="0"/>
          <w:jc w:val="center"/>
          <w:rPr/>
        </w:pPr>
        <w:r>
          <w:rPr/>
          <w:fldChar w:fldCharType="begin"/>
        </w:r>
        <w:r>
          <w:rPr/>
          <w:instrText xml:space="preserve"> PAGE </w:instrText>
        </w:r>
        <w:r>
          <w:rPr/>
          <w:fldChar w:fldCharType="separate"/>
        </w:r>
        <w:r>
          <w:rPr/>
          <w:t>71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color w:val="FF0000"/>
      </w:rPr>
    </w:pPr>
    <w:r>
      <w:rPr>
        <w:i/>
        <w:color w:val="000000"/>
        <w:lang w:eastAsia="es-ES"/>
      </w:rPr>
      <w:t>StrokeLab</w:t>
    </w:r>
    <w:r>
      <w:rPr>
        <w:color w:val="000000"/>
        <w:lang w:eastAsia="es-ES"/>
      </w:rPr>
      <w:t>: análisis biomecánico explicable de la técnica y la fatiga en natación</w:t>
    </w:r>
  </w:p>
  <w:p>
    <w:pPr>
      <w:pStyle w:val="Header"/>
      <w:rPr/>
    </w:pPr>
    <w:r>
      <w:rPr>
        <w:color w:val="000000"/>
      </w:rPr>
      <w:t>Diana Cruz</w:t>
    </w:r>
  </w:p>
  <w:p>
    <w:pPr>
      <w:pStyle w:val="Header"/>
      <w:rPr/>
    </w:pPr>
    <w:r>
      <w:rPr/>
      <mc:AlternateContent>
        <mc:Choice Requires="wps">
          <w:drawing>
            <wp:anchor behindDoc="1" distT="0" distB="0" distL="0" distR="0" simplePos="0" locked="0" layoutInCell="1" allowOverlap="1" relativeHeight="88" wp14:anchorId="68A1117B">
              <wp:simplePos x="0" y="0"/>
              <wp:positionH relativeFrom="column">
                <wp:posOffset>12065</wp:posOffset>
              </wp:positionH>
              <wp:positionV relativeFrom="paragraph">
                <wp:posOffset>74930</wp:posOffset>
              </wp:positionV>
              <wp:extent cx="5607685" cy="635"/>
              <wp:effectExtent l="5080" t="5080" r="5080" b="5080"/>
              <wp:wrapNone/>
              <wp:docPr id="18" name="4 Conector recto"/>
              <a:graphic xmlns:a="http://schemas.openxmlformats.org/drawingml/2006/main">
                <a:graphicData uri="http://schemas.microsoft.com/office/word/2010/wordprocessingShape">
                  <wps:wsp>
                    <wps:cNvSpPr/>
                    <wps:spPr>
                      <a:xfrm>
                        <a:off x="0" y="0"/>
                        <a:ext cx="56077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95pt,5.9pt" to="442.45pt,5.9pt" ID="4 Conector recto" stroked="t" o:allowincell="f" style="position:absolute" wp14:anchorId="68A1117B">
              <v:stroke color="black" weight="9360" joinstyle="round"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space"/>
      <w:lvlText w:val="Capítulo %1."/>
      <w:lvlJc w:val="left"/>
      <w:pPr>
        <w:tabs>
          <w:tab w:val="num" w:pos="0"/>
        </w:tabs>
        <w:ind w:left="0" w:hanging="0"/>
      </w:pPr>
      <w:rPr/>
    </w:lvl>
    <w:lvl w:ilvl="1">
      <w:start w:val="1"/>
      <w:pStyle w:val="Heading2"/>
      <w:numFmt w:val="decimal"/>
      <w:suff w:val="space"/>
      <w:lvlText w:val="%1.%2"/>
      <w:lvlJc w:val="left"/>
      <w:pPr>
        <w:tabs>
          <w:tab w:val="num" w:pos="0"/>
        </w:tabs>
        <w:ind w:left="0" w:hanging="0"/>
      </w:pPr>
      <w:rPr/>
    </w:lvl>
    <w:lvl w:ilvl="2">
      <w:start w:val="1"/>
      <w:pStyle w:val="Heading3"/>
      <w:numFmt w:val="decimal"/>
      <w:suff w:val="space"/>
      <w:lvlText w:val="%1.%2.%3"/>
      <w:lvlJc w:val="left"/>
      <w:pPr>
        <w:tabs>
          <w:tab w:val="num" w:pos="0"/>
        </w:tabs>
        <w:ind w:left="0" w:hanging="0"/>
      </w:pPr>
      <w:rPr/>
    </w:lvl>
    <w:lvl w:ilvl="3">
      <w:start w:val="1"/>
      <w:pStyle w:val="Heading4"/>
      <w:numFmt w:val="decimal"/>
      <w:suff w:val="space"/>
      <w:lvlText w:val="%1.%2.%3.%4"/>
      <w:lvlJc w:val="left"/>
      <w:pPr>
        <w:tabs>
          <w:tab w:val="num" w:pos="0"/>
        </w:tabs>
        <w:ind w:left="0" w:hanging="0"/>
      </w:pPr>
      <w:rPr/>
    </w:lvl>
    <w:lvl w:ilvl="4">
      <w:start w:val="1"/>
      <w:pStyle w:val="Heading5"/>
      <w:numFmt w:val="decimal"/>
      <w:suff w:val="space"/>
      <w:lvlText w:val="%1.%2.%3.%4.%5"/>
      <w:lvlJc w:val="left"/>
      <w:pPr>
        <w:tabs>
          <w:tab w:val="num" w:pos="0"/>
        </w:tabs>
        <w:ind w:left="1008" w:hanging="1008"/>
      </w:pPr>
      <w:rPr/>
    </w:lvl>
    <w:lvl w:ilvl="5">
      <w:start w:val="1"/>
      <w:pStyle w:val="Heading6"/>
      <w:numFmt w:val="decimal"/>
      <w:suff w:val="space"/>
      <w:lvlText w:val="%1.%2.%3.%4.%5.%6"/>
      <w:lvlJc w:val="left"/>
      <w:pPr>
        <w:tabs>
          <w:tab w:val="num" w:pos="0"/>
        </w:tabs>
        <w:ind w:left="1152" w:hanging="1152"/>
      </w:pPr>
      <w:rPr/>
    </w:lvl>
    <w:lvl w:ilvl="6">
      <w:start w:val="1"/>
      <w:pStyle w:val="Heading7"/>
      <w:numFmt w:val="decimal"/>
      <w:suff w:val="space"/>
      <w:lvlText w:val="%1.%2.%3.%4.%5.%6.%7"/>
      <w:lvlJc w:val="left"/>
      <w:pPr>
        <w:tabs>
          <w:tab w:val="num" w:pos="0"/>
        </w:tabs>
        <w:ind w:left="1296" w:hanging="1296"/>
      </w:pPr>
      <w:rPr/>
    </w:lvl>
    <w:lvl w:ilvl="7">
      <w:start w:val="1"/>
      <w:pStyle w:val="Heading8"/>
      <w:numFmt w:val="decimal"/>
      <w:suff w:val="space"/>
      <w:lvlText w:val="%1.%2.%3.%4.%5.%6.%7.%8"/>
      <w:lvlJc w:val="left"/>
      <w:pPr>
        <w:tabs>
          <w:tab w:val="num" w:pos="0"/>
        </w:tabs>
        <w:ind w:left="1440" w:hanging="1440"/>
      </w:pPr>
      <w:rPr/>
    </w:lvl>
    <w:lvl w:ilvl="8">
      <w:start w:val="1"/>
      <w:pStyle w:val="Heading9"/>
      <w:numFmt w:val="decimal"/>
      <w:suff w:val="space"/>
      <w:lvlText w:val="%1.%2.%3.%4.%5.%6.%7.%8.%9"/>
      <w:lvlJc w:val="left"/>
      <w:pPr>
        <w:tabs>
          <w:tab w:val="num" w:pos="0"/>
        </w:tabs>
        <w:ind w:left="1584" w:hanging="1584"/>
      </w:pPr>
      <w:rPr/>
    </w:lvl>
  </w:abstractNum>
  <w:abstractNum w:abstractNumId="2">
    <w:lvl w:ilvl="0">
      <w:start w:val="1"/>
      <w:numFmt w:val="decimal"/>
      <w:suff w:val="space"/>
      <w:lvlText w:val="Capítulo %1."/>
      <w:lvlJc w:val="left"/>
      <w:pPr>
        <w:tabs>
          <w:tab w:val="num" w:pos="0"/>
        </w:tabs>
        <w:ind w:left="0" w:hanging="0"/>
      </w:pPr>
      <w:rPr/>
    </w:lvl>
    <w:lvl w:ilvl="1">
      <w:start w:val="1"/>
      <w:numFmt w:val="decimal"/>
      <w:suff w:val="space"/>
      <w:lvlText w:val="%1.%2"/>
      <w:lvlJc w:val="left"/>
      <w:pPr>
        <w:tabs>
          <w:tab w:val="num" w:pos="0"/>
        </w:tabs>
        <w:ind w:left="0" w:hanging="0"/>
      </w:pPr>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lvl>
    <w:lvl w:ilvl="4">
      <w:start w:val="1"/>
      <w:numFmt w:val="decimal"/>
      <w:suff w:val="space"/>
      <w:lvlText w:val="%1.%2.%3.%4.%5"/>
      <w:lvlJc w:val="left"/>
      <w:pPr>
        <w:tabs>
          <w:tab w:val="num" w:pos="0"/>
        </w:tabs>
        <w:ind w:left="1008" w:hanging="1008"/>
      </w:pPr>
      <w:rPr/>
    </w:lvl>
    <w:lvl w:ilvl="5">
      <w:start w:val="1"/>
      <w:numFmt w:val="decimal"/>
      <w:suff w:val="space"/>
      <w:lvlText w:val="%1.%2.%3.%4.%5.%6"/>
      <w:lvlJc w:val="left"/>
      <w:pPr>
        <w:tabs>
          <w:tab w:val="num" w:pos="0"/>
        </w:tabs>
        <w:ind w:left="1152" w:hanging="1152"/>
      </w:pPr>
      <w:rPr/>
    </w:lvl>
    <w:lvl w:ilvl="6">
      <w:start w:val="1"/>
      <w:numFmt w:val="decimal"/>
      <w:suff w:val="space"/>
      <w:lvlText w:val="%1.%2.%3.%4.%5.%6.%7"/>
      <w:lvlJc w:val="left"/>
      <w:pPr>
        <w:tabs>
          <w:tab w:val="num" w:pos="0"/>
        </w:tabs>
        <w:ind w:left="1296" w:hanging="1296"/>
      </w:pPr>
      <w:rPr/>
    </w:lvl>
    <w:lvl w:ilvl="7">
      <w:start w:val="1"/>
      <w:numFmt w:val="decimal"/>
      <w:suff w:val="space"/>
      <w:lvlText w:val="%1.%2.%3.%4.%5.%6.%7.%8"/>
      <w:lvlJc w:val="left"/>
      <w:pPr>
        <w:tabs>
          <w:tab w:val="num" w:pos="0"/>
        </w:tabs>
        <w:ind w:left="1440" w:hanging="1440"/>
      </w:pPr>
      <w:rPr/>
    </w:lvl>
    <w:lvl w:ilvl="8">
      <w:start w:val="1"/>
      <w:numFmt w:val="decimal"/>
      <w:suff w:val="space"/>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d5422"/>
    <w:pPr>
      <w:widowControl/>
      <w:bidi w:val="0"/>
      <w:spacing w:lineRule="auto" w:line="264" w:before="120" w:after="120"/>
      <w:jc w:val="both"/>
    </w:pPr>
    <w:rPr>
      <w:rFonts w:ascii="Calibri" w:hAnsi="Calibri" w:eastAsia="Calibri" w:cs="Times New Roman"/>
      <w:color w:val="auto"/>
      <w:kern w:val="0"/>
      <w:sz w:val="22"/>
      <w:szCs w:val="22"/>
      <w:lang w:eastAsia="en-US" w:val="es-ES" w:bidi="ar-SA"/>
    </w:rPr>
  </w:style>
  <w:style w:type="paragraph" w:styleId="Heading1">
    <w:name w:val="Heading 1"/>
    <w:basedOn w:val="NoSpacing"/>
    <w:next w:val="Normal"/>
    <w:link w:val="Ttulo1Car"/>
    <w:uiPriority w:val="9"/>
    <w:qFormat/>
    <w:rsid w:val="00ce53cd"/>
    <w:pPr>
      <w:pageBreakBefore/>
      <w:numPr>
        <w:ilvl w:val="0"/>
        <w:numId w:val="1"/>
      </w:numPr>
      <w:spacing w:before="240" w:after="240"/>
      <w:outlineLvl w:val="0"/>
    </w:pPr>
    <w:rPr>
      <w:rFonts w:ascii="Calibri" w:hAnsi="Calibri" w:cs="Calibri" w:asciiTheme="minorHAnsi" w:cstheme="minorHAnsi" w:hAnsiTheme="minorHAnsi"/>
      <w:b/>
      <w:sz w:val="40"/>
      <w:szCs w:val="44"/>
    </w:rPr>
  </w:style>
  <w:style w:type="paragraph" w:styleId="Heading2">
    <w:name w:val="Heading 2"/>
    <w:basedOn w:val="Normal"/>
    <w:next w:val="Normal"/>
    <w:link w:val="Ttulo2Car"/>
    <w:uiPriority w:val="9"/>
    <w:unhideWhenUsed/>
    <w:qFormat/>
    <w:rsid w:val="00576afa"/>
    <w:pPr>
      <w:numPr>
        <w:ilvl w:val="1"/>
        <w:numId w:val="1"/>
      </w:numPr>
      <w:spacing w:before="240" w:after="120"/>
      <w:outlineLvl w:val="1"/>
    </w:pPr>
    <w:rPr>
      <w:rFonts w:ascii="Calibri" w:hAnsi="Calibri" w:cs="Calibri" w:asciiTheme="minorHAnsi" w:cstheme="minorHAnsi" w:hAnsiTheme="minorHAnsi"/>
      <w:b/>
      <w:sz w:val="28"/>
      <w:szCs w:val="24"/>
      <w:lang w:eastAsia="es-ES"/>
    </w:rPr>
  </w:style>
  <w:style w:type="paragraph" w:styleId="Heading3">
    <w:name w:val="Heading 3"/>
    <w:basedOn w:val="Normal"/>
    <w:next w:val="Normal"/>
    <w:link w:val="Ttulo3Car"/>
    <w:uiPriority w:val="9"/>
    <w:unhideWhenUsed/>
    <w:qFormat/>
    <w:rsid w:val="00503ed9"/>
    <w:pPr>
      <w:keepNext w:val="true"/>
      <w:keepLines/>
      <w:numPr>
        <w:ilvl w:val="2"/>
        <w:numId w:val="1"/>
      </w:numPr>
      <w:spacing w:before="200" w:after="0"/>
      <w:outlineLvl w:val="2"/>
    </w:pPr>
    <w:rPr>
      <w:rFonts w:ascii="Cambria" w:hAnsi="Cambria" w:eastAsia="" w:cs="" w:asciiTheme="majorHAnsi" w:cstheme="majorBidi" w:eastAsiaTheme="majorEastAsia" w:hAnsiTheme="majorHAnsi"/>
      <w:b/>
      <w:bCs/>
    </w:rPr>
  </w:style>
  <w:style w:type="paragraph" w:styleId="Heading4">
    <w:name w:val="Heading 4"/>
    <w:basedOn w:val="Normal"/>
    <w:next w:val="Normal"/>
    <w:link w:val="Ttulo4Car"/>
    <w:uiPriority w:val="9"/>
    <w:unhideWhenUsed/>
    <w:qFormat/>
    <w:rsid w:val="00531741"/>
    <w:pPr>
      <w:keepNext w:val="true"/>
      <w:keepLines/>
      <w:numPr>
        <w:ilvl w:val="3"/>
        <w:numId w:val="1"/>
      </w:numPr>
      <w:spacing w:before="200" w:after="0"/>
      <w:outlineLvl w:val="3"/>
    </w:pPr>
    <w:rPr>
      <w:rFonts w:ascii="Cambria" w:hAnsi="Cambria" w:eastAsia="" w:cs="" w:asciiTheme="majorHAnsi" w:cstheme="majorBidi" w:eastAsiaTheme="majorEastAsia" w:hAnsiTheme="majorHAnsi"/>
      <w:b/>
      <w:bCs/>
      <w:i/>
      <w:iCs/>
    </w:rPr>
  </w:style>
  <w:style w:type="paragraph" w:styleId="Heading5">
    <w:name w:val="Heading 5"/>
    <w:basedOn w:val="Normal"/>
    <w:next w:val="Normal"/>
    <w:link w:val="Ttulo5Car"/>
    <w:uiPriority w:val="9"/>
    <w:semiHidden/>
    <w:unhideWhenUsed/>
    <w:qFormat/>
    <w:rsid w:val="00fd67ff"/>
    <w:pPr>
      <w:keepNext w:val="true"/>
      <w:keepLines/>
      <w:numPr>
        <w:ilvl w:val="4"/>
        <w:numId w:val="1"/>
      </w:numPr>
      <w:spacing w:before="200" w:after="0"/>
      <w:outlineLvl w:val="4"/>
    </w:pPr>
    <w:rPr>
      <w:rFonts w:ascii="Cambria" w:hAnsi="Cambria"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d67ff"/>
    <w:pPr>
      <w:keepNext w:val="true"/>
      <w:keepLines/>
      <w:numPr>
        <w:ilvl w:val="5"/>
        <w:numId w:val="1"/>
      </w:numPr>
      <w:spacing w:before="200" w:after="0"/>
      <w:outlineLvl w:val="5"/>
    </w:pPr>
    <w:rPr>
      <w:rFonts w:ascii="Cambria" w:hAnsi="Cambria"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d67ff"/>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d67ff"/>
    <w:pPr>
      <w:keepNext w:val="true"/>
      <w:keepLines/>
      <w:numPr>
        <w:ilvl w:val="7"/>
        <w:numId w:val="1"/>
      </w:numPr>
      <w:spacing w:before="200" w:after="0"/>
      <w:outlineLvl w:val="7"/>
    </w:pPr>
    <w:rPr>
      <w:rFonts w:ascii="Cambria" w:hAnsi="Cambria" w:eastAsia="" w:cs="" w:asciiTheme="majorHAnsi" w:cstheme="majorBidi" w:eastAsiaTheme="majorEastAsia" w:hAnsiTheme="majorHAnsi"/>
      <w:color w:themeColor="text1" w:themeTint="bf" w:val="404040"/>
      <w:sz w:val="20"/>
      <w:szCs w:val="20"/>
    </w:rPr>
  </w:style>
  <w:style w:type="paragraph" w:styleId="Heading9">
    <w:name w:val="Heading 9"/>
    <w:basedOn w:val="Normal"/>
    <w:next w:val="Normal"/>
    <w:link w:val="Ttulo9Car"/>
    <w:uiPriority w:val="9"/>
    <w:semiHidden/>
    <w:unhideWhenUsed/>
    <w:qFormat/>
    <w:rsid w:val="00fd67ff"/>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e53cd"/>
    <w:rPr>
      <w:rFonts w:ascii="Calibri" w:hAnsi="Calibri" w:cs="Calibri" w:asciiTheme="minorHAnsi" w:cstheme="minorHAnsi" w:hAnsiTheme="minorHAnsi"/>
      <w:b/>
      <w:sz w:val="40"/>
      <w:szCs w:val="44"/>
      <w:lang w:eastAsia="en-US"/>
    </w:rPr>
  </w:style>
  <w:style w:type="character" w:styleId="Hyperlink">
    <w:name w:val="Hyperlink"/>
    <w:basedOn w:val="DefaultParagraphFont"/>
    <w:uiPriority w:val="99"/>
    <w:unhideWhenUsed/>
    <w:rsid w:val="00ce23be"/>
    <w:rPr>
      <w:color w:themeColor="hyperlink" w:val="0000FF"/>
      <w:u w:val="single"/>
    </w:rPr>
  </w:style>
  <w:style w:type="character" w:styleId="TextodegloboCar" w:customStyle="1">
    <w:name w:val="Texto de globo Car"/>
    <w:basedOn w:val="DefaultParagraphFont"/>
    <w:link w:val="BalloonText"/>
    <w:uiPriority w:val="99"/>
    <w:semiHidden/>
    <w:qFormat/>
    <w:rsid w:val="00ce23be"/>
    <w:rPr>
      <w:rFonts w:ascii="Tahoma" w:hAnsi="Tahoma" w:cs="Tahoma"/>
      <w:sz w:val="16"/>
      <w:szCs w:val="16"/>
      <w:lang w:eastAsia="en-US"/>
    </w:rPr>
  </w:style>
  <w:style w:type="character" w:styleId="Ttulo2Car" w:customStyle="1">
    <w:name w:val="Título 2 Car"/>
    <w:basedOn w:val="DefaultParagraphFont"/>
    <w:link w:val="Heading2"/>
    <w:uiPriority w:val="9"/>
    <w:qFormat/>
    <w:rsid w:val="00576afa"/>
    <w:rPr>
      <w:rFonts w:ascii="Calibri" w:hAnsi="Calibri" w:cs="Calibri" w:asciiTheme="minorHAnsi" w:cstheme="minorHAnsi" w:hAnsiTheme="minorHAnsi"/>
      <w:b/>
      <w:sz w:val="28"/>
      <w:szCs w:val="24"/>
    </w:rPr>
  </w:style>
  <w:style w:type="character" w:styleId="EncabezadoCar" w:customStyle="1">
    <w:name w:val="Encabezado Car"/>
    <w:basedOn w:val="DefaultParagraphFont"/>
    <w:link w:val="Header"/>
    <w:uiPriority w:val="99"/>
    <w:qFormat/>
    <w:rsid w:val="002603ef"/>
    <w:rPr>
      <w:sz w:val="22"/>
      <w:szCs w:val="22"/>
      <w:lang w:eastAsia="en-US"/>
    </w:rPr>
  </w:style>
  <w:style w:type="character" w:styleId="PiedepginaCar" w:customStyle="1">
    <w:name w:val="Pie de página Car"/>
    <w:basedOn w:val="DefaultParagraphFont"/>
    <w:link w:val="Footer"/>
    <w:uiPriority w:val="99"/>
    <w:qFormat/>
    <w:rsid w:val="002603ef"/>
    <w:rPr>
      <w:sz w:val="22"/>
      <w:szCs w:val="22"/>
      <w:lang w:eastAsia="en-US"/>
    </w:rPr>
  </w:style>
  <w:style w:type="character" w:styleId="Ttulo3Car" w:customStyle="1">
    <w:name w:val="Título 3 Car"/>
    <w:basedOn w:val="DefaultParagraphFont"/>
    <w:link w:val="Heading3"/>
    <w:uiPriority w:val="9"/>
    <w:qFormat/>
    <w:rsid w:val="00503ed9"/>
    <w:rPr>
      <w:rFonts w:ascii="Cambria" w:hAnsi="Cambria" w:eastAsia="" w:cs="" w:asciiTheme="majorHAnsi" w:cstheme="majorBidi" w:eastAsiaTheme="majorEastAsia" w:hAnsiTheme="majorHAnsi"/>
      <w:b/>
      <w:bCs/>
      <w:sz w:val="22"/>
      <w:szCs w:val="22"/>
      <w:lang w:eastAsia="en-US"/>
    </w:rPr>
  </w:style>
  <w:style w:type="character" w:styleId="Ttulo4Car" w:customStyle="1">
    <w:name w:val="Título 4 Car"/>
    <w:basedOn w:val="DefaultParagraphFont"/>
    <w:link w:val="Heading4"/>
    <w:uiPriority w:val="9"/>
    <w:qFormat/>
    <w:rsid w:val="00531741"/>
    <w:rPr>
      <w:rFonts w:ascii="Cambria" w:hAnsi="Cambria" w:eastAsia="" w:cs="" w:asciiTheme="majorHAnsi" w:cstheme="majorBidi" w:eastAsiaTheme="majorEastAsia" w:hAnsiTheme="majorHAnsi"/>
      <w:b/>
      <w:bCs/>
      <w:i/>
      <w:iCs/>
      <w:sz w:val="22"/>
      <w:szCs w:val="22"/>
      <w:lang w:eastAsia="en-US"/>
    </w:rPr>
  </w:style>
  <w:style w:type="character" w:styleId="Ttulo5Car" w:customStyle="1">
    <w:name w:val="Título 5 Car"/>
    <w:basedOn w:val="DefaultParagraphFont"/>
    <w:link w:val="Heading5"/>
    <w:uiPriority w:val="9"/>
    <w:semiHidden/>
    <w:qFormat/>
    <w:rsid w:val="00fd67ff"/>
    <w:rPr>
      <w:rFonts w:ascii="Cambria" w:hAnsi="Cambria" w:eastAsia="" w:cs="" w:asciiTheme="majorHAnsi" w:cstheme="majorBidi" w:eastAsiaTheme="majorEastAsia" w:hAnsiTheme="majorHAnsi"/>
      <w:color w:themeColor="accent1" w:themeShade="7f" w:val="243F60"/>
      <w:sz w:val="22"/>
      <w:szCs w:val="22"/>
      <w:lang w:eastAsia="en-US"/>
    </w:rPr>
  </w:style>
  <w:style w:type="character" w:styleId="Ttulo6Car" w:customStyle="1">
    <w:name w:val="Título 6 Car"/>
    <w:basedOn w:val="DefaultParagraphFont"/>
    <w:link w:val="Heading6"/>
    <w:uiPriority w:val="9"/>
    <w:semiHidden/>
    <w:qFormat/>
    <w:rsid w:val="00fd67ff"/>
    <w:rPr>
      <w:rFonts w:ascii="Cambria" w:hAnsi="Cambria" w:eastAsia="" w:cs="" w:asciiTheme="majorHAnsi" w:cstheme="majorBidi" w:eastAsiaTheme="majorEastAsia" w:hAnsiTheme="majorHAnsi"/>
      <w:i/>
      <w:iCs/>
      <w:color w:themeColor="accent1" w:themeShade="7f" w:val="243F60"/>
      <w:sz w:val="22"/>
      <w:szCs w:val="22"/>
      <w:lang w:eastAsia="en-US"/>
    </w:rPr>
  </w:style>
  <w:style w:type="character" w:styleId="Ttulo7Car" w:customStyle="1">
    <w:name w:val="Título 7 Car"/>
    <w:basedOn w:val="DefaultParagraphFont"/>
    <w:link w:val="Heading7"/>
    <w:uiPriority w:val="9"/>
    <w:semiHidden/>
    <w:qFormat/>
    <w:rsid w:val="00fd67ff"/>
    <w:rPr>
      <w:rFonts w:ascii="Cambria" w:hAnsi="Cambria" w:eastAsia="" w:cs="" w:asciiTheme="majorHAnsi" w:cstheme="majorBidi" w:eastAsiaTheme="majorEastAsia" w:hAnsiTheme="majorHAnsi"/>
      <w:i/>
      <w:iCs/>
      <w:color w:themeColor="text1" w:themeTint="bf" w:val="404040"/>
      <w:sz w:val="22"/>
      <w:szCs w:val="22"/>
      <w:lang w:eastAsia="en-US"/>
    </w:rPr>
  </w:style>
  <w:style w:type="character" w:styleId="Ttulo8Car" w:customStyle="1">
    <w:name w:val="Título 8 Car"/>
    <w:basedOn w:val="DefaultParagraphFont"/>
    <w:link w:val="Heading8"/>
    <w:uiPriority w:val="9"/>
    <w:semiHidden/>
    <w:qFormat/>
    <w:rsid w:val="00fd67ff"/>
    <w:rPr>
      <w:rFonts w:ascii="Cambria" w:hAnsi="Cambria" w:eastAsia="" w:cs="" w:asciiTheme="majorHAnsi" w:cstheme="majorBidi" w:eastAsiaTheme="majorEastAsia" w:hAnsiTheme="majorHAnsi"/>
      <w:color w:themeColor="text1" w:themeTint="bf" w:val="404040"/>
      <w:lang w:eastAsia="en-US"/>
    </w:rPr>
  </w:style>
  <w:style w:type="character" w:styleId="Ttulo9Car" w:customStyle="1">
    <w:name w:val="Título 9 Car"/>
    <w:basedOn w:val="DefaultParagraphFont"/>
    <w:link w:val="Heading9"/>
    <w:uiPriority w:val="9"/>
    <w:semiHidden/>
    <w:qFormat/>
    <w:rsid w:val="00fd67ff"/>
    <w:rPr>
      <w:rFonts w:ascii="Cambria" w:hAnsi="Cambria" w:eastAsia="" w:cs="" w:asciiTheme="majorHAnsi" w:cstheme="majorBidi" w:eastAsiaTheme="majorEastAsia" w:hAnsiTheme="majorHAnsi"/>
      <w:i/>
      <w:iCs/>
      <w:color w:themeColor="text1" w:themeTint="bf" w:val="404040"/>
      <w:lang w:eastAsia="en-US"/>
    </w:rPr>
  </w:style>
  <w:style w:type="character" w:styleId="TextoindependienteCar" w:customStyle="1">
    <w:name w:val="Texto independiente Car"/>
    <w:basedOn w:val="DefaultParagraphFont"/>
    <w:qFormat/>
    <w:rsid w:val="006b2fcd"/>
    <w:rPr>
      <w:rFonts w:ascii="Times New Roman" w:hAnsi="Times New Roman" w:eastAsia="Times New Roman"/>
      <w:i/>
      <w:iCs/>
      <w:sz w:val="24"/>
      <w:szCs w:val="24"/>
    </w:rPr>
  </w:style>
  <w:style w:type="character" w:styleId="annotationreference">
    <w:name w:val="annotation reference"/>
    <w:basedOn w:val="DefaultParagraphFont"/>
    <w:uiPriority w:val="99"/>
    <w:semiHidden/>
    <w:unhideWhenUsed/>
    <w:qFormat/>
    <w:rsid w:val="00e045c3"/>
    <w:rPr>
      <w:sz w:val="16"/>
      <w:szCs w:val="16"/>
    </w:rPr>
  </w:style>
  <w:style w:type="character" w:styleId="TextocomentarioCar" w:customStyle="1">
    <w:name w:val="Texto comentario Car"/>
    <w:basedOn w:val="DefaultParagraphFont"/>
    <w:link w:val="AnnotationText"/>
    <w:uiPriority w:val="99"/>
    <w:semiHidden/>
    <w:qFormat/>
    <w:rsid w:val="00e045c3"/>
    <w:rPr>
      <w:lang w:eastAsia="en-US"/>
    </w:rPr>
  </w:style>
  <w:style w:type="character" w:styleId="AsuntodelcomentarioCar" w:customStyle="1">
    <w:name w:val="Asunto del comentario Car"/>
    <w:basedOn w:val="TextocomentarioCar"/>
    <w:link w:val="annotationsubject"/>
    <w:uiPriority w:val="99"/>
    <w:semiHidden/>
    <w:qFormat/>
    <w:rsid w:val="00e045c3"/>
    <w:rPr>
      <w:b/>
      <w:bCs/>
      <w:lang w:eastAsia="en-US"/>
    </w:rPr>
  </w:style>
  <w:style w:type="character" w:styleId="MapadeldocumentoCar" w:customStyle="1">
    <w:name w:val="Mapa del documento Car"/>
    <w:basedOn w:val="DefaultParagraphFont"/>
    <w:link w:val="DocumentMap"/>
    <w:uiPriority w:val="99"/>
    <w:semiHidden/>
    <w:qFormat/>
    <w:rsid w:val="00ce6b3a"/>
    <w:rPr>
      <w:rFonts w:ascii="Tahoma" w:hAnsi="Tahoma" w:cs="Tahoma"/>
      <w:sz w:val="16"/>
      <w:szCs w:val="16"/>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TextoindependienteCar"/>
    <w:rsid w:val="006b2fcd"/>
    <w:pPr>
      <w:spacing w:lineRule="auto" w:line="240" w:before="120" w:after="0"/>
    </w:pPr>
    <w:rPr>
      <w:rFonts w:ascii="Times New Roman" w:hAnsi="Times New Roman" w:eastAsia="Times New Roman"/>
      <w:i/>
      <w:iCs/>
      <w:sz w:val="24"/>
      <w:szCs w:val="24"/>
      <w:lang w:eastAsia="es-ES"/>
    </w:rPr>
  </w:style>
  <w:style w:type="paragraph" w:styleId="List">
    <w:name w:val="List"/>
    <w:basedOn w:val="BodyText"/>
    <w:pPr/>
    <w:rPr>
      <w:rFonts w:cs="FreeSans"/>
    </w:rPr>
  </w:style>
  <w:style w:type="paragraph" w:styleId="Caption" w:customStyle="1">
    <w:name w:val="Caption"/>
    <w:basedOn w:val="Normal"/>
    <w:qFormat/>
    <w:pPr>
      <w:spacing w:before="120" w:after="160"/>
    </w:pPr>
    <w:rPr>
      <w:i/>
      <w:sz w:val="18"/>
    </w:rPr>
  </w:style>
  <w:style w:type="paragraph" w:styleId="Index">
    <w:name w:val="Index"/>
    <w:basedOn w:val="Normal"/>
    <w:qFormat/>
    <w:pPr>
      <w:suppressLineNumbers/>
    </w:pPr>
    <w:rPr>
      <w:rFonts w:cs="FreeSans"/>
    </w:rPr>
  </w:style>
  <w:style w:type="paragraph" w:styleId="NoSpacing">
    <w:name w:val="No Spacing"/>
    <w:uiPriority w:val="1"/>
    <w:qFormat/>
    <w:rsid w:val="00161542"/>
    <w:pPr>
      <w:widowControl/>
      <w:bidi w:val="0"/>
      <w:spacing w:before="0" w:after="0"/>
      <w:jc w:val="left"/>
    </w:pPr>
    <w:rPr>
      <w:rFonts w:ascii="Calibri" w:hAnsi="Calibri" w:eastAsia="Calibri" w:cs="Times New Roman"/>
      <w:color w:val="auto"/>
      <w:kern w:val="0"/>
      <w:sz w:val="22"/>
      <w:szCs w:val="22"/>
      <w:lang w:eastAsia="en-US" w:val="es-E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ce23be"/>
    <w:pPr>
      <w:keepNext w:val="true"/>
      <w:keepLines/>
      <w:numPr>
        <w:ilvl w:val="0"/>
        <w:numId w:val="1"/>
      </w:numPr>
      <w:spacing w:lineRule="auto" w:line="276" w:before="480" w:after="240"/>
      <w:outlineLvl w:val="9"/>
    </w:pPr>
    <w:rPr>
      <w:rFonts w:ascii="Cambria" w:hAnsi="Cambria" w:eastAsia="" w:cs="" w:asciiTheme="majorHAnsi" w:cstheme="majorBidi" w:eastAsiaTheme="majorEastAsia" w:hAnsiTheme="majorHAnsi"/>
      <w:b w:val="false"/>
      <w:bCs/>
      <w:color w:themeColor="accent1" w:themeShade="bf" w:val="365F91"/>
      <w:sz w:val="28"/>
      <w:szCs w:val="28"/>
      <w:lang w:eastAsia="es-ES"/>
    </w:rPr>
  </w:style>
  <w:style w:type="paragraph" w:styleId="TOC1">
    <w:name w:val="TOC 1"/>
    <w:basedOn w:val="Normal"/>
    <w:next w:val="Normal"/>
    <w:autoRedefine/>
    <w:uiPriority w:val="39"/>
    <w:unhideWhenUsed/>
    <w:rsid w:val="000c748f"/>
    <w:pPr>
      <w:keepNext w:val="true"/>
      <w:tabs>
        <w:tab w:val="clear" w:pos="708"/>
        <w:tab w:val="right" w:pos="8504" w:leader="dot"/>
      </w:tabs>
      <w:spacing w:before="120" w:after="100"/>
    </w:pPr>
    <w:rPr/>
  </w:style>
  <w:style w:type="paragraph" w:styleId="BalloonText">
    <w:name w:val="Balloon Text"/>
    <w:basedOn w:val="Normal"/>
    <w:link w:val="TextodegloboCar"/>
    <w:uiPriority w:val="99"/>
    <w:semiHidden/>
    <w:unhideWhenUsed/>
    <w:qFormat/>
    <w:rsid w:val="00ce23be"/>
    <w:pPr>
      <w:spacing w:lineRule="auto" w:line="240" w:before="120" w:after="0"/>
    </w:pPr>
    <w:rPr>
      <w:rFonts w:ascii="Tahoma" w:hAnsi="Tahoma" w:cs="Tahoma"/>
      <w:sz w:val="16"/>
      <w:szCs w:val="16"/>
    </w:rPr>
  </w:style>
  <w:style w:type="paragraph" w:styleId="ListParagraph">
    <w:name w:val="List Paragraph"/>
    <w:basedOn w:val="Normal"/>
    <w:uiPriority w:val="34"/>
    <w:qFormat/>
    <w:rsid w:val="000221b2"/>
    <w:pPr>
      <w:spacing w:before="120" w:after="120"/>
      <w:ind w:left="720"/>
      <w:contextualSpacing/>
    </w:pPr>
    <w:rPr/>
  </w:style>
  <w:style w:type="paragraph" w:styleId="TOC2">
    <w:name w:val="TOC 2"/>
    <w:basedOn w:val="Normal"/>
    <w:next w:val="Normal"/>
    <w:autoRedefine/>
    <w:uiPriority w:val="39"/>
    <w:unhideWhenUsed/>
    <w:rsid w:val="00d80f13"/>
    <w:pPr>
      <w:tabs>
        <w:tab w:val="clear" w:pos="708"/>
        <w:tab w:val="right" w:pos="8504" w:leader="dot"/>
      </w:tabs>
      <w:spacing w:before="120" w:after="100"/>
      <w:ind w:left="220"/>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2603ef"/>
    <w:pPr>
      <w:tabs>
        <w:tab w:val="clear" w:pos="708"/>
        <w:tab w:val="center" w:pos="4252" w:leader="none"/>
        <w:tab w:val="right" w:pos="8504" w:leader="none"/>
      </w:tabs>
      <w:spacing w:lineRule="auto" w:line="240" w:before="120" w:after="0"/>
    </w:pPr>
    <w:rPr/>
  </w:style>
  <w:style w:type="paragraph" w:styleId="Footer">
    <w:name w:val="Footer"/>
    <w:basedOn w:val="Normal"/>
    <w:link w:val="PiedepginaCar"/>
    <w:uiPriority w:val="99"/>
    <w:unhideWhenUsed/>
    <w:rsid w:val="002603ef"/>
    <w:pPr>
      <w:tabs>
        <w:tab w:val="clear" w:pos="708"/>
        <w:tab w:val="center" w:pos="4252" w:leader="none"/>
        <w:tab w:val="right" w:pos="8504" w:leader="none"/>
      </w:tabs>
      <w:spacing w:lineRule="auto" w:line="240" w:before="120" w:after="0"/>
    </w:pPr>
    <w:rPr/>
  </w:style>
  <w:style w:type="paragraph" w:styleId="TOC3">
    <w:name w:val="TOC 3"/>
    <w:basedOn w:val="Normal"/>
    <w:next w:val="Normal"/>
    <w:autoRedefine/>
    <w:uiPriority w:val="39"/>
    <w:unhideWhenUsed/>
    <w:rsid w:val="003243bc"/>
    <w:pPr>
      <w:tabs>
        <w:tab w:val="clear" w:pos="708"/>
        <w:tab w:val="right" w:pos="8504" w:leader="dot"/>
      </w:tabs>
      <w:spacing w:before="120" w:after="100"/>
      <w:ind w:left="440"/>
    </w:pPr>
    <w:rPr/>
  </w:style>
  <w:style w:type="paragraph" w:styleId="Bibliography">
    <w:name w:val="Bibliography"/>
    <w:basedOn w:val="Normal"/>
    <w:next w:val="Normal"/>
    <w:uiPriority w:val="37"/>
    <w:unhideWhenUsed/>
    <w:qFormat/>
    <w:rsid w:val="00c26eb3"/>
    <w:pPr/>
    <w:rPr/>
  </w:style>
  <w:style w:type="paragraph" w:styleId="AnnotationText">
    <w:name w:val="Annotation Text"/>
    <w:basedOn w:val="Normal"/>
    <w:link w:val="TextocomentarioCar"/>
    <w:uiPriority w:val="99"/>
    <w:semiHidden/>
    <w:unhideWhenUsed/>
    <w:rsid w:val="00e045c3"/>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e045c3"/>
    <w:pPr/>
    <w:rPr>
      <w:b/>
      <w:bCs/>
    </w:rPr>
  </w:style>
  <w:style w:type="paragraph" w:styleId="DocumentMap">
    <w:name w:val="Document Map"/>
    <w:basedOn w:val="Normal"/>
    <w:link w:val="MapadeldocumentoCar"/>
    <w:uiPriority w:val="99"/>
    <w:semiHidden/>
    <w:unhideWhenUsed/>
    <w:qFormat/>
    <w:rsid w:val="00ce6b3a"/>
    <w:pPr>
      <w:spacing w:lineRule="auto" w:line="240" w:before="0" w:after="0"/>
    </w:pPr>
    <w:rPr>
      <w:rFonts w:ascii="Tahoma" w:hAnsi="Tahoma" w:cs="Tahoma"/>
      <w:sz w:val="16"/>
      <w:szCs w:val="16"/>
    </w:rPr>
  </w:style>
  <w:style w:type="paragraph" w:styleId="TableofFigures">
    <w:name w:val="Table of Figures"/>
    <w:basedOn w:val="Index"/>
    <w:pPr>
      <w:tabs>
        <w:tab w:val="clear" w:pos="708"/>
        <w:tab w:val="right" w:pos="8504" w:leader="dot"/>
      </w:tabs>
      <w:ind w:hanging="0" w:left="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unhideWhenUsed/>
    <w:rsid w:val="000618c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71</Pages>
  <Words>19801</Words>
  <Characters>99031</Characters>
  <CharactersWithSpaces>117070</CharactersWithSpaces>
  <Paragraphs>1598</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2025-08-26T14:47:00Z</dcterms:created>
  <dc:creator>CARLOS MORENO MARTÍNEZ     carlos.moreno@universidadeuropea.es;MJ Terrón</dc:creator>
  <dc:description/>
  <dc:language>en-US</dc:language>
  <cp:lastModifiedBy/>
  <cp:lastPrinted>2012-10-16T10:54:00Z</cp:lastPrinted>
  <dcterms:modified xsi:type="dcterms:W3CDTF">2026-10-11T21:55:17Z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ActionId">
    <vt:lpwstr>5e2e354c-4a19-4e0f-aac5-92722afe0e02</vt:lpwstr>
  </property>
  <property fmtid="{D5CDD505-2E9C-101B-9397-08002B2CF9AE}" pid="3" name="MSIP_Label_184a3394-03bb-460d-b0e0-929a41aa1fc7_ContentBits">
    <vt:lpwstr>0</vt:lpwstr>
  </property>
  <property fmtid="{D5CDD505-2E9C-101B-9397-08002B2CF9AE}" pid="4" name="MSIP_Label_184a3394-03bb-460d-b0e0-929a41aa1fc7_Enabled">
    <vt:lpwstr>true</vt:lpwstr>
  </property>
  <property fmtid="{D5CDD505-2E9C-101B-9397-08002B2CF9AE}" pid="5" name="MSIP_Label_184a3394-03bb-460d-b0e0-929a41aa1fc7_Method">
    <vt:lpwstr>Privileged</vt:lpwstr>
  </property>
  <property fmtid="{D5CDD505-2E9C-101B-9397-08002B2CF9AE}" pid="6" name="MSIP_Label_184a3394-03bb-460d-b0e0-929a41aa1fc7_Name">
    <vt:lpwstr>Público</vt:lpwstr>
  </property>
  <property fmtid="{D5CDD505-2E9C-101B-9397-08002B2CF9AE}" pid="7" name="MSIP_Label_184a3394-03bb-460d-b0e0-929a41aa1fc7_SetDate">
    <vt:lpwstr>2025-08-26T14:47:11Z</vt:lpwstr>
  </property>
  <property fmtid="{D5CDD505-2E9C-101B-9397-08002B2CF9AE}" pid="8" name="MSIP_Label_184a3394-03bb-460d-b0e0-929a41aa1fc7_SiteId">
    <vt:lpwstr>cfab0009-84b7-4397-a0f8-f77cdf1579c1</vt:lpwstr>
  </property>
  <property fmtid="{D5CDD505-2E9C-101B-9397-08002B2CF9AE}" pid="9" name="MSIP_Label_184a3394-03bb-460d-b0e0-929a41aa1fc7_Tag">
    <vt:lpwstr>10, 0, 1, 1</vt:lpwstr>
  </property>
</Properties>
</file>