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FA78" w14:textId="77777777" w:rsidR="00D77E56" w:rsidRDefault="00000000">
      <w:pPr>
        <w:pStyle w:val="Heading1"/>
      </w:pPr>
      <w:r>
        <w:t>Research &amp; Preparation Workflow for Presentations</w:t>
      </w:r>
    </w:p>
    <w:p w14:paraId="26AB9DD8" w14:textId="77777777" w:rsidR="00D77E56" w:rsidRDefault="00000000">
      <w:pPr>
        <w:pStyle w:val="Heading2"/>
      </w:pPr>
      <w:r>
        <w:t>Step 1. Receive the research question and sub-questions</w:t>
      </w:r>
    </w:p>
    <w:p w14:paraId="20D32F8D" w14:textId="77777777" w:rsidR="00D77E56" w:rsidRDefault="00000000">
      <w:r>
        <w:t>Clarify scope, boundaries, and assessment criteria. Identify which sub-questions connect directly to course learning outcomes.</w:t>
      </w:r>
    </w:p>
    <w:p w14:paraId="60D40405" w14:textId="77777777" w:rsidR="00D77E56" w:rsidRDefault="00000000">
      <w:pPr>
        <w:pStyle w:val="Heading2"/>
      </w:pPr>
      <w:r>
        <w:t>Step 2. Use AI to sketch out a presentation format</w:t>
      </w:r>
    </w:p>
    <w:p w14:paraId="40AB1ED0" w14:textId="77777777" w:rsidR="00D77E56" w:rsidRDefault="00000000">
      <w:r>
        <w:t>Ask for an outline: introduction, thematic sections, case studies, conclusion. Ensure each section maps to Claim → Evidence → However (limit) → Implication.</w:t>
      </w:r>
    </w:p>
    <w:p w14:paraId="7FC9FA15" w14:textId="77777777" w:rsidR="00D77E56" w:rsidRDefault="00000000">
      <w:pPr>
        <w:pStyle w:val="Heading2"/>
      </w:pPr>
      <w:r>
        <w:t>Step 3. Verify format with at least three other AI systems</w:t>
      </w:r>
    </w:p>
    <w:p w14:paraId="028C06BF" w14:textId="77777777" w:rsidR="00D77E56" w:rsidRDefault="00000000">
      <w:r>
        <w:t>Compare outlines to check consistency, missing angles, and alternative framings. Note divergences to refine scope.</w:t>
      </w:r>
    </w:p>
    <w:p w14:paraId="50EB7E77" w14:textId="77777777" w:rsidR="00D77E56" w:rsidRDefault="00000000">
      <w:pPr>
        <w:pStyle w:val="Heading2"/>
      </w:pPr>
      <w:r>
        <w:t>Step 4. Use AI to identify the first key prolific author</w:t>
      </w:r>
    </w:p>
    <w:p w14:paraId="755F7418" w14:textId="77777777" w:rsidR="00D77E56" w:rsidRDefault="00000000">
      <w:r>
        <w:t>Search by keywords linked to your topic. Select an author with repeated citations across the field.</w:t>
      </w:r>
    </w:p>
    <w:p w14:paraId="69F5BDE5" w14:textId="77777777" w:rsidR="00D77E56" w:rsidRDefault="00000000">
      <w:pPr>
        <w:pStyle w:val="Heading2"/>
      </w:pPr>
      <w:r>
        <w:t>Step 5. Build a bibliography</w:t>
      </w:r>
    </w:p>
    <w:p w14:paraId="1382D9BA" w14:textId="38AB1845" w:rsidR="00D77E56" w:rsidRDefault="00000000">
      <w:r>
        <w:t>Combine library databases, collected papers, and AI-assisted discovery. Check against Maynooth Harvard referencing requirements.</w:t>
      </w:r>
      <w:r w:rsidR="00D64CF6">
        <w:t xml:space="preserve"> Use connected-papers, </w:t>
      </w:r>
      <w:proofErr w:type="spellStart"/>
      <w:r w:rsidR="00D64CF6">
        <w:t>inciteful.xyz</w:t>
      </w:r>
      <w:proofErr w:type="spellEnd"/>
      <w:r w:rsidR="00D64CF6">
        <w:t xml:space="preserve"> and research rabbit.</w:t>
      </w:r>
    </w:p>
    <w:p w14:paraId="1DE77EC0" w14:textId="77777777" w:rsidR="00D77E56" w:rsidRDefault="00000000">
      <w:pPr>
        <w:pStyle w:val="Heading2"/>
      </w:pPr>
      <w:r>
        <w:t>Step 6. Download the papers</w:t>
      </w:r>
    </w:p>
    <w:p w14:paraId="54F65ED8" w14:textId="77777777" w:rsidR="00D77E56" w:rsidRDefault="00000000">
      <w:r>
        <w:t>Store in a structured folder system. Maintain a reference management database for citations.</w:t>
      </w:r>
    </w:p>
    <w:p w14:paraId="0AA16F2C" w14:textId="77777777" w:rsidR="00D77E56" w:rsidRDefault="00000000">
      <w:pPr>
        <w:pStyle w:val="Heading2"/>
      </w:pPr>
      <w:r>
        <w:t>Step 7. Use AI to analyse each paper in DIMER format</w:t>
      </w:r>
    </w:p>
    <w:p w14:paraId="6E329145" w14:textId="77777777" w:rsidR="00D77E56" w:rsidRDefault="00000000">
      <w:r>
        <w:t>For each source: Describe, Interpret, Methodology, Evaluate, (Autho)R. End with Limit → Implication.</w:t>
      </w:r>
    </w:p>
    <w:p w14:paraId="24FBFD4D" w14:textId="77777777" w:rsidR="00D77E56" w:rsidRDefault="00000000">
      <w:pPr>
        <w:pStyle w:val="Heading2"/>
      </w:pPr>
      <w:r>
        <w:t>Step 8. Extract into presentation format + DIMER</w:t>
      </w:r>
    </w:p>
    <w:p w14:paraId="723148EA" w14:textId="77777777" w:rsidR="00D77E56" w:rsidRDefault="00000000">
      <w:r>
        <w:t>For each finding, log where it fits in the presentation. Keep an Evidence &amp; Implication Log.</w:t>
      </w:r>
    </w:p>
    <w:p w14:paraId="67C71FF5" w14:textId="77777777" w:rsidR="00D77E56" w:rsidRDefault="00000000">
      <w:pPr>
        <w:pStyle w:val="Heading2"/>
      </w:pPr>
      <w:r>
        <w:t>Step 9. Extract quotations and citations</w:t>
      </w:r>
    </w:p>
    <w:p w14:paraId="5D21EA05" w14:textId="77777777" w:rsidR="00D77E56" w:rsidRDefault="00000000">
      <w:r>
        <w:t>Collect direct quotes with page numbers. Tag each quote to the slide/section it supports.</w:t>
      </w:r>
    </w:p>
    <w:p w14:paraId="791BB0DB" w14:textId="77777777" w:rsidR="00D77E56" w:rsidRDefault="00000000">
      <w:pPr>
        <w:pStyle w:val="Heading2"/>
      </w:pPr>
      <w:r>
        <w:t>Step 10. Maintain a single consolidated file</w:t>
      </w:r>
    </w:p>
    <w:p w14:paraId="365CC91B" w14:textId="77777777" w:rsidR="00D77E56" w:rsidRDefault="00000000">
      <w:r>
        <w:t>File contains all extracted info structured in DIMER format. This becomes the master dataset to draft slides and notes.</w:t>
      </w:r>
    </w:p>
    <w:p w14:paraId="6CC11B48" w14:textId="77777777" w:rsidR="008673F9" w:rsidRDefault="00D64CF6">
      <w:r>
        <w:t>Ensure that AI is constantly reviewing for a critical perspective. Analytical and not descriptive.</w:t>
      </w:r>
    </w:p>
    <w:p w14:paraId="1203A139" w14:textId="77777777" w:rsidR="008673F9" w:rsidRDefault="008673F9"/>
    <w:p w14:paraId="60435AA8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Distinction Levers (68% → 72%+)</w:t>
      </w:r>
    </w:p>
    <w:p w14:paraId="12F9B906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1. Frame the Argument Early and Clearly</w:t>
      </w:r>
    </w:p>
    <w:p w14:paraId="113BD46E" w14:textId="77777777" w:rsidR="008673F9" w:rsidRPr="008673F9" w:rsidRDefault="008673F9" w:rsidP="008673F9">
      <w:pPr>
        <w:numPr>
          <w:ilvl w:val="0"/>
          <w:numId w:val="10"/>
        </w:numPr>
        <w:rPr>
          <w:lang w:val="en-IE"/>
        </w:rPr>
      </w:pPr>
      <w:r w:rsidRPr="008673F9">
        <w:rPr>
          <w:lang w:val="en-IE"/>
        </w:rPr>
        <w:t>Open with a precise research question and your answer in one line.</w:t>
      </w:r>
    </w:p>
    <w:p w14:paraId="3F512ABF" w14:textId="77777777" w:rsidR="008673F9" w:rsidRPr="008673F9" w:rsidRDefault="008673F9" w:rsidP="008673F9">
      <w:pPr>
        <w:numPr>
          <w:ilvl w:val="0"/>
          <w:numId w:val="10"/>
        </w:numPr>
        <w:rPr>
          <w:lang w:val="en-IE"/>
        </w:rPr>
      </w:pPr>
      <w:r w:rsidRPr="008673F9">
        <w:rPr>
          <w:lang w:val="en-IE"/>
        </w:rPr>
        <w:t xml:space="preserve">Example: </w:t>
      </w:r>
      <w:r w:rsidRPr="008673F9">
        <w:rPr>
          <w:i/>
          <w:iCs/>
          <w:lang w:val="en-IE"/>
        </w:rPr>
        <w:t>“This essay argues that small states can influence outcomes conditionally, when niche expertise aligns with institutional demand.”</w:t>
      </w:r>
    </w:p>
    <w:p w14:paraId="27E1B05D" w14:textId="77777777" w:rsidR="008673F9" w:rsidRPr="008673F9" w:rsidRDefault="008673F9" w:rsidP="008673F9">
      <w:pPr>
        <w:numPr>
          <w:ilvl w:val="0"/>
          <w:numId w:val="10"/>
        </w:numPr>
        <w:rPr>
          <w:lang w:val="en-IE"/>
        </w:rPr>
      </w:pPr>
      <w:r w:rsidRPr="008673F9">
        <w:rPr>
          <w:lang w:val="en-IE"/>
        </w:rPr>
        <w:t>Examiners reward clarity of stance more than density of sources.</w:t>
      </w:r>
    </w:p>
    <w:p w14:paraId="1837A47F" w14:textId="77777777" w:rsidR="008673F9" w:rsidRPr="008673F9" w:rsidRDefault="008673F9" w:rsidP="008673F9">
      <w:pPr>
        <w:rPr>
          <w:lang w:val="en-IE"/>
        </w:rPr>
      </w:pPr>
      <w:r w:rsidRPr="008673F9">
        <w:rPr>
          <w:lang w:val="en-IE"/>
        </w:rPr>
        <w:pict w14:anchorId="1F8A51AF">
          <v:rect id="_x0000_i1067" style="width:0;height:1.5pt" o:hralign="center" o:hrstd="t" o:hr="t" fillcolor="#a0a0a0" stroked="f"/>
        </w:pict>
      </w:r>
    </w:p>
    <w:p w14:paraId="29AE6545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2. Prioritise Critical Synthesis over Description</w:t>
      </w:r>
    </w:p>
    <w:p w14:paraId="226FC655" w14:textId="77777777" w:rsidR="008673F9" w:rsidRPr="008673F9" w:rsidRDefault="008673F9" w:rsidP="008673F9">
      <w:pPr>
        <w:numPr>
          <w:ilvl w:val="0"/>
          <w:numId w:val="11"/>
        </w:numPr>
        <w:rPr>
          <w:lang w:val="en-IE"/>
        </w:rPr>
      </w:pPr>
      <w:r w:rsidRPr="008673F9">
        <w:rPr>
          <w:lang w:val="en-IE"/>
        </w:rPr>
        <w:t>Don’t just say “Bachmann argues X, Bennett argues Y.”</w:t>
      </w:r>
    </w:p>
    <w:p w14:paraId="3518828C" w14:textId="77777777" w:rsidR="008673F9" w:rsidRPr="008673F9" w:rsidRDefault="008673F9" w:rsidP="008673F9">
      <w:pPr>
        <w:numPr>
          <w:ilvl w:val="0"/>
          <w:numId w:val="11"/>
        </w:numPr>
        <w:rPr>
          <w:lang w:val="en-IE"/>
        </w:rPr>
      </w:pPr>
      <w:r w:rsidRPr="008673F9">
        <w:rPr>
          <w:lang w:val="en-IE"/>
        </w:rPr>
        <w:t xml:space="preserve">Say: </w:t>
      </w:r>
      <w:r w:rsidRPr="008673F9">
        <w:rPr>
          <w:i/>
          <w:iCs/>
          <w:lang w:val="en-IE"/>
        </w:rPr>
        <w:t>“Bachmann overstates disinformation’s impact; Bennett shows institutional decline is deeper. For the Defence Forces, Bennett’s reading is more persuasive because…”</w:t>
      </w:r>
    </w:p>
    <w:p w14:paraId="0854FC45" w14:textId="77777777" w:rsidR="008673F9" w:rsidRPr="008673F9" w:rsidRDefault="008673F9" w:rsidP="008673F9">
      <w:pPr>
        <w:numPr>
          <w:ilvl w:val="0"/>
          <w:numId w:val="11"/>
        </w:numPr>
        <w:rPr>
          <w:lang w:val="en-IE"/>
        </w:rPr>
      </w:pPr>
      <w:r w:rsidRPr="008673F9">
        <w:rPr>
          <w:lang w:val="en-IE"/>
        </w:rPr>
        <w:t xml:space="preserve">That </w:t>
      </w:r>
      <w:r w:rsidRPr="008673F9">
        <w:rPr>
          <w:i/>
          <w:iCs/>
          <w:lang w:val="en-IE"/>
        </w:rPr>
        <w:t>weighing</w:t>
      </w:r>
      <w:r w:rsidRPr="008673F9">
        <w:rPr>
          <w:lang w:val="en-IE"/>
        </w:rPr>
        <w:t xml:space="preserve"> is what examiners scan for.</w:t>
      </w:r>
    </w:p>
    <w:p w14:paraId="3F5E9A84" w14:textId="77777777" w:rsidR="008673F9" w:rsidRPr="008673F9" w:rsidRDefault="008673F9" w:rsidP="008673F9">
      <w:pPr>
        <w:rPr>
          <w:lang w:val="en-IE"/>
        </w:rPr>
      </w:pPr>
      <w:r w:rsidRPr="008673F9">
        <w:rPr>
          <w:lang w:val="en-IE"/>
        </w:rPr>
        <w:pict w14:anchorId="186C74CD">
          <v:rect id="_x0000_i1068" style="width:0;height:1.5pt" o:hralign="center" o:hrstd="t" o:hr="t" fillcolor="#a0a0a0" stroked="f"/>
        </w:pict>
      </w:r>
    </w:p>
    <w:p w14:paraId="2B5A7D51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3. Limit → Implication Discipline</w:t>
      </w:r>
    </w:p>
    <w:p w14:paraId="49864B37" w14:textId="77777777" w:rsidR="008673F9" w:rsidRPr="008673F9" w:rsidRDefault="008673F9" w:rsidP="008673F9">
      <w:pPr>
        <w:numPr>
          <w:ilvl w:val="0"/>
          <w:numId w:val="12"/>
        </w:numPr>
        <w:rPr>
          <w:lang w:val="en-IE"/>
        </w:rPr>
      </w:pPr>
      <w:r w:rsidRPr="008673F9">
        <w:rPr>
          <w:lang w:val="en-IE"/>
        </w:rPr>
        <w:t>Every section should end with:</w:t>
      </w:r>
    </w:p>
    <w:p w14:paraId="40005F10" w14:textId="77777777" w:rsidR="008673F9" w:rsidRPr="008673F9" w:rsidRDefault="008673F9" w:rsidP="008673F9">
      <w:pPr>
        <w:numPr>
          <w:ilvl w:val="1"/>
          <w:numId w:val="12"/>
        </w:numPr>
        <w:rPr>
          <w:lang w:val="en-IE"/>
        </w:rPr>
      </w:pPr>
      <w:r w:rsidRPr="008673F9">
        <w:rPr>
          <w:i/>
          <w:iCs/>
          <w:lang w:val="en-IE"/>
        </w:rPr>
        <w:t>Limit</w:t>
      </w:r>
      <w:r w:rsidRPr="008673F9">
        <w:rPr>
          <w:lang w:val="en-IE"/>
        </w:rPr>
        <w:t>: one clear boundary (“Bachmann’s data is Ukraine-focused only”).</w:t>
      </w:r>
    </w:p>
    <w:p w14:paraId="694BB9BC" w14:textId="77777777" w:rsidR="008673F9" w:rsidRPr="008673F9" w:rsidRDefault="008673F9" w:rsidP="008673F9">
      <w:pPr>
        <w:numPr>
          <w:ilvl w:val="1"/>
          <w:numId w:val="12"/>
        </w:numPr>
        <w:rPr>
          <w:lang w:val="en-IE"/>
        </w:rPr>
      </w:pPr>
      <w:r w:rsidRPr="008673F9">
        <w:rPr>
          <w:i/>
          <w:iCs/>
          <w:lang w:val="en-IE"/>
        </w:rPr>
        <w:t>Implication</w:t>
      </w:r>
      <w:r w:rsidRPr="008673F9">
        <w:rPr>
          <w:lang w:val="en-IE"/>
        </w:rPr>
        <w:t>: one DF consequence (“Implication: Ireland must adapt cautiously, given neutrality constraints”).</w:t>
      </w:r>
    </w:p>
    <w:p w14:paraId="192141BB" w14:textId="77777777" w:rsidR="008673F9" w:rsidRPr="008673F9" w:rsidRDefault="008673F9" w:rsidP="008673F9">
      <w:pPr>
        <w:numPr>
          <w:ilvl w:val="0"/>
          <w:numId w:val="12"/>
        </w:numPr>
        <w:rPr>
          <w:lang w:val="en-IE"/>
        </w:rPr>
      </w:pPr>
      <w:r w:rsidRPr="008673F9">
        <w:rPr>
          <w:lang w:val="en-IE"/>
        </w:rPr>
        <w:t>This is examiner catnip: it proves you are reflective, not just descriptive.</w:t>
      </w:r>
    </w:p>
    <w:p w14:paraId="2BE37402" w14:textId="77777777" w:rsidR="008673F9" w:rsidRPr="008673F9" w:rsidRDefault="008673F9" w:rsidP="008673F9">
      <w:pPr>
        <w:rPr>
          <w:lang w:val="en-IE"/>
        </w:rPr>
      </w:pPr>
      <w:r w:rsidRPr="008673F9">
        <w:rPr>
          <w:lang w:val="en-IE"/>
        </w:rPr>
        <w:pict w14:anchorId="13C9A83A">
          <v:rect id="_x0000_i1069" style="width:0;height:1.5pt" o:hralign="center" o:hrstd="t" o:hr="t" fillcolor="#a0a0a0" stroked="f"/>
        </w:pict>
      </w:r>
    </w:p>
    <w:p w14:paraId="4FE638BB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4. Anchor Every Claim in the Defence Forces</w:t>
      </w:r>
    </w:p>
    <w:p w14:paraId="4E1B4D20" w14:textId="77777777" w:rsidR="008673F9" w:rsidRPr="008673F9" w:rsidRDefault="008673F9" w:rsidP="008673F9">
      <w:pPr>
        <w:numPr>
          <w:ilvl w:val="0"/>
          <w:numId w:val="13"/>
        </w:numPr>
        <w:rPr>
          <w:lang w:val="en-IE"/>
        </w:rPr>
      </w:pPr>
      <w:r w:rsidRPr="008673F9">
        <w:rPr>
          <w:lang w:val="en-IE"/>
        </w:rPr>
        <w:t>Even when discussing Clausewitz or RMA theory, always land on DF application.</w:t>
      </w:r>
    </w:p>
    <w:p w14:paraId="086AB3BF" w14:textId="77777777" w:rsidR="008673F9" w:rsidRPr="008673F9" w:rsidRDefault="008673F9" w:rsidP="008673F9">
      <w:pPr>
        <w:numPr>
          <w:ilvl w:val="0"/>
          <w:numId w:val="13"/>
        </w:numPr>
        <w:rPr>
          <w:lang w:val="en-IE"/>
        </w:rPr>
      </w:pPr>
      <w:r w:rsidRPr="008673F9">
        <w:rPr>
          <w:lang w:val="en-IE"/>
        </w:rPr>
        <w:t xml:space="preserve">Example: </w:t>
      </w:r>
      <w:r w:rsidRPr="008673F9">
        <w:rPr>
          <w:i/>
          <w:iCs/>
          <w:lang w:val="en-IE"/>
        </w:rPr>
        <w:t>“Metz’s claim that revolutions are social as well as technical matters. Limit: US-centric. Implication: DF must consider cultural resistance as much as drones themselves.”</w:t>
      </w:r>
    </w:p>
    <w:p w14:paraId="007E682E" w14:textId="77777777" w:rsidR="008673F9" w:rsidRPr="008673F9" w:rsidRDefault="008673F9" w:rsidP="008673F9">
      <w:pPr>
        <w:numPr>
          <w:ilvl w:val="0"/>
          <w:numId w:val="13"/>
        </w:numPr>
        <w:rPr>
          <w:lang w:val="en-IE"/>
        </w:rPr>
      </w:pPr>
      <w:r w:rsidRPr="008673F9">
        <w:rPr>
          <w:lang w:val="en-IE"/>
        </w:rPr>
        <w:t>Examiners want Ireland made relevant in every paragraph.</w:t>
      </w:r>
    </w:p>
    <w:p w14:paraId="0C6F4C42" w14:textId="77777777" w:rsidR="008673F9" w:rsidRPr="008673F9" w:rsidRDefault="008673F9" w:rsidP="008673F9">
      <w:pPr>
        <w:rPr>
          <w:lang w:val="en-IE"/>
        </w:rPr>
      </w:pPr>
      <w:r w:rsidRPr="008673F9">
        <w:rPr>
          <w:lang w:val="en-IE"/>
        </w:rPr>
        <w:lastRenderedPageBreak/>
        <w:pict w14:anchorId="3A47850C">
          <v:rect id="_x0000_i1070" style="width:0;height:1.5pt" o:hralign="center" o:hrstd="t" o:hr="t" fillcolor="#a0a0a0" stroked="f"/>
        </w:pict>
      </w:r>
    </w:p>
    <w:p w14:paraId="24CD4583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5. Balance Optimist vs Sceptic Voices</w:t>
      </w:r>
    </w:p>
    <w:p w14:paraId="71F08725" w14:textId="77777777" w:rsidR="008673F9" w:rsidRPr="008673F9" w:rsidRDefault="008673F9" w:rsidP="008673F9">
      <w:pPr>
        <w:numPr>
          <w:ilvl w:val="0"/>
          <w:numId w:val="14"/>
        </w:numPr>
        <w:rPr>
          <w:lang w:val="en-IE"/>
        </w:rPr>
      </w:pPr>
      <w:r w:rsidRPr="008673F9">
        <w:rPr>
          <w:lang w:val="en-IE"/>
        </w:rPr>
        <w:t>Always show at least two sides, then position yourself.</w:t>
      </w:r>
    </w:p>
    <w:p w14:paraId="337D82C0" w14:textId="77777777" w:rsidR="008673F9" w:rsidRPr="008673F9" w:rsidRDefault="008673F9" w:rsidP="008673F9">
      <w:pPr>
        <w:numPr>
          <w:ilvl w:val="0"/>
          <w:numId w:val="14"/>
        </w:numPr>
        <w:rPr>
          <w:lang w:val="en-IE"/>
        </w:rPr>
      </w:pPr>
      <w:r w:rsidRPr="008673F9">
        <w:rPr>
          <w:lang w:val="en-IE"/>
        </w:rPr>
        <w:t xml:space="preserve">E.g. </w:t>
      </w:r>
      <w:r w:rsidRPr="008673F9">
        <w:rPr>
          <w:i/>
          <w:iCs/>
          <w:lang w:val="en-IE"/>
        </w:rPr>
        <w:t xml:space="preserve">“Krepinevich’s optimism clashes with Betts’ caution. By contrast, </w:t>
      </w:r>
      <w:proofErr w:type="spellStart"/>
      <w:r w:rsidRPr="008673F9">
        <w:rPr>
          <w:i/>
          <w:iCs/>
          <w:lang w:val="en-IE"/>
        </w:rPr>
        <w:t>Alach</w:t>
      </w:r>
      <w:proofErr w:type="spellEnd"/>
      <w:r w:rsidRPr="008673F9">
        <w:rPr>
          <w:i/>
          <w:iCs/>
          <w:lang w:val="en-IE"/>
        </w:rPr>
        <w:t xml:space="preserve"> bridges both. Taken together, this suggests…”</w:t>
      </w:r>
    </w:p>
    <w:p w14:paraId="710DDBFC" w14:textId="77777777" w:rsidR="008673F9" w:rsidRPr="008673F9" w:rsidRDefault="008673F9" w:rsidP="008673F9">
      <w:pPr>
        <w:numPr>
          <w:ilvl w:val="0"/>
          <w:numId w:val="14"/>
        </w:numPr>
        <w:rPr>
          <w:lang w:val="en-IE"/>
        </w:rPr>
      </w:pPr>
      <w:r w:rsidRPr="008673F9">
        <w:rPr>
          <w:lang w:val="en-IE"/>
        </w:rPr>
        <w:t>Critical contrasts signal higher-level analysis.</w:t>
      </w:r>
    </w:p>
    <w:p w14:paraId="3BBD4364" w14:textId="77777777" w:rsidR="008673F9" w:rsidRPr="008673F9" w:rsidRDefault="008673F9" w:rsidP="008673F9">
      <w:pPr>
        <w:rPr>
          <w:lang w:val="en-IE"/>
        </w:rPr>
      </w:pPr>
      <w:r w:rsidRPr="008673F9">
        <w:rPr>
          <w:lang w:val="en-IE"/>
        </w:rPr>
        <w:pict w14:anchorId="64C7FE3D">
          <v:rect id="_x0000_i1071" style="width:0;height:1.5pt" o:hralign="center" o:hrstd="t" o:hr="t" fillcolor="#a0a0a0" stroked="f"/>
        </w:pict>
      </w:r>
    </w:p>
    <w:p w14:paraId="66CF1C15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6. Deliver Novel Synthesis</w:t>
      </w:r>
    </w:p>
    <w:p w14:paraId="327539C8" w14:textId="77777777" w:rsidR="008673F9" w:rsidRPr="008673F9" w:rsidRDefault="008673F9" w:rsidP="008673F9">
      <w:pPr>
        <w:numPr>
          <w:ilvl w:val="0"/>
          <w:numId w:val="15"/>
        </w:numPr>
        <w:rPr>
          <w:lang w:val="en-IE"/>
        </w:rPr>
      </w:pPr>
      <w:r w:rsidRPr="008673F9">
        <w:rPr>
          <w:lang w:val="en-IE"/>
        </w:rPr>
        <w:t>Push one fresh link beyond what sources say.</w:t>
      </w:r>
    </w:p>
    <w:p w14:paraId="56367390" w14:textId="77777777" w:rsidR="008673F9" w:rsidRPr="008673F9" w:rsidRDefault="008673F9" w:rsidP="008673F9">
      <w:pPr>
        <w:numPr>
          <w:ilvl w:val="0"/>
          <w:numId w:val="15"/>
        </w:numPr>
        <w:rPr>
          <w:lang w:val="en-IE"/>
        </w:rPr>
      </w:pPr>
      <w:r w:rsidRPr="008673F9">
        <w:rPr>
          <w:lang w:val="en-IE"/>
        </w:rPr>
        <w:t xml:space="preserve">E.g. </w:t>
      </w:r>
      <w:r w:rsidRPr="008673F9">
        <w:rPr>
          <w:i/>
          <w:iCs/>
          <w:lang w:val="en-IE"/>
        </w:rPr>
        <w:t>“Mission command and strategic communication both hinge on candour under uncertainty. This parallel suggests a common doctrinal challenge for the DF.”</w:t>
      </w:r>
    </w:p>
    <w:p w14:paraId="01FC4737" w14:textId="77777777" w:rsidR="008673F9" w:rsidRPr="008673F9" w:rsidRDefault="008673F9" w:rsidP="008673F9">
      <w:pPr>
        <w:numPr>
          <w:ilvl w:val="0"/>
          <w:numId w:val="15"/>
        </w:numPr>
        <w:rPr>
          <w:lang w:val="en-IE"/>
        </w:rPr>
      </w:pPr>
      <w:r w:rsidRPr="008673F9">
        <w:rPr>
          <w:lang w:val="en-IE"/>
        </w:rPr>
        <w:t>Even one or two such insights can push an essay into the 70s.</w:t>
      </w:r>
    </w:p>
    <w:p w14:paraId="4644ABAC" w14:textId="77777777" w:rsidR="008673F9" w:rsidRPr="008673F9" w:rsidRDefault="008673F9" w:rsidP="008673F9">
      <w:pPr>
        <w:rPr>
          <w:lang w:val="en-IE"/>
        </w:rPr>
      </w:pPr>
      <w:r w:rsidRPr="008673F9">
        <w:rPr>
          <w:lang w:val="en-IE"/>
        </w:rPr>
        <w:pict w14:anchorId="6771650A">
          <v:rect id="_x0000_i1072" style="width:0;height:1.5pt" o:hralign="center" o:hrstd="t" o:hr="t" fillcolor="#a0a0a0" stroked="f"/>
        </w:pict>
      </w:r>
    </w:p>
    <w:p w14:paraId="537AC325" w14:textId="77777777" w:rsidR="008673F9" w:rsidRPr="008673F9" w:rsidRDefault="008673F9" w:rsidP="008673F9">
      <w:pPr>
        <w:rPr>
          <w:b/>
          <w:bCs/>
          <w:lang w:val="en-IE"/>
        </w:rPr>
      </w:pPr>
      <w:r w:rsidRPr="008673F9">
        <w:rPr>
          <w:b/>
          <w:bCs/>
          <w:lang w:val="en-IE"/>
        </w:rPr>
        <w:t>7. Slide/Essay Economy</w:t>
      </w:r>
    </w:p>
    <w:p w14:paraId="279D553C" w14:textId="77777777" w:rsidR="008673F9" w:rsidRPr="008673F9" w:rsidRDefault="008673F9" w:rsidP="008673F9">
      <w:pPr>
        <w:numPr>
          <w:ilvl w:val="0"/>
          <w:numId w:val="16"/>
        </w:numPr>
        <w:rPr>
          <w:lang w:val="en-IE"/>
        </w:rPr>
      </w:pPr>
      <w:r w:rsidRPr="008673F9">
        <w:rPr>
          <w:lang w:val="en-IE"/>
        </w:rPr>
        <w:t>In presentations: one big claim per slide.</w:t>
      </w:r>
    </w:p>
    <w:p w14:paraId="59DB9CC3" w14:textId="77777777" w:rsidR="008673F9" w:rsidRPr="008673F9" w:rsidRDefault="008673F9" w:rsidP="008673F9">
      <w:pPr>
        <w:numPr>
          <w:ilvl w:val="0"/>
          <w:numId w:val="16"/>
        </w:numPr>
        <w:rPr>
          <w:lang w:val="en-IE"/>
        </w:rPr>
      </w:pPr>
      <w:r w:rsidRPr="008673F9">
        <w:rPr>
          <w:lang w:val="en-IE"/>
        </w:rPr>
        <w:t>In essays: one claim per paragraph. Avoid stacking.</w:t>
      </w:r>
    </w:p>
    <w:p w14:paraId="5919C6FF" w14:textId="77777777" w:rsidR="008673F9" w:rsidRPr="008673F9" w:rsidRDefault="008673F9" w:rsidP="008673F9">
      <w:pPr>
        <w:numPr>
          <w:ilvl w:val="0"/>
          <w:numId w:val="16"/>
        </w:numPr>
        <w:rPr>
          <w:lang w:val="en-IE"/>
        </w:rPr>
      </w:pPr>
      <w:r w:rsidRPr="008673F9">
        <w:rPr>
          <w:lang w:val="en-IE"/>
        </w:rPr>
        <w:t>Dense work reads as descriptive; lean, prioritised work reads as analytical.</w:t>
      </w:r>
    </w:p>
    <w:p w14:paraId="4CF3FC87" w14:textId="77777777" w:rsidR="008673F9" w:rsidRPr="008673F9" w:rsidRDefault="008673F9" w:rsidP="008673F9">
      <w:pPr>
        <w:rPr>
          <w:lang w:val="en-IE"/>
        </w:rPr>
      </w:pPr>
      <w:r w:rsidRPr="008673F9">
        <w:rPr>
          <w:lang w:val="en-IE"/>
        </w:rPr>
        <w:pict w14:anchorId="043E2CA5">
          <v:rect id="_x0000_i1073" style="width:0;height:1.5pt" o:hralign="center" o:hrstd="t" o:hr="t" fillcolor="#a0a0a0" stroked="f"/>
        </w:pict>
      </w:r>
    </w:p>
    <w:p w14:paraId="472BA35B" w14:textId="77777777" w:rsidR="008673F9" w:rsidRPr="008673F9" w:rsidRDefault="008673F9" w:rsidP="008673F9">
      <w:pPr>
        <w:rPr>
          <w:lang w:val="en-IE"/>
        </w:rPr>
      </w:pPr>
      <w:r w:rsidRPr="008673F9">
        <w:rPr>
          <w:rFonts w:ascii="Segoe UI Emoji" w:hAnsi="Segoe UI Emoji" w:cs="Segoe UI Emoji"/>
          <w:lang w:val="en-IE"/>
        </w:rPr>
        <w:t>✅</w:t>
      </w:r>
      <w:r w:rsidRPr="008673F9">
        <w:rPr>
          <w:lang w:val="en-IE"/>
        </w:rPr>
        <w:t xml:space="preserve"> </w:t>
      </w:r>
      <w:r w:rsidRPr="008673F9">
        <w:rPr>
          <w:b/>
          <w:bCs/>
          <w:lang w:val="en-IE"/>
        </w:rPr>
        <w:t>Rule of Thumb:</w:t>
      </w:r>
      <w:r w:rsidRPr="008673F9">
        <w:rPr>
          <w:lang w:val="en-IE"/>
        </w:rPr>
        <w:t xml:space="preserve"> </w:t>
      </w:r>
      <w:r w:rsidRPr="008673F9">
        <w:rPr>
          <w:i/>
          <w:iCs/>
          <w:lang w:val="en-IE"/>
        </w:rPr>
        <w:t>Every time you add evidence, ask: Am I weighing it, limiting it, and tying it back to DF?</w:t>
      </w:r>
      <w:r w:rsidRPr="008673F9">
        <w:rPr>
          <w:lang w:val="en-IE"/>
        </w:rPr>
        <w:t xml:space="preserve"> If not, cut or reframe.</w:t>
      </w:r>
    </w:p>
    <w:p w14:paraId="1C174EF4" w14:textId="47408A3A" w:rsidR="00D64CF6" w:rsidRDefault="00D64CF6">
      <w:r>
        <w:t xml:space="preserve"> </w:t>
      </w:r>
    </w:p>
    <w:sectPr w:rsidR="00D64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105A74"/>
    <w:multiLevelType w:val="multilevel"/>
    <w:tmpl w:val="B668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72C73"/>
    <w:multiLevelType w:val="multilevel"/>
    <w:tmpl w:val="CE8C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03B2D"/>
    <w:multiLevelType w:val="multilevel"/>
    <w:tmpl w:val="DA5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1303C"/>
    <w:multiLevelType w:val="multilevel"/>
    <w:tmpl w:val="3DFA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B3060"/>
    <w:multiLevelType w:val="multilevel"/>
    <w:tmpl w:val="20C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25298"/>
    <w:multiLevelType w:val="multilevel"/>
    <w:tmpl w:val="A22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16E4B"/>
    <w:multiLevelType w:val="multilevel"/>
    <w:tmpl w:val="0C2E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469669">
    <w:abstractNumId w:val="8"/>
  </w:num>
  <w:num w:numId="2" w16cid:durableId="381248457">
    <w:abstractNumId w:val="6"/>
  </w:num>
  <w:num w:numId="3" w16cid:durableId="2134207636">
    <w:abstractNumId w:val="5"/>
  </w:num>
  <w:num w:numId="4" w16cid:durableId="1678733449">
    <w:abstractNumId w:val="4"/>
  </w:num>
  <w:num w:numId="5" w16cid:durableId="118964335">
    <w:abstractNumId w:val="7"/>
  </w:num>
  <w:num w:numId="6" w16cid:durableId="1685748095">
    <w:abstractNumId w:val="3"/>
  </w:num>
  <w:num w:numId="7" w16cid:durableId="1448308642">
    <w:abstractNumId w:val="2"/>
  </w:num>
  <w:num w:numId="8" w16cid:durableId="609238303">
    <w:abstractNumId w:val="1"/>
  </w:num>
  <w:num w:numId="9" w16cid:durableId="1005131461">
    <w:abstractNumId w:val="0"/>
  </w:num>
  <w:num w:numId="10" w16cid:durableId="936717166">
    <w:abstractNumId w:val="10"/>
  </w:num>
  <w:num w:numId="11" w16cid:durableId="37630445">
    <w:abstractNumId w:val="12"/>
  </w:num>
  <w:num w:numId="12" w16cid:durableId="44528535">
    <w:abstractNumId w:val="9"/>
  </w:num>
  <w:num w:numId="13" w16cid:durableId="1632398325">
    <w:abstractNumId w:val="11"/>
  </w:num>
  <w:num w:numId="14" w16cid:durableId="850069754">
    <w:abstractNumId w:val="13"/>
  </w:num>
  <w:num w:numId="15" w16cid:durableId="1215239895">
    <w:abstractNumId w:val="15"/>
  </w:num>
  <w:num w:numId="16" w16cid:durableId="14957549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71"/>
    <w:rsid w:val="0015074B"/>
    <w:rsid w:val="001922EA"/>
    <w:rsid w:val="0029639D"/>
    <w:rsid w:val="00326F90"/>
    <w:rsid w:val="008673F9"/>
    <w:rsid w:val="00AA1D8D"/>
    <w:rsid w:val="00B47730"/>
    <w:rsid w:val="00CB0664"/>
    <w:rsid w:val="00D64CF6"/>
    <w:rsid w:val="00D77E56"/>
    <w:rsid w:val="00FB0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2B643"/>
  <w14:defaultImageDpi w14:val="300"/>
  <w15:docId w15:val="{DD19B9DD-4A04-47B4-85F4-C5535525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4</cp:revision>
  <dcterms:created xsi:type="dcterms:W3CDTF">2013-12-23T23:15:00Z</dcterms:created>
  <dcterms:modified xsi:type="dcterms:W3CDTF">2025-09-30T15:39:00Z</dcterms:modified>
  <cp:category/>
</cp:coreProperties>
</file>