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BA2AF" w14:textId="0B0138F8" w:rsidR="00720FBF" w:rsidRPr="00720FBF" w:rsidRDefault="00720FBF" w:rsidP="00720FBF">
      <w:pPr>
        <w:jc w:val="center"/>
        <w:rPr>
          <w:b/>
          <w:bCs/>
          <w:u w:val="single"/>
          <w:lang w:val="en-GB"/>
        </w:rPr>
      </w:pPr>
      <w:r w:rsidRPr="1E1AFD6C">
        <w:rPr>
          <w:b/>
          <w:bCs/>
          <w:u w:val="single"/>
          <w:lang w:val="en-GB"/>
        </w:rPr>
        <w:t>DSS PRESENTATION</w:t>
      </w:r>
    </w:p>
    <w:p w14:paraId="50817933" w14:textId="704A6841" w:rsidR="1E1AFD6C" w:rsidRDefault="1E1AFD6C" w:rsidP="1E1AFD6C">
      <w:pPr>
        <w:jc w:val="center"/>
        <w:rPr>
          <w:b/>
          <w:bCs/>
          <w:u w:val="single"/>
          <w:lang w:val="en-GB"/>
        </w:rPr>
      </w:pPr>
    </w:p>
    <w:p w14:paraId="6437EF7E" w14:textId="499F24EF" w:rsidR="21DA9030" w:rsidRDefault="21DA9030" w:rsidP="1E1AFD6C">
      <w:pPr>
        <w:rPr>
          <w:rFonts w:ascii="Times New Roman" w:eastAsia="Times New Roman" w:hAnsi="Times New Roman" w:cs="Times New Roman"/>
          <w:color w:val="000000" w:themeColor="text1"/>
          <w:lang w:val="en-GB"/>
        </w:rPr>
      </w:pPr>
      <w:r w:rsidRPr="1E1AFD6C">
        <w:rPr>
          <w:rFonts w:ascii="Times New Roman" w:eastAsia="Times New Roman" w:hAnsi="Times New Roman" w:cs="Times New Roman"/>
          <w:b/>
          <w:bCs/>
          <w:color w:val="000000" w:themeColor="text1"/>
        </w:rPr>
        <w:t>Presentation Title</w:t>
      </w:r>
    </w:p>
    <w:p w14:paraId="6DBB7D29" w14:textId="664508F7" w:rsidR="21DA9030" w:rsidRDefault="21DA9030" w:rsidP="1E1AFD6C">
      <w:pPr>
        <w:rPr>
          <w:rFonts w:ascii="Times New Roman" w:eastAsia="Times New Roman" w:hAnsi="Times New Roman" w:cs="Times New Roman"/>
          <w:i/>
          <w:iCs/>
          <w:color w:val="000000" w:themeColor="text1"/>
        </w:rPr>
      </w:pPr>
      <w:r w:rsidRPr="1E1AFD6C">
        <w:rPr>
          <w:rFonts w:ascii="Times New Roman" w:eastAsia="Times New Roman" w:hAnsi="Times New Roman" w:cs="Times New Roman"/>
          <w:i/>
          <w:iCs/>
          <w:color w:val="000000" w:themeColor="text1"/>
        </w:rPr>
        <w:t>Integrating the Military Instrument to Enhance Social Resilience</w:t>
      </w:r>
      <w:r w:rsidR="72A89159" w:rsidRPr="1E1AFD6C">
        <w:rPr>
          <w:rFonts w:ascii="Times New Roman" w:eastAsia="Times New Roman" w:hAnsi="Times New Roman" w:cs="Times New Roman"/>
          <w:i/>
          <w:iCs/>
          <w:color w:val="000000" w:themeColor="text1"/>
        </w:rPr>
        <w:t xml:space="preserve">. </w:t>
      </w:r>
    </w:p>
    <w:p w14:paraId="6E7609BB" w14:textId="52DD1158" w:rsidR="72A89159" w:rsidRDefault="72A89159" w:rsidP="1E1AFD6C">
      <w:pPr>
        <w:rPr>
          <w:rFonts w:ascii="Times New Roman" w:eastAsia="Times New Roman" w:hAnsi="Times New Roman" w:cs="Times New Roman"/>
          <w:color w:val="000000" w:themeColor="text1"/>
        </w:rPr>
      </w:pPr>
      <w:r w:rsidRPr="1E1AFD6C">
        <w:rPr>
          <w:rFonts w:ascii="Times New Roman" w:eastAsia="Times New Roman" w:hAnsi="Times New Roman" w:cs="Times New Roman"/>
          <w:color w:val="000000" w:themeColor="text1"/>
        </w:rPr>
        <w:t>Group should assess the utility and limitations of the military as an instrument of national power in addressing non traditional security threats</w:t>
      </w:r>
      <w:r w:rsidR="41318AFA" w:rsidRPr="1E1AFD6C">
        <w:rPr>
          <w:rFonts w:ascii="Times New Roman" w:eastAsia="Times New Roman" w:hAnsi="Times New Roman" w:cs="Times New Roman"/>
          <w:color w:val="000000" w:themeColor="text1"/>
        </w:rPr>
        <w:t xml:space="preserve"> in concert with other instruments available to states. </w:t>
      </w:r>
    </w:p>
    <w:p w14:paraId="532F5A40" w14:textId="1BE6F453" w:rsidR="41318AFA" w:rsidRDefault="41318AFA" w:rsidP="1E1AFD6C">
      <w:pPr>
        <w:rPr>
          <w:rFonts w:ascii="Times New Roman" w:eastAsia="Times New Roman" w:hAnsi="Times New Roman" w:cs="Times New Roman"/>
          <w:color w:val="000000" w:themeColor="text1"/>
        </w:rPr>
      </w:pPr>
      <w:r w:rsidRPr="1E1AFD6C">
        <w:rPr>
          <w:rFonts w:ascii="Times New Roman" w:eastAsia="Times New Roman" w:hAnsi="Times New Roman" w:cs="Times New Roman"/>
          <w:color w:val="000000" w:themeColor="text1"/>
        </w:rPr>
        <w:t>Draw on case studies to illustrate both successful and problematic applications.</w:t>
      </w:r>
    </w:p>
    <w:p w14:paraId="7883D5E2" w14:textId="60535096" w:rsidR="41318AFA" w:rsidRDefault="41318AFA" w:rsidP="1E1AFD6C">
      <w:pPr>
        <w:rPr>
          <w:rFonts w:ascii="Times New Roman" w:eastAsia="Times New Roman" w:hAnsi="Times New Roman" w:cs="Times New Roman"/>
          <w:color w:val="000000" w:themeColor="text1"/>
        </w:rPr>
      </w:pPr>
      <w:r w:rsidRPr="1E1AFD6C">
        <w:rPr>
          <w:rFonts w:ascii="Times New Roman" w:eastAsia="Times New Roman" w:hAnsi="Times New Roman" w:cs="Times New Roman"/>
          <w:color w:val="000000" w:themeColor="text1"/>
        </w:rPr>
        <w:t xml:space="preserve">Consider political, logistical, ethical and strategic factors. </w:t>
      </w:r>
    </w:p>
    <w:p w14:paraId="526B2BCB" w14:textId="74851623" w:rsidR="1E1AFD6C" w:rsidRDefault="1E1AFD6C" w:rsidP="1E1AFD6C">
      <w:pPr>
        <w:rPr>
          <w:rFonts w:ascii="Times New Roman" w:eastAsia="Times New Roman" w:hAnsi="Times New Roman" w:cs="Times New Roman"/>
          <w:color w:val="000000" w:themeColor="text1"/>
          <w:lang w:val="en-GB"/>
        </w:rPr>
      </w:pPr>
    </w:p>
    <w:p w14:paraId="4058DD22" w14:textId="3509B066" w:rsidR="03348EE8" w:rsidRDefault="03348EE8" w:rsidP="1E1AFD6C">
      <w:pPr>
        <w:rPr>
          <w:b/>
          <w:bCs/>
          <w:lang w:val="en-GB"/>
        </w:rPr>
      </w:pPr>
      <w:r w:rsidRPr="1E1AFD6C">
        <w:rPr>
          <w:b/>
          <w:bCs/>
          <w:lang w:val="en-GB"/>
        </w:rPr>
        <w:t xml:space="preserve">Questions component parts: </w:t>
      </w:r>
    </w:p>
    <w:p w14:paraId="52B9916D" w14:textId="1B1009D2" w:rsidR="03348EE8" w:rsidRDefault="03348EE8" w:rsidP="1E1AFD6C">
      <w:pPr>
        <w:pStyle w:val="ListParagraph"/>
        <w:numPr>
          <w:ilvl w:val="0"/>
          <w:numId w:val="5"/>
        </w:numPr>
        <w:rPr>
          <w:lang w:val="en-GB"/>
        </w:rPr>
      </w:pPr>
      <w:r w:rsidRPr="1E1AFD6C">
        <w:rPr>
          <w:lang w:val="en-GB"/>
        </w:rPr>
        <w:t>Military instrument of national power</w:t>
      </w:r>
    </w:p>
    <w:p w14:paraId="253DB829" w14:textId="5483A4E5" w:rsidR="03348EE8" w:rsidRDefault="03348EE8" w:rsidP="1E1AFD6C">
      <w:pPr>
        <w:pStyle w:val="ListParagraph"/>
        <w:numPr>
          <w:ilvl w:val="0"/>
          <w:numId w:val="5"/>
        </w:numPr>
        <w:rPr>
          <w:lang w:val="en-GB"/>
        </w:rPr>
      </w:pPr>
      <w:r w:rsidRPr="1E1AFD6C">
        <w:rPr>
          <w:lang w:val="en-GB"/>
        </w:rPr>
        <w:t>Other instruments of national power</w:t>
      </w:r>
    </w:p>
    <w:p w14:paraId="0977470B" w14:textId="550233A6" w:rsidR="03348EE8" w:rsidRDefault="03348EE8" w:rsidP="1E1AFD6C">
      <w:pPr>
        <w:pStyle w:val="ListParagraph"/>
        <w:numPr>
          <w:ilvl w:val="0"/>
          <w:numId w:val="5"/>
        </w:numPr>
        <w:rPr>
          <w:lang w:val="en-GB"/>
        </w:rPr>
      </w:pPr>
      <w:r w:rsidRPr="1E1AFD6C">
        <w:rPr>
          <w:lang w:val="en-GB"/>
        </w:rPr>
        <w:t>Societal resilience</w:t>
      </w:r>
    </w:p>
    <w:p w14:paraId="6198BA38" w14:textId="2937D5F3" w:rsidR="03348EE8" w:rsidRDefault="03348EE8" w:rsidP="1E1AFD6C">
      <w:pPr>
        <w:pStyle w:val="ListParagraph"/>
        <w:numPr>
          <w:ilvl w:val="0"/>
          <w:numId w:val="5"/>
        </w:numPr>
        <w:rPr>
          <w:lang w:val="en-GB"/>
        </w:rPr>
      </w:pPr>
      <w:r w:rsidRPr="1E1AFD6C">
        <w:rPr>
          <w:lang w:val="en-GB"/>
        </w:rPr>
        <w:t>Non traditional security threats</w:t>
      </w:r>
    </w:p>
    <w:p w14:paraId="154EB23E" w14:textId="4756602D" w:rsidR="2B203DAC" w:rsidRDefault="2B203DAC" w:rsidP="1E1AFD6C">
      <w:pPr>
        <w:pStyle w:val="ListParagraph"/>
        <w:numPr>
          <w:ilvl w:val="0"/>
          <w:numId w:val="5"/>
        </w:numPr>
        <w:rPr>
          <w:lang w:val="en-GB"/>
        </w:rPr>
      </w:pPr>
      <w:r w:rsidRPr="1E1AFD6C">
        <w:rPr>
          <w:lang w:val="en-GB"/>
        </w:rPr>
        <w:t>Political, logistical, ethical, strategic factors</w:t>
      </w:r>
    </w:p>
    <w:p w14:paraId="230E6CCF" w14:textId="445B030D" w:rsidR="2B203DAC" w:rsidRDefault="2B203DAC" w:rsidP="1E1AFD6C">
      <w:pPr>
        <w:pStyle w:val="ListParagraph"/>
        <w:numPr>
          <w:ilvl w:val="0"/>
          <w:numId w:val="5"/>
        </w:numPr>
        <w:rPr>
          <w:lang w:val="en-GB"/>
        </w:rPr>
      </w:pPr>
      <w:r w:rsidRPr="1E1AFD6C">
        <w:rPr>
          <w:lang w:val="en-GB"/>
        </w:rPr>
        <w:t>Applicable case study</w:t>
      </w:r>
    </w:p>
    <w:p w14:paraId="37862904" w14:textId="7D4DBF16" w:rsidR="1E1AFD6C" w:rsidRDefault="1E1AFD6C" w:rsidP="1E1AFD6C">
      <w:pPr>
        <w:rPr>
          <w:b/>
          <w:bCs/>
          <w:lang w:val="en-GB"/>
        </w:rPr>
      </w:pPr>
    </w:p>
    <w:p w14:paraId="4E168138" w14:textId="0C9C39CB" w:rsidR="133FBE75" w:rsidRDefault="133FBE75" w:rsidP="1E1AFD6C">
      <w:pPr>
        <w:rPr>
          <w:rFonts w:ascii="Aptos" w:eastAsia="Aptos" w:hAnsi="Aptos" w:cs="Aptos"/>
          <w:lang w:val="en-GB"/>
        </w:rPr>
      </w:pPr>
      <w:r w:rsidRPr="1E1AFD6C">
        <w:rPr>
          <w:rFonts w:ascii="Aptos" w:eastAsia="Aptos" w:hAnsi="Aptos" w:cs="Aptos"/>
          <w:b/>
          <w:bCs/>
          <w:lang w:val="en-GB"/>
        </w:rPr>
        <w:t>Military instrument</w:t>
      </w:r>
      <w:r w:rsidRPr="1E1AFD6C">
        <w:rPr>
          <w:rFonts w:ascii="Aptos" w:eastAsia="Aptos" w:hAnsi="Aptos" w:cs="Aptos"/>
          <w:lang w:val="en-GB"/>
        </w:rPr>
        <w:t xml:space="preserve"> refers to the means by which states (or comparable actors) employ organized, coercive force — or threaten its use — to achieve political objectives. </w:t>
      </w:r>
    </w:p>
    <w:p w14:paraId="6C51F227" w14:textId="1252C716" w:rsidR="133FBE75" w:rsidRDefault="133FBE75" w:rsidP="1E1AFD6C">
      <w:pPr>
        <w:pStyle w:val="ListParagraph"/>
        <w:numPr>
          <w:ilvl w:val="0"/>
          <w:numId w:val="7"/>
        </w:numPr>
        <w:rPr>
          <w:rFonts w:ascii="Aptos" w:eastAsia="Aptos" w:hAnsi="Aptos" w:cs="Aptos"/>
          <w:lang w:val="en-GB"/>
        </w:rPr>
      </w:pPr>
      <w:r w:rsidRPr="1E1AFD6C">
        <w:rPr>
          <w:rFonts w:ascii="Aptos" w:eastAsia="Aptos" w:hAnsi="Aptos" w:cs="Aptos"/>
          <w:lang w:val="en-GB"/>
        </w:rPr>
        <w:t xml:space="preserve">It is one of the “instruments of national power” (alongside diplomacy, economics, information, etc.). </w:t>
      </w:r>
    </w:p>
    <w:p w14:paraId="2C263603" w14:textId="31C5AF5B" w:rsidR="133FBE75" w:rsidRDefault="133FBE75" w:rsidP="1E1AFD6C">
      <w:pPr>
        <w:pStyle w:val="ListParagraph"/>
        <w:numPr>
          <w:ilvl w:val="0"/>
          <w:numId w:val="7"/>
        </w:numPr>
        <w:rPr>
          <w:rFonts w:ascii="Aptos" w:eastAsia="Aptos" w:hAnsi="Aptos" w:cs="Aptos"/>
          <w:lang w:val="en-GB"/>
        </w:rPr>
      </w:pPr>
      <w:r w:rsidRPr="1E1AFD6C">
        <w:rPr>
          <w:rFonts w:ascii="Aptos" w:eastAsia="Aptos" w:hAnsi="Aptos" w:cs="Aptos"/>
          <w:lang w:val="en-GB"/>
        </w:rPr>
        <w:t xml:space="preserve">The military instrument includes not only combat operations but all relevant capabilities (armed forces, logistics, doctrine, strategy, force posture, readiness) that enable the state to use or threaten force in a way that influences </w:t>
      </w:r>
      <w:r w:rsidR="4436124C" w:rsidRPr="1E1AFD6C">
        <w:rPr>
          <w:rFonts w:ascii="Aptos" w:eastAsia="Aptos" w:hAnsi="Aptos" w:cs="Aptos"/>
          <w:lang w:val="en-GB"/>
        </w:rPr>
        <w:t>behaviour</w:t>
      </w:r>
      <w:r w:rsidRPr="1E1AFD6C">
        <w:rPr>
          <w:rFonts w:ascii="Aptos" w:eastAsia="Aptos" w:hAnsi="Aptos" w:cs="Aptos"/>
          <w:lang w:val="en-GB"/>
        </w:rPr>
        <w:t>.</w:t>
      </w:r>
    </w:p>
    <w:p w14:paraId="5F0F63D1" w14:textId="44A8D865" w:rsidR="41AB5A66" w:rsidRDefault="41AB5A66" w:rsidP="1E1AFD6C">
      <w:pPr>
        <w:pStyle w:val="ListParagraph"/>
        <w:numPr>
          <w:ilvl w:val="0"/>
          <w:numId w:val="7"/>
        </w:numPr>
        <w:rPr>
          <w:lang w:val="en-GB"/>
        </w:rPr>
      </w:pPr>
      <w:r w:rsidRPr="1E1AFD6C">
        <w:rPr>
          <w:b/>
          <w:bCs/>
          <w:lang w:val="en-GB"/>
        </w:rPr>
        <w:t>Clausewitz</w:t>
      </w:r>
      <w:r w:rsidRPr="1E1AFD6C">
        <w:rPr>
          <w:lang w:val="en-GB"/>
        </w:rPr>
        <w:t xml:space="preserve">, </w:t>
      </w:r>
      <w:r w:rsidRPr="1E1AFD6C">
        <w:rPr>
          <w:i/>
          <w:iCs/>
          <w:lang w:val="en-GB"/>
        </w:rPr>
        <w:t>On War</w:t>
      </w:r>
      <w:r w:rsidRPr="1E1AFD6C">
        <w:rPr>
          <w:lang w:val="en-GB"/>
        </w:rPr>
        <w:t xml:space="preserve"> — famously argues that war is “a continuation of politics by other means.” This helps frame the military instrument as subordinate to political objectives.</w:t>
      </w:r>
    </w:p>
    <w:p w14:paraId="61FFD3C9" w14:textId="5B8B2442" w:rsidR="77B0DE14" w:rsidRDefault="77B0DE14" w:rsidP="1E1AFD6C">
      <w:pPr>
        <w:pStyle w:val="ListParagraph"/>
        <w:numPr>
          <w:ilvl w:val="0"/>
          <w:numId w:val="7"/>
        </w:numPr>
        <w:rPr>
          <w:lang w:val="en-GB"/>
        </w:rPr>
      </w:pPr>
      <w:r w:rsidRPr="1E1AFD6C">
        <w:rPr>
          <w:lang w:val="en-GB"/>
        </w:rPr>
        <w:t xml:space="preserve">Strategy texts / doctrine treat the military instrument in terms of “means to policy ends.” For example, “Strategy defined: the process that converts military power into policy effect.” Jordan, D. </w:t>
      </w:r>
      <w:r w:rsidRPr="1E1AFD6C">
        <w:rPr>
          <w:i/>
          <w:iCs/>
          <w:lang w:val="en-GB"/>
        </w:rPr>
        <w:t>et al.</w:t>
      </w:r>
      <w:r w:rsidRPr="1E1AFD6C">
        <w:rPr>
          <w:lang w:val="en-GB"/>
        </w:rPr>
        <w:t xml:space="preserve"> (2016) ‘Strategy defined’, in </w:t>
      </w:r>
      <w:r w:rsidRPr="1E1AFD6C">
        <w:rPr>
          <w:i/>
          <w:iCs/>
          <w:lang w:val="en-GB"/>
        </w:rPr>
        <w:t>Understanding Modern Warfare</w:t>
      </w:r>
      <w:r w:rsidRPr="1E1AFD6C">
        <w:rPr>
          <w:lang w:val="en-GB"/>
        </w:rPr>
        <w:t>. Cambridge: Cambridge University Press, pp. 39–60.</w:t>
      </w:r>
    </w:p>
    <w:p w14:paraId="6DE5D75B" w14:textId="6F483502" w:rsidR="1E1AFD6C" w:rsidRDefault="1E1AFD6C" w:rsidP="1E1AFD6C">
      <w:pPr>
        <w:rPr>
          <w:lang w:val="en-GB"/>
        </w:rPr>
      </w:pPr>
    </w:p>
    <w:p w14:paraId="331F429A" w14:textId="65AA4622" w:rsidR="00782394" w:rsidRDefault="00782394" w:rsidP="1E1AFD6C">
      <w:pPr>
        <w:spacing w:before="240" w:after="240"/>
        <w:rPr>
          <w:lang w:val="en-GB"/>
        </w:rPr>
      </w:pPr>
      <w:r w:rsidRPr="1E1AFD6C">
        <w:rPr>
          <w:b/>
          <w:bCs/>
          <w:lang w:val="en-GB"/>
        </w:rPr>
        <w:t>Instruments of national power</w:t>
      </w:r>
      <w:r w:rsidRPr="1E1AFD6C">
        <w:rPr>
          <w:lang w:val="en-GB"/>
        </w:rPr>
        <w:t xml:space="preserve"> </w:t>
      </w:r>
      <w:r w:rsidR="1B676701" w:rsidRPr="1E1AFD6C">
        <w:rPr>
          <w:rFonts w:ascii="Aptos" w:eastAsia="Aptos" w:hAnsi="Aptos" w:cs="Aptos"/>
          <w:lang w:val="en-GB"/>
        </w:rPr>
        <w:t>is a tool or means by which a state (government) can pursue its strategic or national objectives. These are levers states can use to influence others (other states or non-state actors), to protect their security, promote their interests, or to shape international environments.</w:t>
      </w:r>
    </w:p>
    <w:p w14:paraId="1B933295" w14:textId="191ECA55" w:rsidR="1B676701" w:rsidRDefault="1B676701" w:rsidP="1E1AFD6C">
      <w:pPr>
        <w:pStyle w:val="ListParagraph"/>
        <w:numPr>
          <w:ilvl w:val="0"/>
          <w:numId w:val="4"/>
        </w:numPr>
        <w:spacing w:before="240" w:after="240"/>
        <w:rPr>
          <w:rFonts w:ascii="Aptos" w:eastAsia="Aptos" w:hAnsi="Aptos" w:cs="Aptos"/>
          <w:lang w:val="en-GB"/>
        </w:rPr>
      </w:pPr>
      <w:r w:rsidRPr="1E1AFD6C">
        <w:rPr>
          <w:rFonts w:ascii="Aptos" w:eastAsia="Aptos" w:hAnsi="Aptos" w:cs="Aptos"/>
          <w:lang w:val="en-GB"/>
        </w:rPr>
        <w:lastRenderedPageBreak/>
        <w:t xml:space="preserve">They can be “hard” (coercive) or “soft” (influential, non-coercive). </w:t>
      </w:r>
      <w:hyperlink r:id="rId7">
        <w:r w:rsidRPr="1E1AFD6C">
          <w:rPr>
            <w:rStyle w:val="Hyperlink"/>
            <w:rFonts w:ascii="Aptos" w:eastAsia="Aptos" w:hAnsi="Aptos" w:cs="Aptos"/>
            <w:lang w:val="en-GB"/>
          </w:rPr>
          <w:t>SAGE Knowledge+1</w:t>
        </w:r>
      </w:hyperlink>
    </w:p>
    <w:p w14:paraId="575413D6" w14:textId="00CA9677" w:rsidR="1B676701" w:rsidRDefault="1B676701" w:rsidP="1E1AFD6C">
      <w:pPr>
        <w:pStyle w:val="ListParagraph"/>
        <w:numPr>
          <w:ilvl w:val="0"/>
          <w:numId w:val="4"/>
        </w:numPr>
        <w:spacing w:before="240" w:after="240"/>
        <w:rPr>
          <w:rFonts w:ascii="Aptos" w:eastAsia="Aptos" w:hAnsi="Aptos" w:cs="Aptos"/>
          <w:lang w:val="en-GB"/>
        </w:rPr>
      </w:pPr>
      <w:r w:rsidRPr="1E1AFD6C">
        <w:rPr>
          <w:rFonts w:ascii="Aptos" w:eastAsia="Aptos" w:hAnsi="Aptos" w:cs="Aptos"/>
          <w:lang w:val="en-GB"/>
        </w:rPr>
        <w:t xml:space="preserve">They are not merely sources of power (resources, geography, etc.), but how states </w:t>
      </w:r>
      <w:r w:rsidRPr="1E1AFD6C">
        <w:rPr>
          <w:rFonts w:ascii="Aptos" w:eastAsia="Aptos" w:hAnsi="Aptos" w:cs="Aptos"/>
          <w:i/>
          <w:iCs/>
          <w:lang w:val="en-GB"/>
        </w:rPr>
        <w:t>use</w:t>
      </w:r>
      <w:r w:rsidRPr="1E1AFD6C">
        <w:rPr>
          <w:rFonts w:ascii="Aptos" w:eastAsia="Aptos" w:hAnsi="Aptos" w:cs="Aptos"/>
          <w:lang w:val="en-GB"/>
        </w:rPr>
        <w:t xml:space="preserve"> those to act. </w:t>
      </w:r>
      <w:hyperlink r:id="rId8">
        <w:r w:rsidRPr="1E1AFD6C">
          <w:rPr>
            <w:rStyle w:val="Hyperlink"/>
            <w:rFonts w:ascii="Aptos" w:eastAsia="Aptos" w:hAnsi="Aptos" w:cs="Aptos"/>
            <w:lang w:val="en-GB"/>
          </w:rPr>
          <w:t>1Library+1</w:t>
        </w:r>
      </w:hyperlink>
    </w:p>
    <w:p w14:paraId="1FE1301E" w14:textId="3E1B4173" w:rsidR="4E9CBFCD" w:rsidRDefault="4E9CBFCD" w:rsidP="1E1AFD6C">
      <w:pPr>
        <w:pStyle w:val="ListParagraph"/>
        <w:numPr>
          <w:ilvl w:val="0"/>
          <w:numId w:val="4"/>
        </w:numPr>
        <w:spacing w:before="240" w:after="240"/>
        <w:rPr>
          <w:rFonts w:ascii="Aptos" w:eastAsia="Aptos" w:hAnsi="Aptos" w:cs="Aptos"/>
          <w:lang w:val="en-GB"/>
        </w:rPr>
      </w:pPr>
      <w:r w:rsidRPr="1E1AFD6C">
        <w:rPr>
          <w:rFonts w:ascii="Aptos" w:eastAsia="Aptos" w:hAnsi="Aptos" w:cs="Aptos"/>
          <w:lang w:val="en-GB"/>
        </w:rPr>
        <w:t>Common framework: DIME Diplomatic, Informational, Military, Economic</w:t>
      </w:r>
    </w:p>
    <w:p w14:paraId="1AB51AED" w14:textId="01BB8E49" w:rsidR="1E1AFD6C" w:rsidRDefault="1E1AFD6C" w:rsidP="1E1AFD6C">
      <w:pPr>
        <w:rPr>
          <w:lang w:val="en-GB"/>
        </w:rPr>
      </w:pPr>
    </w:p>
    <w:p w14:paraId="5702FDC7" w14:textId="1770D066" w:rsidR="1E1AFD6C" w:rsidRDefault="1E1AFD6C" w:rsidP="1E1AFD6C">
      <w:pPr>
        <w:rPr>
          <w:lang w:val="en-GB"/>
        </w:rPr>
      </w:pPr>
    </w:p>
    <w:p w14:paraId="4D3BE5CD" w14:textId="005EE69F" w:rsidR="7D59A1C3" w:rsidRDefault="7D59A1C3" w:rsidP="1E1AFD6C">
      <w:pPr>
        <w:rPr>
          <w:rFonts w:ascii="Aptos" w:eastAsia="Aptos" w:hAnsi="Aptos" w:cs="Aptos"/>
          <w:lang w:val="en-GB"/>
        </w:rPr>
      </w:pPr>
      <w:r w:rsidRPr="1E1AFD6C">
        <w:rPr>
          <w:b/>
          <w:bCs/>
          <w:lang w:val="en-GB"/>
        </w:rPr>
        <w:t>Soci</w:t>
      </w:r>
      <w:r w:rsidR="5F81F565" w:rsidRPr="1E1AFD6C">
        <w:rPr>
          <w:b/>
          <w:bCs/>
          <w:lang w:val="en-GB"/>
        </w:rPr>
        <w:t>etal</w:t>
      </w:r>
      <w:r w:rsidRPr="1E1AFD6C">
        <w:rPr>
          <w:b/>
          <w:bCs/>
          <w:lang w:val="en-GB"/>
        </w:rPr>
        <w:t xml:space="preserve"> resilience</w:t>
      </w:r>
      <w:r w:rsidR="2F1AB1FD" w:rsidRPr="1E1AFD6C">
        <w:rPr>
          <w:rFonts w:ascii="Aptos" w:eastAsia="Aptos" w:hAnsi="Aptos" w:cs="Aptos"/>
          <w:lang w:val="en-GB"/>
        </w:rPr>
        <w:t xml:space="preserve"> can absorb shocks from disasters, emergencies, crises, recover such that the community returns to normal function quickly, and ideally continues on a growth or positive adaptation path. </w:t>
      </w:r>
      <w:hyperlink r:id="rId9">
        <w:r w:rsidR="2F1AB1FD" w:rsidRPr="1E1AFD6C">
          <w:rPr>
            <w:rStyle w:val="Hyperlink"/>
            <w:rFonts w:ascii="Aptos" w:eastAsia="Aptos" w:hAnsi="Aptos" w:cs="Aptos"/>
            <w:lang w:val="en-GB"/>
          </w:rPr>
          <w:t>PubMed Central+1</w:t>
        </w:r>
      </w:hyperlink>
    </w:p>
    <w:p w14:paraId="073E59BF" w14:textId="55934483" w:rsidR="47AC96E1" w:rsidRDefault="47AC96E1" w:rsidP="1E1AFD6C">
      <w:pPr>
        <w:pStyle w:val="ListParagraph"/>
        <w:numPr>
          <w:ilvl w:val="0"/>
          <w:numId w:val="7"/>
        </w:numPr>
        <w:spacing w:before="240" w:after="240"/>
        <w:rPr>
          <w:rFonts w:ascii="Aptos" w:eastAsia="Aptos" w:hAnsi="Aptos" w:cs="Aptos"/>
          <w:lang w:val="en-GB"/>
        </w:rPr>
      </w:pPr>
      <w:r w:rsidRPr="1E1AFD6C">
        <w:rPr>
          <w:rFonts w:ascii="Aptos" w:eastAsia="Aptos" w:hAnsi="Aptos" w:cs="Aptos"/>
          <w:lang w:val="en-GB"/>
        </w:rPr>
        <w:t xml:space="preserve">Social cohesion, trust, networks: These are often foundational. Trust in institutions, bonds among citizens, social norms are repeatedly found to be critical. </w:t>
      </w:r>
      <w:hyperlink r:id="rId10">
        <w:r w:rsidRPr="1E1AFD6C">
          <w:rPr>
            <w:rStyle w:val="Hyperlink"/>
            <w:rFonts w:ascii="Aptos" w:eastAsia="Aptos" w:hAnsi="Aptos" w:cs="Aptos"/>
            <w:lang w:val="en-GB"/>
          </w:rPr>
          <w:t>PubMed Central+2CIMIC COE+2</w:t>
        </w:r>
      </w:hyperlink>
    </w:p>
    <w:p w14:paraId="6CB99638" w14:textId="7977E2E0" w:rsidR="47AC96E1" w:rsidRDefault="47AC96E1" w:rsidP="1E1AFD6C">
      <w:pPr>
        <w:pStyle w:val="ListParagraph"/>
        <w:numPr>
          <w:ilvl w:val="0"/>
          <w:numId w:val="7"/>
        </w:numPr>
        <w:spacing w:before="240" w:after="240"/>
        <w:rPr>
          <w:rFonts w:ascii="Aptos" w:eastAsia="Aptos" w:hAnsi="Aptos" w:cs="Aptos"/>
          <w:lang w:val="en-GB"/>
        </w:rPr>
      </w:pPr>
      <w:r w:rsidRPr="1E1AFD6C">
        <w:rPr>
          <w:rFonts w:ascii="Aptos" w:eastAsia="Aptos" w:hAnsi="Aptos" w:cs="Aptos"/>
          <w:lang w:val="en-GB"/>
        </w:rPr>
        <w:t xml:space="preserve">Preparedness / readiness: Awareness of risks, planning, having capacity/resources ready to be deployed. </w:t>
      </w:r>
      <w:hyperlink r:id="rId11">
        <w:r w:rsidRPr="1E1AFD6C">
          <w:rPr>
            <w:rStyle w:val="Hyperlink"/>
            <w:rFonts w:ascii="Aptos" w:eastAsia="Aptos" w:hAnsi="Aptos" w:cs="Aptos"/>
            <w:lang w:val="en-GB"/>
          </w:rPr>
          <w:t>PubMed Central+2websites.fraunhofer.de+2</w:t>
        </w:r>
      </w:hyperlink>
    </w:p>
    <w:p w14:paraId="23D318CF" w14:textId="7E751ED9" w:rsidR="1E1AFD6C" w:rsidRDefault="1E1AFD6C" w:rsidP="1E1AFD6C">
      <w:pPr>
        <w:pStyle w:val="Heading2"/>
        <w:rPr>
          <w:rFonts w:ascii="Aptos" w:eastAsia="Aptos" w:hAnsi="Aptos" w:cs="Aptos"/>
          <w:sz w:val="24"/>
          <w:szCs w:val="24"/>
          <w:lang w:val="en-GB"/>
        </w:rPr>
      </w:pPr>
    </w:p>
    <w:p w14:paraId="733B42C3" w14:textId="4826D135" w:rsidR="5B5A95BB" w:rsidRDefault="5B5A95BB" w:rsidP="1E1AFD6C">
      <w:pPr>
        <w:rPr>
          <w:b/>
          <w:bCs/>
          <w:lang w:val="en-GB"/>
        </w:rPr>
      </w:pPr>
      <w:r w:rsidRPr="1E1AFD6C">
        <w:rPr>
          <w:b/>
          <w:bCs/>
          <w:lang w:val="en-GB"/>
        </w:rPr>
        <w:t>Non traditional security threats</w:t>
      </w:r>
    </w:p>
    <w:p w14:paraId="71C3D7D3" w14:textId="0DF873B6" w:rsidR="5B5A95BB" w:rsidRDefault="5B5A95BB" w:rsidP="1E1AFD6C">
      <w:pPr>
        <w:pStyle w:val="ListParagraph"/>
        <w:numPr>
          <w:ilvl w:val="0"/>
          <w:numId w:val="6"/>
        </w:numPr>
        <w:spacing w:before="240" w:after="240"/>
        <w:rPr>
          <w:rFonts w:ascii="Aptos" w:eastAsia="Aptos" w:hAnsi="Aptos" w:cs="Aptos"/>
          <w:lang w:val="en-GB"/>
        </w:rPr>
      </w:pPr>
      <w:r w:rsidRPr="1E1AFD6C">
        <w:rPr>
          <w:rFonts w:ascii="Aptos" w:eastAsia="Aptos" w:hAnsi="Aptos" w:cs="Aptos"/>
          <w:lang w:val="en-GB"/>
        </w:rPr>
        <w:t>Climate &amp; Environmental Insecurity</w:t>
      </w:r>
    </w:p>
    <w:p w14:paraId="015AC3BB" w14:textId="1C927F92" w:rsidR="5B5A95BB" w:rsidRDefault="5B5A95BB" w:rsidP="1E1AFD6C">
      <w:pPr>
        <w:pStyle w:val="ListParagraph"/>
        <w:numPr>
          <w:ilvl w:val="1"/>
          <w:numId w:val="6"/>
        </w:numPr>
        <w:spacing w:before="240" w:after="240"/>
        <w:rPr>
          <w:rFonts w:ascii="Aptos" w:eastAsia="Aptos" w:hAnsi="Aptos" w:cs="Aptos"/>
          <w:lang w:val="en-GB"/>
        </w:rPr>
      </w:pPr>
      <w:r w:rsidRPr="1E1AFD6C">
        <w:rPr>
          <w:rFonts w:ascii="Aptos" w:eastAsia="Aptos" w:hAnsi="Aptos" w:cs="Aptos"/>
          <w:lang w:val="en-GB"/>
        </w:rPr>
        <w:t>Sea-level rise, extreme weather, and ecosystem collapse act as “threat multipliers.”</w:t>
      </w:r>
    </w:p>
    <w:p w14:paraId="33BC7036" w14:textId="55D0A9C7" w:rsidR="5B5A95BB" w:rsidRDefault="5B5A95BB" w:rsidP="1E1AFD6C">
      <w:pPr>
        <w:pStyle w:val="ListParagraph"/>
        <w:numPr>
          <w:ilvl w:val="1"/>
          <w:numId w:val="6"/>
        </w:numPr>
        <w:spacing w:before="240" w:after="240"/>
        <w:rPr>
          <w:rFonts w:ascii="Aptos" w:eastAsia="Aptos" w:hAnsi="Aptos" w:cs="Aptos"/>
          <w:lang w:val="en-GB"/>
        </w:rPr>
      </w:pPr>
      <w:r w:rsidRPr="1E1AFD6C">
        <w:rPr>
          <w:rFonts w:ascii="Aptos" w:eastAsia="Aptos" w:hAnsi="Aptos" w:cs="Aptos"/>
          <w:i/>
          <w:iCs/>
          <w:lang w:val="en-GB"/>
        </w:rPr>
        <w:t>Policy lever:</w:t>
      </w:r>
      <w:r w:rsidRPr="1E1AFD6C">
        <w:rPr>
          <w:rFonts w:ascii="Aptos" w:eastAsia="Aptos" w:hAnsi="Aptos" w:cs="Aptos"/>
          <w:lang w:val="en-GB"/>
        </w:rPr>
        <w:t xml:space="preserve"> Invest in climate adaptation infrastructure; strengthen disaster preparedness.</w:t>
      </w:r>
    </w:p>
    <w:p w14:paraId="7588B3C8" w14:textId="62965141" w:rsidR="5B5A95BB" w:rsidRDefault="5B5A95BB" w:rsidP="1E1AFD6C">
      <w:pPr>
        <w:pStyle w:val="ListParagraph"/>
        <w:numPr>
          <w:ilvl w:val="0"/>
          <w:numId w:val="6"/>
        </w:numPr>
        <w:spacing w:before="240" w:after="240"/>
        <w:rPr>
          <w:rFonts w:ascii="Aptos" w:eastAsia="Aptos" w:hAnsi="Aptos" w:cs="Aptos"/>
          <w:lang w:val="en-GB"/>
        </w:rPr>
      </w:pPr>
      <w:r w:rsidRPr="1E1AFD6C">
        <w:rPr>
          <w:rFonts w:ascii="Aptos" w:eastAsia="Aptos" w:hAnsi="Aptos" w:cs="Aptos"/>
          <w:lang w:val="en-GB"/>
        </w:rPr>
        <w:t>Pandemics &amp; Health Security</w:t>
      </w:r>
    </w:p>
    <w:p w14:paraId="398AF9E2" w14:textId="5AB6AD7F" w:rsidR="5B5A95BB" w:rsidRDefault="5B5A95BB" w:rsidP="1E1AFD6C">
      <w:pPr>
        <w:pStyle w:val="ListParagraph"/>
        <w:numPr>
          <w:ilvl w:val="1"/>
          <w:numId w:val="6"/>
        </w:numPr>
        <w:spacing w:before="240" w:after="240"/>
        <w:rPr>
          <w:rFonts w:ascii="Aptos" w:eastAsia="Aptos" w:hAnsi="Aptos" w:cs="Aptos"/>
          <w:lang w:val="en-GB"/>
        </w:rPr>
      </w:pPr>
      <w:r w:rsidRPr="1E1AFD6C">
        <w:rPr>
          <w:rFonts w:ascii="Aptos" w:eastAsia="Aptos" w:hAnsi="Aptos" w:cs="Aptos"/>
          <w:lang w:val="en-GB"/>
        </w:rPr>
        <w:t>Infectious disease outbreaks disrupt economies and governance.</w:t>
      </w:r>
    </w:p>
    <w:p w14:paraId="50AC6894" w14:textId="64838270" w:rsidR="5B5A95BB" w:rsidRDefault="5B5A95BB" w:rsidP="1E1AFD6C">
      <w:pPr>
        <w:pStyle w:val="ListParagraph"/>
        <w:numPr>
          <w:ilvl w:val="1"/>
          <w:numId w:val="6"/>
        </w:numPr>
        <w:spacing w:before="240" w:after="240"/>
        <w:rPr>
          <w:rFonts w:ascii="Aptos" w:eastAsia="Aptos" w:hAnsi="Aptos" w:cs="Aptos"/>
          <w:lang w:val="en-GB"/>
        </w:rPr>
      </w:pPr>
      <w:r w:rsidRPr="1E1AFD6C">
        <w:rPr>
          <w:rFonts w:ascii="Aptos" w:eastAsia="Aptos" w:hAnsi="Aptos" w:cs="Aptos"/>
          <w:i/>
          <w:iCs/>
          <w:lang w:val="en-GB"/>
        </w:rPr>
        <w:t>Policy lever:</w:t>
      </w:r>
      <w:r w:rsidRPr="1E1AFD6C">
        <w:rPr>
          <w:rFonts w:ascii="Aptos" w:eastAsia="Aptos" w:hAnsi="Aptos" w:cs="Aptos"/>
          <w:lang w:val="en-GB"/>
        </w:rPr>
        <w:t xml:space="preserve"> Build robust health systems and early warning capacities.</w:t>
      </w:r>
    </w:p>
    <w:p w14:paraId="7C028239" w14:textId="7B15D256" w:rsidR="5B5A95BB" w:rsidRDefault="5B5A95BB" w:rsidP="1E1AFD6C">
      <w:pPr>
        <w:pStyle w:val="ListParagraph"/>
        <w:numPr>
          <w:ilvl w:val="0"/>
          <w:numId w:val="6"/>
        </w:numPr>
        <w:spacing w:before="240" w:after="240"/>
        <w:rPr>
          <w:rFonts w:ascii="Aptos" w:eastAsia="Aptos" w:hAnsi="Aptos" w:cs="Aptos"/>
          <w:lang w:val="en-GB"/>
        </w:rPr>
      </w:pPr>
      <w:r w:rsidRPr="1E1AFD6C">
        <w:rPr>
          <w:rFonts w:ascii="Aptos" w:eastAsia="Aptos" w:hAnsi="Aptos" w:cs="Aptos"/>
          <w:lang w:val="en-GB"/>
        </w:rPr>
        <w:t>Cybersecurity &amp; Digital Dependence</w:t>
      </w:r>
    </w:p>
    <w:p w14:paraId="229BBE22" w14:textId="43876542" w:rsidR="5B5A95BB" w:rsidRDefault="5B5A95BB" w:rsidP="1E1AFD6C">
      <w:pPr>
        <w:pStyle w:val="ListParagraph"/>
        <w:numPr>
          <w:ilvl w:val="1"/>
          <w:numId w:val="6"/>
        </w:numPr>
        <w:spacing w:before="240" w:after="240"/>
        <w:rPr>
          <w:rFonts w:ascii="Aptos" w:eastAsia="Aptos" w:hAnsi="Aptos" w:cs="Aptos"/>
          <w:lang w:val="en-GB"/>
        </w:rPr>
      </w:pPr>
      <w:r w:rsidRPr="1E1AFD6C">
        <w:rPr>
          <w:rFonts w:ascii="Aptos" w:eastAsia="Aptos" w:hAnsi="Aptos" w:cs="Aptos"/>
          <w:lang w:val="en-GB"/>
        </w:rPr>
        <w:t>Attacks on finance, energy, or government disrupt vital functions.</w:t>
      </w:r>
    </w:p>
    <w:p w14:paraId="286C6FD5" w14:textId="46C97662" w:rsidR="5B5A95BB" w:rsidRDefault="5B5A95BB" w:rsidP="1E1AFD6C">
      <w:pPr>
        <w:pStyle w:val="ListParagraph"/>
        <w:numPr>
          <w:ilvl w:val="1"/>
          <w:numId w:val="6"/>
        </w:numPr>
        <w:spacing w:before="240" w:after="240"/>
        <w:rPr>
          <w:rFonts w:ascii="Aptos" w:eastAsia="Aptos" w:hAnsi="Aptos" w:cs="Aptos"/>
          <w:lang w:val="en-GB"/>
        </w:rPr>
      </w:pPr>
      <w:r w:rsidRPr="1E1AFD6C">
        <w:rPr>
          <w:rFonts w:ascii="Aptos" w:eastAsia="Aptos" w:hAnsi="Aptos" w:cs="Aptos"/>
          <w:i/>
          <w:iCs/>
          <w:lang w:val="en-GB"/>
        </w:rPr>
        <w:t>Policy lever:</w:t>
      </w:r>
      <w:r w:rsidRPr="1E1AFD6C">
        <w:rPr>
          <w:rFonts w:ascii="Aptos" w:eastAsia="Aptos" w:hAnsi="Aptos" w:cs="Aptos"/>
          <w:lang w:val="en-GB"/>
        </w:rPr>
        <w:t xml:space="preserve"> Harden critical systems; foster public–private cyber defense partnerships.</w:t>
      </w:r>
    </w:p>
    <w:p w14:paraId="17C79D1C" w14:textId="632412FD" w:rsidR="5B5A95BB" w:rsidRDefault="5B5A95BB" w:rsidP="1E1AFD6C">
      <w:pPr>
        <w:pStyle w:val="ListParagraph"/>
        <w:numPr>
          <w:ilvl w:val="0"/>
          <w:numId w:val="6"/>
        </w:numPr>
        <w:spacing w:before="240" w:after="240"/>
        <w:rPr>
          <w:rFonts w:ascii="Aptos" w:eastAsia="Aptos" w:hAnsi="Aptos" w:cs="Aptos"/>
          <w:lang w:val="en-GB"/>
        </w:rPr>
      </w:pPr>
      <w:r w:rsidRPr="1E1AFD6C">
        <w:rPr>
          <w:rFonts w:ascii="Aptos" w:eastAsia="Aptos" w:hAnsi="Aptos" w:cs="Aptos"/>
          <w:lang w:val="en-GB"/>
        </w:rPr>
        <w:t>Food &amp; Water Security</w:t>
      </w:r>
    </w:p>
    <w:p w14:paraId="206E6F02" w14:textId="5FD69733" w:rsidR="5B5A95BB" w:rsidRDefault="5B5A95BB" w:rsidP="1E1AFD6C">
      <w:pPr>
        <w:pStyle w:val="ListParagraph"/>
        <w:numPr>
          <w:ilvl w:val="1"/>
          <w:numId w:val="6"/>
        </w:numPr>
        <w:spacing w:before="240" w:after="240"/>
        <w:rPr>
          <w:rFonts w:ascii="Aptos" w:eastAsia="Aptos" w:hAnsi="Aptos" w:cs="Aptos"/>
          <w:lang w:val="en-GB"/>
        </w:rPr>
      </w:pPr>
      <w:r w:rsidRPr="1E1AFD6C">
        <w:rPr>
          <w:rFonts w:ascii="Aptos" w:eastAsia="Aptos" w:hAnsi="Aptos" w:cs="Aptos"/>
          <w:lang w:val="en-GB"/>
        </w:rPr>
        <w:t>Supply chain shocks, scarcity, and transboundary disputes drive instability.</w:t>
      </w:r>
    </w:p>
    <w:p w14:paraId="457BB772" w14:textId="2C2C1C0A" w:rsidR="5B5A95BB" w:rsidRDefault="5B5A95BB" w:rsidP="1E1AFD6C">
      <w:pPr>
        <w:pStyle w:val="ListParagraph"/>
        <w:numPr>
          <w:ilvl w:val="1"/>
          <w:numId w:val="6"/>
        </w:numPr>
        <w:spacing w:before="240" w:after="240"/>
        <w:rPr>
          <w:rFonts w:ascii="Aptos" w:eastAsia="Aptos" w:hAnsi="Aptos" w:cs="Aptos"/>
          <w:lang w:val="en-GB"/>
        </w:rPr>
      </w:pPr>
      <w:r w:rsidRPr="1E1AFD6C">
        <w:rPr>
          <w:rFonts w:ascii="Aptos" w:eastAsia="Aptos" w:hAnsi="Aptos" w:cs="Aptos"/>
          <w:i/>
          <w:iCs/>
          <w:lang w:val="en-GB"/>
        </w:rPr>
        <w:t>Policy lever:</w:t>
      </w:r>
      <w:r w:rsidRPr="1E1AFD6C">
        <w:rPr>
          <w:rFonts w:ascii="Aptos" w:eastAsia="Aptos" w:hAnsi="Aptos" w:cs="Aptos"/>
          <w:lang w:val="en-GB"/>
        </w:rPr>
        <w:t xml:space="preserve"> Diversify imports, invest in sustainable agriculture, negotiate water agreements.</w:t>
      </w:r>
    </w:p>
    <w:p w14:paraId="41EBC8A2" w14:textId="2689E1A7" w:rsidR="5B5A95BB" w:rsidRDefault="5B5A95BB" w:rsidP="1E1AFD6C">
      <w:pPr>
        <w:pStyle w:val="ListParagraph"/>
        <w:numPr>
          <w:ilvl w:val="0"/>
          <w:numId w:val="6"/>
        </w:numPr>
        <w:spacing w:before="240" w:after="240"/>
        <w:rPr>
          <w:rFonts w:ascii="Aptos" w:eastAsia="Aptos" w:hAnsi="Aptos" w:cs="Aptos"/>
          <w:lang w:val="en-GB"/>
        </w:rPr>
      </w:pPr>
      <w:r w:rsidRPr="1E1AFD6C">
        <w:rPr>
          <w:rFonts w:ascii="Aptos" w:eastAsia="Aptos" w:hAnsi="Aptos" w:cs="Aptos"/>
          <w:lang w:val="en-GB"/>
        </w:rPr>
        <w:t>Migration &amp; Displacement</w:t>
      </w:r>
    </w:p>
    <w:p w14:paraId="1085C34F" w14:textId="2044EBBA" w:rsidR="5B5A95BB" w:rsidRDefault="5B5A95BB" w:rsidP="1E1AFD6C">
      <w:pPr>
        <w:pStyle w:val="ListParagraph"/>
        <w:numPr>
          <w:ilvl w:val="1"/>
          <w:numId w:val="6"/>
        </w:numPr>
        <w:spacing w:before="240" w:after="240"/>
        <w:rPr>
          <w:rFonts w:ascii="Aptos" w:eastAsia="Aptos" w:hAnsi="Aptos" w:cs="Aptos"/>
          <w:lang w:val="en-GB"/>
        </w:rPr>
      </w:pPr>
      <w:r w:rsidRPr="1E1AFD6C">
        <w:rPr>
          <w:rFonts w:ascii="Aptos" w:eastAsia="Aptos" w:hAnsi="Aptos" w:cs="Aptos"/>
          <w:lang w:val="en-GB"/>
        </w:rPr>
        <w:t>Sudden inflows strain infrastructure, social cohesion, and policy capacity.</w:t>
      </w:r>
    </w:p>
    <w:p w14:paraId="35FB66E5" w14:textId="20D6B80A" w:rsidR="5B5A95BB" w:rsidRDefault="5B5A95BB" w:rsidP="1E1AFD6C">
      <w:pPr>
        <w:pStyle w:val="ListParagraph"/>
        <w:numPr>
          <w:ilvl w:val="1"/>
          <w:numId w:val="6"/>
        </w:numPr>
        <w:spacing w:before="240" w:after="240"/>
        <w:rPr>
          <w:rFonts w:ascii="Aptos" w:eastAsia="Aptos" w:hAnsi="Aptos" w:cs="Aptos"/>
          <w:lang w:val="en-GB"/>
        </w:rPr>
      </w:pPr>
      <w:r w:rsidRPr="1E1AFD6C">
        <w:rPr>
          <w:rFonts w:ascii="Aptos" w:eastAsia="Aptos" w:hAnsi="Aptos" w:cs="Aptos"/>
          <w:i/>
          <w:iCs/>
          <w:lang w:val="en-GB"/>
        </w:rPr>
        <w:t>Policy lever:</w:t>
      </w:r>
      <w:r w:rsidRPr="1E1AFD6C">
        <w:rPr>
          <w:rFonts w:ascii="Aptos" w:eastAsia="Aptos" w:hAnsi="Aptos" w:cs="Aptos"/>
          <w:lang w:val="en-GB"/>
        </w:rPr>
        <w:t xml:space="preserve"> Develop humanitarian response frameworks and regional burden-sharing.</w:t>
      </w:r>
    </w:p>
    <w:p w14:paraId="2E624A58" w14:textId="694B332E" w:rsidR="5B5A95BB" w:rsidRDefault="5B5A95BB" w:rsidP="1E1AFD6C">
      <w:pPr>
        <w:pStyle w:val="ListParagraph"/>
        <w:numPr>
          <w:ilvl w:val="0"/>
          <w:numId w:val="6"/>
        </w:numPr>
        <w:spacing w:before="240" w:after="240"/>
        <w:rPr>
          <w:rFonts w:ascii="Aptos" w:eastAsia="Aptos" w:hAnsi="Aptos" w:cs="Aptos"/>
          <w:lang w:val="en-GB"/>
        </w:rPr>
      </w:pPr>
      <w:r w:rsidRPr="1E1AFD6C">
        <w:rPr>
          <w:rFonts w:ascii="Aptos" w:eastAsia="Aptos" w:hAnsi="Aptos" w:cs="Aptos"/>
          <w:lang w:val="en-GB"/>
        </w:rPr>
        <w:t>Energy Security &amp; Infrastructure Fragility</w:t>
      </w:r>
    </w:p>
    <w:p w14:paraId="409E6A4D" w14:textId="39A40FEA" w:rsidR="5B5A95BB" w:rsidRDefault="5B5A95BB" w:rsidP="1E1AFD6C">
      <w:pPr>
        <w:pStyle w:val="ListParagraph"/>
        <w:numPr>
          <w:ilvl w:val="1"/>
          <w:numId w:val="6"/>
        </w:numPr>
        <w:spacing w:before="240" w:after="240"/>
        <w:rPr>
          <w:rFonts w:ascii="Aptos" w:eastAsia="Aptos" w:hAnsi="Aptos" w:cs="Aptos"/>
          <w:lang w:val="en-GB"/>
        </w:rPr>
      </w:pPr>
      <w:r w:rsidRPr="1E1AFD6C">
        <w:rPr>
          <w:rFonts w:ascii="Aptos" w:eastAsia="Aptos" w:hAnsi="Aptos" w:cs="Aptos"/>
          <w:lang w:val="en-GB"/>
        </w:rPr>
        <w:t>Supply interruptions or targeted attacks undermine economic stability.</w:t>
      </w:r>
    </w:p>
    <w:p w14:paraId="2279CCCE" w14:textId="50F567BD" w:rsidR="5B5A95BB" w:rsidRDefault="5B5A95BB" w:rsidP="1E1AFD6C">
      <w:pPr>
        <w:pStyle w:val="ListParagraph"/>
        <w:numPr>
          <w:ilvl w:val="1"/>
          <w:numId w:val="6"/>
        </w:numPr>
        <w:spacing w:before="240" w:after="240"/>
        <w:rPr>
          <w:rFonts w:ascii="Aptos" w:eastAsia="Aptos" w:hAnsi="Aptos" w:cs="Aptos"/>
          <w:lang w:val="en-GB"/>
        </w:rPr>
      </w:pPr>
      <w:r w:rsidRPr="1E1AFD6C">
        <w:rPr>
          <w:rFonts w:ascii="Aptos" w:eastAsia="Aptos" w:hAnsi="Aptos" w:cs="Aptos"/>
          <w:i/>
          <w:iCs/>
          <w:lang w:val="en-GB"/>
        </w:rPr>
        <w:t>Policy lever:</w:t>
      </w:r>
      <w:r w:rsidRPr="1E1AFD6C">
        <w:rPr>
          <w:rFonts w:ascii="Aptos" w:eastAsia="Aptos" w:hAnsi="Aptos" w:cs="Aptos"/>
          <w:lang w:val="en-GB"/>
        </w:rPr>
        <w:t xml:space="preserve"> Diversify energy sources; protect critical infrastructure.</w:t>
      </w:r>
    </w:p>
    <w:p w14:paraId="646D4422" w14:textId="5543805A" w:rsidR="5B5A95BB" w:rsidRDefault="5B5A95BB" w:rsidP="1E1AFD6C">
      <w:pPr>
        <w:pStyle w:val="ListParagraph"/>
        <w:numPr>
          <w:ilvl w:val="0"/>
          <w:numId w:val="6"/>
        </w:numPr>
        <w:spacing w:before="240" w:after="240"/>
        <w:rPr>
          <w:rFonts w:ascii="Aptos" w:eastAsia="Aptos" w:hAnsi="Aptos" w:cs="Aptos"/>
          <w:lang w:val="en-GB"/>
        </w:rPr>
      </w:pPr>
      <w:r w:rsidRPr="1E1AFD6C">
        <w:rPr>
          <w:rFonts w:ascii="Aptos" w:eastAsia="Aptos" w:hAnsi="Aptos" w:cs="Aptos"/>
          <w:lang w:val="en-GB"/>
        </w:rPr>
        <w:t>Transnational Crime &amp; Illicit Economies</w:t>
      </w:r>
    </w:p>
    <w:p w14:paraId="79DD095F" w14:textId="4FF32DAD" w:rsidR="5B5A95BB" w:rsidRDefault="5B5A95BB" w:rsidP="1E1AFD6C">
      <w:pPr>
        <w:pStyle w:val="ListParagraph"/>
        <w:numPr>
          <w:ilvl w:val="1"/>
          <w:numId w:val="6"/>
        </w:numPr>
        <w:spacing w:before="240" w:after="240"/>
        <w:rPr>
          <w:rFonts w:ascii="Aptos" w:eastAsia="Aptos" w:hAnsi="Aptos" w:cs="Aptos"/>
          <w:lang w:val="en-GB"/>
        </w:rPr>
      </w:pPr>
      <w:r w:rsidRPr="1E1AFD6C">
        <w:rPr>
          <w:rFonts w:ascii="Aptos" w:eastAsia="Aptos" w:hAnsi="Aptos" w:cs="Aptos"/>
          <w:lang w:val="en-GB"/>
        </w:rPr>
        <w:lastRenderedPageBreak/>
        <w:t>Trafficking and shadow finance weaken governance and fuel instability.</w:t>
      </w:r>
    </w:p>
    <w:p w14:paraId="2D4DDF05" w14:textId="7AEE99B3" w:rsidR="5B5A95BB" w:rsidRDefault="5B5A95BB" w:rsidP="1E1AFD6C">
      <w:pPr>
        <w:pStyle w:val="ListParagraph"/>
        <w:numPr>
          <w:ilvl w:val="1"/>
          <w:numId w:val="6"/>
        </w:numPr>
        <w:spacing w:before="240" w:after="240"/>
        <w:rPr>
          <w:rFonts w:ascii="Aptos" w:eastAsia="Aptos" w:hAnsi="Aptos" w:cs="Aptos"/>
          <w:lang w:val="en-GB"/>
        </w:rPr>
      </w:pPr>
      <w:r w:rsidRPr="1E1AFD6C">
        <w:rPr>
          <w:rFonts w:ascii="Aptos" w:eastAsia="Aptos" w:hAnsi="Aptos" w:cs="Aptos"/>
          <w:i/>
          <w:iCs/>
          <w:lang w:val="en-GB"/>
        </w:rPr>
        <w:t>Policy lever:</w:t>
      </w:r>
      <w:r w:rsidRPr="1E1AFD6C">
        <w:rPr>
          <w:rFonts w:ascii="Aptos" w:eastAsia="Aptos" w:hAnsi="Aptos" w:cs="Aptos"/>
          <w:lang w:val="en-GB"/>
        </w:rPr>
        <w:t xml:space="preserve"> Enhance law enforcement cooperation and financial transparency.</w:t>
      </w:r>
    </w:p>
    <w:p w14:paraId="58B3BF3A" w14:textId="046B37AE" w:rsidR="5B5A95BB" w:rsidRDefault="5B5A95BB" w:rsidP="1E1AFD6C">
      <w:pPr>
        <w:pStyle w:val="ListParagraph"/>
        <w:numPr>
          <w:ilvl w:val="0"/>
          <w:numId w:val="6"/>
        </w:numPr>
        <w:spacing w:before="240" w:after="240"/>
        <w:rPr>
          <w:rFonts w:ascii="Aptos" w:eastAsia="Aptos" w:hAnsi="Aptos" w:cs="Aptos"/>
          <w:lang w:val="en-GB"/>
        </w:rPr>
      </w:pPr>
      <w:r w:rsidRPr="1E1AFD6C">
        <w:rPr>
          <w:rFonts w:ascii="Aptos" w:eastAsia="Aptos" w:hAnsi="Aptos" w:cs="Aptos"/>
          <w:lang w:val="en-GB"/>
        </w:rPr>
        <w:t>Disinformation &amp; Hybrid Threats</w:t>
      </w:r>
    </w:p>
    <w:p w14:paraId="627EEF1C" w14:textId="6CAA9D65" w:rsidR="5B5A95BB" w:rsidRDefault="5B5A95BB" w:rsidP="1E1AFD6C">
      <w:pPr>
        <w:pStyle w:val="ListParagraph"/>
        <w:numPr>
          <w:ilvl w:val="1"/>
          <w:numId w:val="6"/>
        </w:numPr>
        <w:spacing w:before="240" w:after="240"/>
        <w:rPr>
          <w:rFonts w:ascii="Aptos" w:eastAsia="Aptos" w:hAnsi="Aptos" w:cs="Aptos"/>
          <w:lang w:val="en-GB"/>
        </w:rPr>
      </w:pPr>
      <w:r w:rsidRPr="1E1AFD6C">
        <w:rPr>
          <w:rFonts w:ascii="Aptos" w:eastAsia="Aptos" w:hAnsi="Aptos" w:cs="Aptos"/>
          <w:lang w:val="en-GB"/>
        </w:rPr>
        <w:t>Information operations erode trust in institutions and polarize society.</w:t>
      </w:r>
    </w:p>
    <w:p w14:paraId="3ABFC13A" w14:textId="37C9DED1" w:rsidR="5B5A95BB" w:rsidRDefault="5B5A95BB" w:rsidP="1E1AFD6C">
      <w:pPr>
        <w:pStyle w:val="ListParagraph"/>
        <w:numPr>
          <w:ilvl w:val="1"/>
          <w:numId w:val="6"/>
        </w:numPr>
        <w:spacing w:before="240" w:after="240"/>
        <w:rPr>
          <w:rFonts w:ascii="Aptos" w:eastAsia="Aptos" w:hAnsi="Aptos" w:cs="Aptos"/>
          <w:lang w:val="en-GB"/>
        </w:rPr>
      </w:pPr>
      <w:r w:rsidRPr="1E1AFD6C">
        <w:rPr>
          <w:rFonts w:ascii="Aptos" w:eastAsia="Aptos" w:hAnsi="Aptos" w:cs="Aptos"/>
          <w:i/>
          <w:iCs/>
          <w:lang w:val="en-GB"/>
        </w:rPr>
        <w:t>Policy lever:</w:t>
      </w:r>
      <w:r w:rsidRPr="1E1AFD6C">
        <w:rPr>
          <w:rFonts w:ascii="Aptos" w:eastAsia="Aptos" w:hAnsi="Aptos" w:cs="Aptos"/>
          <w:lang w:val="en-GB"/>
        </w:rPr>
        <w:t xml:space="preserve"> Strengthen media literacy and counter-disinformation units.</w:t>
      </w:r>
    </w:p>
    <w:p w14:paraId="11BCF7D8" w14:textId="1B81A87B" w:rsidR="1E1AFD6C" w:rsidRDefault="1E1AFD6C" w:rsidP="1E1AFD6C">
      <w:pPr>
        <w:spacing w:before="240" w:after="240"/>
        <w:rPr>
          <w:rFonts w:ascii="Aptos" w:eastAsia="Aptos" w:hAnsi="Aptos" w:cs="Aptos"/>
          <w:lang w:val="en-GB"/>
        </w:rPr>
      </w:pPr>
    </w:p>
    <w:p w14:paraId="721C6362" w14:textId="3073560D" w:rsidR="1E1AFD6C" w:rsidRDefault="1E1AFD6C" w:rsidP="1E1AFD6C">
      <w:pPr>
        <w:spacing w:before="240" w:after="240"/>
        <w:rPr>
          <w:b/>
          <w:bCs/>
          <w:lang w:val="en-GB"/>
        </w:rPr>
      </w:pPr>
    </w:p>
    <w:p w14:paraId="14A3F19E" w14:textId="554A1B3F" w:rsidR="6A2B7F1B" w:rsidRDefault="6A2B7F1B" w:rsidP="1E1AFD6C">
      <w:pPr>
        <w:spacing w:before="240" w:after="240"/>
        <w:rPr>
          <w:b/>
          <w:bCs/>
          <w:lang w:val="en-GB"/>
        </w:rPr>
      </w:pPr>
      <w:r w:rsidRPr="1E1AFD6C">
        <w:rPr>
          <w:b/>
          <w:bCs/>
          <w:lang w:val="en-GB"/>
        </w:rPr>
        <w:t xml:space="preserve">Applicable case study: </w:t>
      </w:r>
      <w:bookmarkStart w:id="0" w:name="_Int_lNxtJu0C"/>
      <w:r w:rsidR="3A9307BF" w:rsidRPr="1E1AFD6C">
        <w:rPr>
          <w:b/>
          <w:bCs/>
          <w:lang w:val="en-GB"/>
        </w:rPr>
        <w:t>Non traditional</w:t>
      </w:r>
      <w:bookmarkEnd w:id="0"/>
      <w:r w:rsidR="3A9307BF" w:rsidRPr="1E1AFD6C">
        <w:rPr>
          <w:b/>
          <w:bCs/>
          <w:lang w:val="en-GB"/>
        </w:rPr>
        <w:t xml:space="preserve"> security threats for Ireland</w:t>
      </w:r>
      <w:r w:rsidR="04830267" w:rsidRPr="1E1AFD6C">
        <w:rPr>
          <w:b/>
          <w:bCs/>
          <w:lang w:val="en-GB"/>
        </w:rPr>
        <w:t xml:space="preserve"> specifically</w:t>
      </w:r>
    </w:p>
    <w:tbl>
      <w:tblPr>
        <w:tblStyle w:val="TableGrid"/>
        <w:tblW w:w="0" w:type="auto"/>
        <w:tblLayout w:type="fixed"/>
        <w:tblLook w:val="06A0" w:firstRow="1" w:lastRow="0" w:firstColumn="1" w:lastColumn="0" w:noHBand="1" w:noVBand="1"/>
      </w:tblPr>
      <w:tblGrid>
        <w:gridCol w:w="465"/>
        <w:gridCol w:w="2111"/>
        <w:gridCol w:w="938"/>
        <w:gridCol w:w="1069"/>
        <w:gridCol w:w="2314"/>
        <w:gridCol w:w="1400"/>
        <w:gridCol w:w="2310"/>
      </w:tblGrid>
      <w:tr w:rsidR="1E1AFD6C" w14:paraId="35353ED3" w14:textId="77777777" w:rsidTr="1E1AFD6C">
        <w:trPr>
          <w:trHeight w:val="300"/>
        </w:trPr>
        <w:tc>
          <w:tcPr>
            <w:tcW w:w="465" w:type="dxa"/>
          </w:tcPr>
          <w:p w14:paraId="4A72FEAA" w14:textId="578A8B8F" w:rsidR="025F2830" w:rsidRDefault="025F2830" w:rsidP="1E1AFD6C">
            <w:pPr>
              <w:rPr>
                <w:rFonts w:ascii="Aptos" w:eastAsia="Aptos" w:hAnsi="Aptos" w:cs="Aptos"/>
                <w:lang w:val="en-GB"/>
              </w:rPr>
            </w:pPr>
            <w:r w:rsidRPr="1E1AFD6C">
              <w:rPr>
                <w:rFonts w:ascii="Aptos" w:eastAsia="Aptos" w:hAnsi="Aptos" w:cs="Aptos"/>
                <w:lang w:val="en-GB"/>
              </w:rPr>
              <w:t>RANK</w:t>
            </w:r>
          </w:p>
        </w:tc>
        <w:tc>
          <w:tcPr>
            <w:tcW w:w="2111" w:type="dxa"/>
          </w:tcPr>
          <w:p w14:paraId="13A3E8B8" w14:textId="24815D33" w:rsidR="025F2830" w:rsidRDefault="025F2830" w:rsidP="1E1AFD6C">
            <w:pPr>
              <w:rPr>
                <w:rFonts w:ascii="Aptos" w:eastAsia="Aptos" w:hAnsi="Aptos" w:cs="Aptos"/>
                <w:lang w:val="en-GB"/>
              </w:rPr>
            </w:pPr>
            <w:r w:rsidRPr="1E1AFD6C">
              <w:rPr>
                <w:rFonts w:ascii="Aptos" w:eastAsia="Aptos" w:hAnsi="Aptos" w:cs="Aptos"/>
                <w:lang w:val="en-GB"/>
              </w:rPr>
              <w:t>THREAT</w:t>
            </w:r>
          </w:p>
        </w:tc>
        <w:tc>
          <w:tcPr>
            <w:tcW w:w="938" w:type="dxa"/>
          </w:tcPr>
          <w:p w14:paraId="7814B744" w14:textId="014EB9F5" w:rsidR="025F2830" w:rsidRDefault="025F2830" w:rsidP="1E1AFD6C">
            <w:pPr>
              <w:rPr>
                <w:rFonts w:ascii="Aptos" w:eastAsia="Aptos" w:hAnsi="Aptos" w:cs="Aptos"/>
                <w:lang w:val="en-GB"/>
              </w:rPr>
            </w:pPr>
            <w:r w:rsidRPr="1E1AFD6C">
              <w:rPr>
                <w:rFonts w:ascii="Aptos" w:eastAsia="Aptos" w:hAnsi="Aptos" w:cs="Aptos"/>
                <w:lang w:val="en-GB"/>
              </w:rPr>
              <w:t>LIKELIHOOD</w:t>
            </w:r>
          </w:p>
        </w:tc>
        <w:tc>
          <w:tcPr>
            <w:tcW w:w="1069" w:type="dxa"/>
          </w:tcPr>
          <w:p w14:paraId="009A33F3" w14:textId="53967A74" w:rsidR="025F2830" w:rsidRDefault="025F2830" w:rsidP="1E1AFD6C">
            <w:pPr>
              <w:rPr>
                <w:rFonts w:ascii="Aptos" w:eastAsia="Aptos" w:hAnsi="Aptos" w:cs="Aptos"/>
                <w:lang w:val="en-GB"/>
              </w:rPr>
            </w:pPr>
            <w:r w:rsidRPr="1E1AFD6C">
              <w:rPr>
                <w:rFonts w:ascii="Aptos" w:eastAsia="Aptos" w:hAnsi="Aptos" w:cs="Aptos"/>
                <w:lang w:val="en-GB"/>
              </w:rPr>
              <w:t>IMPACT</w:t>
            </w:r>
          </w:p>
        </w:tc>
        <w:tc>
          <w:tcPr>
            <w:tcW w:w="2314" w:type="dxa"/>
          </w:tcPr>
          <w:p w14:paraId="2DACBFAA" w14:textId="7BA09FA2" w:rsidR="025F2830" w:rsidRDefault="025F2830" w:rsidP="1E1AFD6C">
            <w:pPr>
              <w:rPr>
                <w:rFonts w:ascii="Aptos" w:eastAsia="Aptos" w:hAnsi="Aptos" w:cs="Aptos"/>
                <w:lang w:val="en-GB"/>
              </w:rPr>
            </w:pPr>
            <w:r w:rsidRPr="1E1AFD6C">
              <w:rPr>
                <w:rFonts w:ascii="Aptos" w:eastAsia="Aptos" w:hAnsi="Aptos" w:cs="Aptos"/>
                <w:lang w:val="en-GB"/>
              </w:rPr>
              <w:t>EVIDENCE</w:t>
            </w:r>
          </w:p>
        </w:tc>
        <w:tc>
          <w:tcPr>
            <w:tcW w:w="1400" w:type="dxa"/>
          </w:tcPr>
          <w:p w14:paraId="447CB597" w14:textId="4FD2CEE0" w:rsidR="025F2830" w:rsidRDefault="025F2830" w:rsidP="1E1AFD6C">
            <w:pPr>
              <w:rPr>
                <w:rFonts w:ascii="Aptos" w:eastAsia="Aptos" w:hAnsi="Aptos" w:cs="Aptos"/>
                <w:lang w:val="en-GB"/>
              </w:rPr>
            </w:pPr>
            <w:r w:rsidRPr="1E1AFD6C">
              <w:rPr>
                <w:rFonts w:ascii="Aptos" w:eastAsia="Aptos" w:hAnsi="Aptos" w:cs="Aptos"/>
                <w:lang w:val="en-GB"/>
              </w:rPr>
              <w:t>LEAD AGENCY</w:t>
            </w:r>
          </w:p>
        </w:tc>
        <w:tc>
          <w:tcPr>
            <w:tcW w:w="2310" w:type="dxa"/>
          </w:tcPr>
          <w:p w14:paraId="3B077CC0" w14:textId="7B8F5735" w:rsidR="025F2830" w:rsidRDefault="025F2830" w:rsidP="1E1AFD6C">
            <w:pPr>
              <w:rPr>
                <w:rFonts w:ascii="Aptos" w:eastAsia="Aptos" w:hAnsi="Aptos" w:cs="Aptos"/>
                <w:lang w:val="en-GB"/>
              </w:rPr>
            </w:pPr>
            <w:r w:rsidRPr="1E1AFD6C">
              <w:rPr>
                <w:rFonts w:ascii="Aptos" w:eastAsia="Aptos" w:hAnsi="Aptos" w:cs="Aptos"/>
                <w:lang w:val="en-GB"/>
              </w:rPr>
              <w:t>TOP 3 RESILIENCE MEASURES</w:t>
            </w:r>
          </w:p>
        </w:tc>
      </w:tr>
      <w:tr w:rsidR="1E1AFD6C" w14:paraId="5030CD82" w14:textId="77777777" w:rsidTr="1E1AFD6C">
        <w:trPr>
          <w:trHeight w:val="300"/>
        </w:trPr>
        <w:tc>
          <w:tcPr>
            <w:tcW w:w="465" w:type="dxa"/>
          </w:tcPr>
          <w:p w14:paraId="692F5188" w14:textId="1CE9CCAE" w:rsidR="025F2830" w:rsidRDefault="025F2830" w:rsidP="1E1AFD6C">
            <w:pPr>
              <w:rPr>
                <w:rFonts w:ascii="Aptos" w:eastAsia="Aptos" w:hAnsi="Aptos" w:cs="Aptos"/>
                <w:lang w:val="en-GB"/>
              </w:rPr>
            </w:pPr>
            <w:r w:rsidRPr="1E1AFD6C">
              <w:rPr>
                <w:rFonts w:ascii="Aptos" w:eastAsia="Aptos" w:hAnsi="Aptos" w:cs="Aptos"/>
                <w:lang w:val="en-GB"/>
              </w:rPr>
              <w:t>1</w:t>
            </w:r>
          </w:p>
        </w:tc>
        <w:tc>
          <w:tcPr>
            <w:tcW w:w="2111" w:type="dxa"/>
          </w:tcPr>
          <w:p w14:paraId="56319425" w14:textId="79C343EF" w:rsidR="0156E15D" w:rsidRDefault="0156E15D" w:rsidP="1E1AFD6C">
            <w:r>
              <w:t>Climate change — extreme weather, coastal &amp; inland flooding</w:t>
            </w:r>
          </w:p>
        </w:tc>
        <w:tc>
          <w:tcPr>
            <w:tcW w:w="938" w:type="dxa"/>
          </w:tcPr>
          <w:p w14:paraId="1E68B643" w14:textId="34DD10B9" w:rsidR="0156E15D" w:rsidRDefault="0156E15D" w:rsidP="1E1AFD6C">
            <w:pPr>
              <w:rPr>
                <w:rFonts w:ascii="Aptos" w:eastAsia="Aptos" w:hAnsi="Aptos" w:cs="Aptos"/>
                <w:lang w:val="en-GB"/>
              </w:rPr>
            </w:pPr>
            <w:r w:rsidRPr="1E1AFD6C">
              <w:rPr>
                <w:rFonts w:ascii="Aptos" w:eastAsia="Aptos" w:hAnsi="Aptos" w:cs="Aptos"/>
                <w:lang w:val="en-GB"/>
              </w:rPr>
              <w:t>High</w:t>
            </w:r>
          </w:p>
        </w:tc>
        <w:tc>
          <w:tcPr>
            <w:tcW w:w="1069" w:type="dxa"/>
          </w:tcPr>
          <w:p w14:paraId="0CE1378A" w14:textId="2BBE33A1" w:rsidR="0156E15D" w:rsidRDefault="0156E15D" w:rsidP="1E1AFD6C">
            <w:pPr>
              <w:rPr>
                <w:rFonts w:ascii="Aptos" w:eastAsia="Aptos" w:hAnsi="Aptos" w:cs="Aptos"/>
                <w:lang w:val="en-GB"/>
              </w:rPr>
            </w:pPr>
            <w:r w:rsidRPr="1E1AFD6C">
              <w:rPr>
                <w:rFonts w:ascii="Aptos" w:eastAsia="Aptos" w:hAnsi="Aptos" w:cs="Aptos"/>
                <w:lang w:val="en-GB"/>
              </w:rPr>
              <w:t>High</w:t>
            </w:r>
          </w:p>
        </w:tc>
        <w:tc>
          <w:tcPr>
            <w:tcW w:w="2314" w:type="dxa"/>
          </w:tcPr>
          <w:p w14:paraId="786510D5" w14:textId="1E458089" w:rsidR="0156E15D" w:rsidRDefault="0156E15D" w:rsidP="1E1AFD6C">
            <w:r>
              <w:t>Ireland’s National Climate Change Risk Assessment and EPA work identify coastal flooding, storm surges, inland flooding and compound events as already significant and rising risks that can disrupt infrastructure, communities and services. (</w:t>
            </w:r>
            <w:hyperlink r:id="rId12">
              <w:r w:rsidRPr="1E1AFD6C">
                <w:rPr>
                  <w:rStyle w:val="Hyperlink"/>
                </w:rPr>
                <w:t>climateireland.ie</w:t>
              </w:r>
            </w:hyperlink>
          </w:p>
        </w:tc>
        <w:tc>
          <w:tcPr>
            <w:tcW w:w="1400" w:type="dxa"/>
          </w:tcPr>
          <w:p w14:paraId="68E6BAED" w14:textId="2DA085A0" w:rsidR="0156E15D" w:rsidRDefault="0156E15D" w:rsidP="1E1AFD6C">
            <w:r>
              <w:t>Dept. of the Environment (with OPW, Met Éireann, EPA</w:t>
            </w:r>
          </w:p>
        </w:tc>
        <w:tc>
          <w:tcPr>
            <w:tcW w:w="2310" w:type="dxa"/>
          </w:tcPr>
          <w:p w14:paraId="17C25140" w14:textId="35F69B50" w:rsidR="3627E7E9" w:rsidRDefault="3627E7E9" w:rsidP="1E1AFD6C">
            <w:r>
              <w:t xml:space="preserve">1) Fast-track local coastal adaptation (defences + managed retreat planning); </w:t>
            </w:r>
          </w:p>
          <w:p w14:paraId="2061EEE0" w14:textId="058A4EF0" w:rsidR="3627E7E9" w:rsidRDefault="3627E7E9" w:rsidP="1E1AFD6C">
            <w:r>
              <w:t>2) Integrate climate hazard maps into planning/insurance; 3) Upgrade flood early-warning and local emergency response capacity</w:t>
            </w:r>
          </w:p>
        </w:tc>
      </w:tr>
      <w:tr w:rsidR="1E1AFD6C" w14:paraId="4F9E2355" w14:textId="77777777" w:rsidTr="1E1AFD6C">
        <w:trPr>
          <w:trHeight w:val="300"/>
        </w:trPr>
        <w:tc>
          <w:tcPr>
            <w:tcW w:w="465" w:type="dxa"/>
          </w:tcPr>
          <w:p w14:paraId="207876AA" w14:textId="6402AB05" w:rsidR="025F2830" w:rsidRDefault="025F2830" w:rsidP="1E1AFD6C">
            <w:pPr>
              <w:rPr>
                <w:rFonts w:ascii="Aptos" w:eastAsia="Aptos" w:hAnsi="Aptos" w:cs="Aptos"/>
                <w:lang w:val="en-GB"/>
              </w:rPr>
            </w:pPr>
            <w:r w:rsidRPr="1E1AFD6C">
              <w:rPr>
                <w:rFonts w:ascii="Aptos" w:eastAsia="Aptos" w:hAnsi="Aptos" w:cs="Aptos"/>
                <w:lang w:val="en-GB"/>
              </w:rPr>
              <w:t>2</w:t>
            </w:r>
          </w:p>
        </w:tc>
        <w:tc>
          <w:tcPr>
            <w:tcW w:w="2111" w:type="dxa"/>
          </w:tcPr>
          <w:p w14:paraId="0D23E638" w14:textId="22ED428E" w:rsidR="5D42C2B3" w:rsidRDefault="5D42C2B3" w:rsidP="1E1AFD6C">
            <w:r>
              <w:t>Energy &amp; critical infrastructure security (gas dependence, generation shortfalls, outages)</w:t>
            </w:r>
          </w:p>
          <w:p w14:paraId="24E8A9FA" w14:textId="0C59D05D" w:rsidR="1E1AFD6C" w:rsidRDefault="1E1AFD6C" w:rsidP="1E1AFD6C">
            <w:pPr>
              <w:rPr>
                <w:rFonts w:ascii="Aptos" w:eastAsia="Aptos" w:hAnsi="Aptos" w:cs="Aptos"/>
                <w:lang w:val="en-GB"/>
              </w:rPr>
            </w:pPr>
          </w:p>
        </w:tc>
        <w:tc>
          <w:tcPr>
            <w:tcW w:w="938" w:type="dxa"/>
          </w:tcPr>
          <w:p w14:paraId="2E404456" w14:textId="5B407B79" w:rsidR="6E321CBF" w:rsidRDefault="6E321CBF" w:rsidP="1E1AFD6C">
            <w:pPr>
              <w:rPr>
                <w:rFonts w:ascii="Aptos" w:eastAsia="Aptos" w:hAnsi="Aptos" w:cs="Aptos"/>
                <w:lang w:val="en-GB"/>
              </w:rPr>
            </w:pPr>
            <w:r w:rsidRPr="1E1AFD6C">
              <w:rPr>
                <w:rFonts w:ascii="Aptos" w:eastAsia="Aptos" w:hAnsi="Aptos" w:cs="Aptos"/>
                <w:lang w:val="en-GB"/>
              </w:rPr>
              <w:t>Medium</w:t>
            </w:r>
            <w:r w:rsidR="2E21097C" w:rsidRPr="1E1AFD6C">
              <w:rPr>
                <w:rFonts w:ascii="Aptos" w:eastAsia="Aptos" w:hAnsi="Aptos" w:cs="Aptos"/>
                <w:lang w:val="en-GB"/>
              </w:rPr>
              <w:t xml:space="preserve"> - high</w:t>
            </w:r>
          </w:p>
        </w:tc>
        <w:tc>
          <w:tcPr>
            <w:tcW w:w="1069" w:type="dxa"/>
          </w:tcPr>
          <w:p w14:paraId="203DC655" w14:textId="29FC76B2" w:rsidR="6E321CBF" w:rsidRDefault="6E321CBF" w:rsidP="1E1AFD6C">
            <w:pPr>
              <w:rPr>
                <w:rFonts w:ascii="Aptos" w:eastAsia="Aptos" w:hAnsi="Aptos" w:cs="Aptos"/>
                <w:lang w:val="en-GB"/>
              </w:rPr>
            </w:pPr>
            <w:r w:rsidRPr="1E1AFD6C">
              <w:rPr>
                <w:rFonts w:ascii="Aptos" w:eastAsia="Aptos" w:hAnsi="Aptos" w:cs="Aptos"/>
                <w:lang w:val="en-GB"/>
              </w:rPr>
              <w:t>High</w:t>
            </w:r>
          </w:p>
        </w:tc>
        <w:tc>
          <w:tcPr>
            <w:tcW w:w="2314" w:type="dxa"/>
          </w:tcPr>
          <w:p w14:paraId="49EDE78F" w14:textId="177530FA" w:rsidR="6E321CBF" w:rsidRDefault="6E321CBF" w:rsidP="1E1AFD6C">
            <w:r>
              <w:t xml:space="preserve">Ireland remains substantially dependent on natural gas for electricity (large share of generation) and experienced storm-related power outages; EU reviews and IEA note gas security vulnerabilities across member states. Disruption → </w:t>
            </w:r>
            <w:r>
              <w:lastRenderedPageBreak/>
              <w:t>economic shock and cascading infrastructure failure. (</w:t>
            </w:r>
            <w:hyperlink r:id="rId13">
              <w:r w:rsidRPr="1E1AFD6C">
                <w:rPr>
                  <w:rStyle w:val="Hyperlink"/>
                </w:rPr>
                <w:t>IEA)</w:t>
              </w:r>
            </w:hyperlink>
          </w:p>
        </w:tc>
        <w:tc>
          <w:tcPr>
            <w:tcW w:w="1400" w:type="dxa"/>
          </w:tcPr>
          <w:p w14:paraId="17ED25A7" w14:textId="2A4246D2" w:rsidR="6E321CBF" w:rsidRDefault="6E321CBF" w:rsidP="1E1AFD6C">
            <w:r>
              <w:lastRenderedPageBreak/>
              <w:t>Dept. of Environment / Dept. of the Taoiseach (energy policy) with ESB/SEAI</w:t>
            </w:r>
          </w:p>
        </w:tc>
        <w:tc>
          <w:tcPr>
            <w:tcW w:w="2310" w:type="dxa"/>
          </w:tcPr>
          <w:p w14:paraId="144D43DF" w14:textId="0EE67DC4" w:rsidR="6E321CBF" w:rsidRDefault="6E321CBF" w:rsidP="1E1AFD6C">
            <w:r>
              <w:t xml:space="preserve">1) Accelerate diversification (storage, interconnectors, renewables + flexible backup); </w:t>
            </w:r>
          </w:p>
          <w:p w14:paraId="3A121624" w14:textId="5E9DA303" w:rsidR="6E321CBF" w:rsidRDefault="6E321CBF" w:rsidP="1E1AFD6C">
            <w:r>
              <w:t xml:space="preserve">2) Harden grid and distributed resilience (community back-ups); </w:t>
            </w:r>
          </w:p>
          <w:p w14:paraId="050FDB00" w14:textId="6554B273" w:rsidR="6E321CBF" w:rsidRDefault="6E321CBF" w:rsidP="1E1AFD6C">
            <w:r>
              <w:t xml:space="preserve">3) Regular stress-testing of supply scenarios and </w:t>
            </w:r>
            <w:r>
              <w:lastRenderedPageBreak/>
              <w:t>emergency fuel plans</w:t>
            </w:r>
          </w:p>
        </w:tc>
      </w:tr>
      <w:tr w:rsidR="1E1AFD6C" w14:paraId="5CC16E87" w14:textId="77777777" w:rsidTr="1E1AFD6C">
        <w:trPr>
          <w:trHeight w:val="300"/>
        </w:trPr>
        <w:tc>
          <w:tcPr>
            <w:tcW w:w="465" w:type="dxa"/>
          </w:tcPr>
          <w:p w14:paraId="0180CDD1" w14:textId="4BBE0DC9" w:rsidR="025F2830" w:rsidRDefault="025F2830" w:rsidP="1E1AFD6C">
            <w:pPr>
              <w:rPr>
                <w:rFonts w:ascii="Aptos" w:eastAsia="Aptos" w:hAnsi="Aptos" w:cs="Aptos"/>
                <w:lang w:val="en-GB"/>
              </w:rPr>
            </w:pPr>
            <w:r w:rsidRPr="1E1AFD6C">
              <w:rPr>
                <w:rFonts w:ascii="Aptos" w:eastAsia="Aptos" w:hAnsi="Aptos" w:cs="Aptos"/>
                <w:lang w:val="en-GB"/>
              </w:rPr>
              <w:lastRenderedPageBreak/>
              <w:t>3</w:t>
            </w:r>
          </w:p>
        </w:tc>
        <w:tc>
          <w:tcPr>
            <w:tcW w:w="2111" w:type="dxa"/>
          </w:tcPr>
          <w:p w14:paraId="29C417C3" w14:textId="4629D45D" w:rsidR="43389171" w:rsidRDefault="43389171" w:rsidP="1E1AFD6C">
            <w:r>
              <w:t>Cybersecurity &amp; hybrid information operations (including election-period influence</w:t>
            </w:r>
          </w:p>
        </w:tc>
        <w:tc>
          <w:tcPr>
            <w:tcW w:w="938" w:type="dxa"/>
          </w:tcPr>
          <w:p w14:paraId="18472360" w14:textId="537FBCD8" w:rsidR="5345F868" w:rsidRDefault="5345F868" w:rsidP="1E1AFD6C">
            <w:pPr>
              <w:rPr>
                <w:rFonts w:ascii="Aptos" w:eastAsia="Aptos" w:hAnsi="Aptos" w:cs="Aptos"/>
                <w:lang w:val="en-GB"/>
              </w:rPr>
            </w:pPr>
            <w:r w:rsidRPr="1E1AFD6C">
              <w:rPr>
                <w:rFonts w:ascii="Aptos" w:eastAsia="Aptos" w:hAnsi="Aptos" w:cs="Aptos"/>
                <w:lang w:val="en-GB"/>
              </w:rPr>
              <w:t>High</w:t>
            </w:r>
          </w:p>
        </w:tc>
        <w:tc>
          <w:tcPr>
            <w:tcW w:w="1069" w:type="dxa"/>
          </w:tcPr>
          <w:p w14:paraId="574325CD" w14:textId="3A66C012" w:rsidR="5345F868" w:rsidRDefault="5345F868" w:rsidP="1E1AFD6C">
            <w:pPr>
              <w:rPr>
                <w:rFonts w:ascii="Aptos" w:eastAsia="Aptos" w:hAnsi="Aptos" w:cs="Aptos"/>
                <w:lang w:val="en-GB"/>
              </w:rPr>
            </w:pPr>
            <w:r w:rsidRPr="1E1AFD6C">
              <w:rPr>
                <w:rFonts w:ascii="Aptos" w:eastAsia="Aptos" w:hAnsi="Aptos" w:cs="Aptos"/>
                <w:lang w:val="en-GB"/>
              </w:rPr>
              <w:t>High</w:t>
            </w:r>
          </w:p>
        </w:tc>
        <w:tc>
          <w:tcPr>
            <w:tcW w:w="2314" w:type="dxa"/>
          </w:tcPr>
          <w:p w14:paraId="3F546FE1" w14:textId="311D9948" w:rsidR="5345F868" w:rsidRDefault="5345F868" w:rsidP="1E1AFD6C">
            <w:r>
              <w:t>NCSC/Irish reporting shows hundreds–thousands of cyber reports annually and medium risk of foreign information manipulation around elections; government has progressed NIS2 transposition and election threat guidance. Cyber incidents and disinformation can degrade services and democratic trust. (</w:t>
            </w:r>
            <w:hyperlink r:id="rId14">
              <w:r w:rsidRPr="1E1AFD6C">
                <w:rPr>
                  <w:rStyle w:val="Hyperlink"/>
                </w:rPr>
                <w:t>RTE.ie)</w:t>
              </w:r>
            </w:hyperlink>
          </w:p>
        </w:tc>
        <w:tc>
          <w:tcPr>
            <w:tcW w:w="1400" w:type="dxa"/>
          </w:tcPr>
          <w:p w14:paraId="0137AC32" w14:textId="5BB311F8" w:rsidR="25CB7C4B" w:rsidRDefault="25CB7C4B" w:rsidP="1E1AFD6C">
            <w:r>
              <w:t>National Cyber Security Centre (Dept. of Defence) with Dept. of An Taoiseach / Minister for Justice</w:t>
            </w:r>
          </w:p>
        </w:tc>
        <w:tc>
          <w:tcPr>
            <w:tcW w:w="2310" w:type="dxa"/>
          </w:tcPr>
          <w:p w14:paraId="2D37EAAD" w14:textId="531CA255" w:rsidR="25CB7C4B" w:rsidRDefault="25CB7C4B" w:rsidP="1E1AFD6C">
            <w:r>
              <w:t xml:space="preserve">1) Expand incident reporting/response &amp; public-private tabletop exercises; 2) Fund national media/digital literacy and rapid counter-messaging capability; </w:t>
            </w:r>
          </w:p>
          <w:p w14:paraId="41DA03ED" w14:textId="54416097" w:rsidR="25CB7C4B" w:rsidRDefault="25CB7C4B" w:rsidP="1E1AFD6C">
            <w:r>
              <w:t>3) Mandate critical-system cyber hardening &amp; supply-chain audits.</w:t>
            </w:r>
          </w:p>
          <w:p w14:paraId="7C166C82" w14:textId="3A410607" w:rsidR="1E1AFD6C" w:rsidRDefault="1E1AFD6C" w:rsidP="1E1AFD6C">
            <w:pPr>
              <w:rPr>
                <w:rFonts w:ascii="Aptos" w:eastAsia="Aptos" w:hAnsi="Aptos" w:cs="Aptos"/>
                <w:lang w:val="en-GB"/>
              </w:rPr>
            </w:pPr>
          </w:p>
        </w:tc>
      </w:tr>
      <w:tr w:rsidR="1E1AFD6C" w14:paraId="22EE5E64" w14:textId="77777777" w:rsidTr="1E1AFD6C">
        <w:trPr>
          <w:trHeight w:val="300"/>
        </w:trPr>
        <w:tc>
          <w:tcPr>
            <w:tcW w:w="465" w:type="dxa"/>
          </w:tcPr>
          <w:p w14:paraId="12329EF5" w14:textId="3066EF2B" w:rsidR="025F2830" w:rsidRDefault="025F2830" w:rsidP="1E1AFD6C">
            <w:pPr>
              <w:rPr>
                <w:rFonts w:ascii="Aptos" w:eastAsia="Aptos" w:hAnsi="Aptos" w:cs="Aptos"/>
                <w:lang w:val="en-GB"/>
              </w:rPr>
            </w:pPr>
            <w:r w:rsidRPr="1E1AFD6C">
              <w:rPr>
                <w:rFonts w:ascii="Aptos" w:eastAsia="Aptos" w:hAnsi="Aptos" w:cs="Aptos"/>
                <w:lang w:val="en-GB"/>
              </w:rPr>
              <w:t>4</w:t>
            </w:r>
          </w:p>
        </w:tc>
        <w:tc>
          <w:tcPr>
            <w:tcW w:w="2111" w:type="dxa"/>
          </w:tcPr>
          <w:p w14:paraId="72DE32BF" w14:textId="54B50AF7" w:rsidR="602721E1" w:rsidRDefault="602721E1" w:rsidP="1E1AFD6C">
            <w:r>
              <w:t>Public health threats — pandemics, emerging pathogens &amp; health system strain</w:t>
            </w:r>
          </w:p>
        </w:tc>
        <w:tc>
          <w:tcPr>
            <w:tcW w:w="938" w:type="dxa"/>
          </w:tcPr>
          <w:p w14:paraId="0336E7C8" w14:textId="6A268E3A" w:rsidR="36D1BB04" w:rsidRDefault="36D1BB04" w:rsidP="1E1AFD6C">
            <w:pPr>
              <w:rPr>
                <w:rFonts w:ascii="Aptos" w:eastAsia="Aptos" w:hAnsi="Aptos" w:cs="Aptos"/>
                <w:lang w:val="en-GB"/>
              </w:rPr>
            </w:pPr>
            <w:r w:rsidRPr="1E1AFD6C">
              <w:rPr>
                <w:rFonts w:ascii="Aptos" w:eastAsia="Aptos" w:hAnsi="Aptos" w:cs="Aptos"/>
                <w:lang w:val="en-GB"/>
              </w:rPr>
              <w:t>Medium</w:t>
            </w:r>
          </w:p>
        </w:tc>
        <w:tc>
          <w:tcPr>
            <w:tcW w:w="1069" w:type="dxa"/>
          </w:tcPr>
          <w:p w14:paraId="3961BC91" w14:textId="34336C32" w:rsidR="36D1BB04" w:rsidRDefault="36D1BB04" w:rsidP="1E1AFD6C">
            <w:pPr>
              <w:rPr>
                <w:rFonts w:ascii="Aptos" w:eastAsia="Aptos" w:hAnsi="Aptos" w:cs="Aptos"/>
                <w:lang w:val="en-GB"/>
              </w:rPr>
            </w:pPr>
            <w:r w:rsidRPr="1E1AFD6C">
              <w:rPr>
                <w:rFonts w:ascii="Aptos" w:eastAsia="Aptos" w:hAnsi="Aptos" w:cs="Aptos"/>
                <w:lang w:val="en-GB"/>
              </w:rPr>
              <w:t>High</w:t>
            </w:r>
          </w:p>
        </w:tc>
        <w:tc>
          <w:tcPr>
            <w:tcW w:w="2314" w:type="dxa"/>
          </w:tcPr>
          <w:p w14:paraId="5CC547CD" w14:textId="22CBA27E" w:rsidR="36D1BB04" w:rsidRDefault="36D1BB04" w:rsidP="1E1AFD6C">
            <w:r>
              <w:t>COVID-19 exposed system weaknesses; recent Irish Health Protection Strategy and reviews prioritize preparedness, surveillance and early detection as critical to prevent major societal/economic disruption. (</w:t>
            </w:r>
            <w:hyperlink r:id="rId15">
              <w:r w:rsidRPr="1E1AFD6C">
                <w:rPr>
                  <w:rStyle w:val="Hyperlink"/>
                </w:rPr>
                <w:t>HPSC</w:t>
              </w:r>
            </w:hyperlink>
          </w:p>
        </w:tc>
        <w:tc>
          <w:tcPr>
            <w:tcW w:w="1400" w:type="dxa"/>
          </w:tcPr>
          <w:p w14:paraId="037B7972" w14:textId="394EE87F" w:rsidR="36D1BB04" w:rsidRDefault="36D1BB04" w:rsidP="1E1AFD6C">
            <w:r>
              <w:t>Department of Health / HSE with HPSC &amp; ECDC coordination</w:t>
            </w:r>
          </w:p>
        </w:tc>
        <w:tc>
          <w:tcPr>
            <w:tcW w:w="2310" w:type="dxa"/>
          </w:tcPr>
          <w:p w14:paraId="7946DC1B" w14:textId="20CA8993" w:rsidR="36D1BB04" w:rsidRDefault="36D1BB04" w:rsidP="1E1AFD6C">
            <w:r>
              <w:t xml:space="preserve">1) Sustain surge capacity (testing, labs, workforce reserve); </w:t>
            </w:r>
          </w:p>
          <w:p w14:paraId="0CB9B9E3" w14:textId="630DA797" w:rsidR="36D1BB04" w:rsidRDefault="36D1BB04" w:rsidP="1E1AFD6C">
            <w:r>
              <w:t xml:space="preserve">2) Strengthen integrated surveillance (zoonotic &amp; AMR monitoring); </w:t>
            </w:r>
          </w:p>
          <w:p w14:paraId="723E2C5B" w14:textId="242F0F72" w:rsidR="36D1BB04" w:rsidRDefault="36D1BB04" w:rsidP="1E1AFD6C">
            <w:r>
              <w:t>3) Maintain stockpiles &amp; rapid vaccine/therapeutics procurement frameworks.</w:t>
            </w:r>
          </w:p>
        </w:tc>
      </w:tr>
      <w:tr w:rsidR="1E1AFD6C" w14:paraId="7A160F08" w14:textId="77777777" w:rsidTr="1E1AFD6C">
        <w:trPr>
          <w:trHeight w:val="300"/>
        </w:trPr>
        <w:tc>
          <w:tcPr>
            <w:tcW w:w="465" w:type="dxa"/>
          </w:tcPr>
          <w:p w14:paraId="282A579B" w14:textId="1F431CC4" w:rsidR="025F2830" w:rsidRDefault="025F2830" w:rsidP="1E1AFD6C">
            <w:pPr>
              <w:rPr>
                <w:rFonts w:ascii="Aptos" w:eastAsia="Aptos" w:hAnsi="Aptos" w:cs="Aptos"/>
                <w:lang w:val="en-GB"/>
              </w:rPr>
            </w:pPr>
            <w:r w:rsidRPr="1E1AFD6C">
              <w:rPr>
                <w:rFonts w:ascii="Aptos" w:eastAsia="Aptos" w:hAnsi="Aptos" w:cs="Aptos"/>
                <w:lang w:val="en-GB"/>
              </w:rPr>
              <w:t>5</w:t>
            </w:r>
          </w:p>
        </w:tc>
        <w:tc>
          <w:tcPr>
            <w:tcW w:w="2111" w:type="dxa"/>
          </w:tcPr>
          <w:p w14:paraId="3259D58E" w14:textId="3DB556B2" w:rsidR="4A725DCD" w:rsidRDefault="4A725DCD" w:rsidP="1E1AFD6C">
            <w:r>
              <w:t>Food security &amp; supply-chain shocks (agriculture vulnerabilities, trade shocks</w:t>
            </w:r>
          </w:p>
        </w:tc>
        <w:tc>
          <w:tcPr>
            <w:tcW w:w="938" w:type="dxa"/>
          </w:tcPr>
          <w:p w14:paraId="654B9CFE" w14:textId="0EC44A9E" w:rsidR="4A725DCD" w:rsidRDefault="4A725DCD" w:rsidP="1E1AFD6C">
            <w:pPr>
              <w:rPr>
                <w:rFonts w:ascii="Aptos" w:eastAsia="Aptos" w:hAnsi="Aptos" w:cs="Aptos"/>
                <w:lang w:val="en-GB"/>
              </w:rPr>
            </w:pPr>
            <w:r w:rsidRPr="1E1AFD6C">
              <w:rPr>
                <w:rFonts w:ascii="Aptos" w:eastAsia="Aptos" w:hAnsi="Aptos" w:cs="Aptos"/>
                <w:lang w:val="en-GB"/>
              </w:rPr>
              <w:t>Medium</w:t>
            </w:r>
          </w:p>
        </w:tc>
        <w:tc>
          <w:tcPr>
            <w:tcW w:w="1069" w:type="dxa"/>
          </w:tcPr>
          <w:p w14:paraId="3B4EA5D9" w14:textId="544984DA" w:rsidR="4A725DCD" w:rsidRDefault="4A725DCD" w:rsidP="1E1AFD6C">
            <w:pPr>
              <w:rPr>
                <w:rFonts w:ascii="Aptos" w:eastAsia="Aptos" w:hAnsi="Aptos" w:cs="Aptos"/>
                <w:lang w:val="en-GB"/>
              </w:rPr>
            </w:pPr>
            <w:r w:rsidRPr="1E1AFD6C">
              <w:rPr>
                <w:rFonts w:ascii="Aptos" w:eastAsia="Aptos" w:hAnsi="Aptos" w:cs="Aptos"/>
                <w:lang w:val="en-GB"/>
              </w:rPr>
              <w:t>Medium - high</w:t>
            </w:r>
          </w:p>
        </w:tc>
        <w:tc>
          <w:tcPr>
            <w:tcW w:w="2314" w:type="dxa"/>
          </w:tcPr>
          <w:p w14:paraId="37AFDCD3" w14:textId="57166825" w:rsidR="4A725DCD" w:rsidRDefault="4A725DCD" w:rsidP="1E1AFD6C">
            <w:r>
              <w:t xml:space="preserve">Ireland’s agri sector is important economically; EU mechanisms (EFSCM) and national analyses show exposure to trade disruption, input price shocks and extreme weather affecting </w:t>
            </w:r>
            <w:r>
              <w:lastRenderedPageBreak/>
              <w:t>production and imports.</w:t>
            </w:r>
          </w:p>
        </w:tc>
        <w:tc>
          <w:tcPr>
            <w:tcW w:w="1400" w:type="dxa"/>
          </w:tcPr>
          <w:p w14:paraId="55343184" w14:textId="101135C3" w:rsidR="4A725DCD" w:rsidRDefault="4A725DCD" w:rsidP="1E1AFD6C">
            <w:r>
              <w:lastRenderedPageBreak/>
              <w:t>Dept. of Agriculture, Food &amp; the Marine (with Dept. of Transport / trade</w:t>
            </w:r>
          </w:p>
        </w:tc>
        <w:tc>
          <w:tcPr>
            <w:tcW w:w="2310" w:type="dxa"/>
          </w:tcPr>
          <w:p w14:paraId="0867D8E0" w14:textId="2D6C454A" w:rsidR="4A725DCD" w:rsidRDefault="4A725DCD" w:rsidP="1E1AFD6C">
            <w:r>
              <w:t xml:space="preserve">1) Diversify supply routes and strategic stockholding for critical inputs; </w:t>
            </w:r>
          </w:p>
          <w:p w14:paraId="7E1EA9EF" w14:textId="0013361D" w:rsidR="4A725DCD" w:rsidRDefault="4A725DCD" w:rsidP="1E1AFD6C">
            <w:r>
              <w:t xml:space="preserve">2) Boost resilient domestic production (sustainable practices, storage); 3) Engage EU-level contingency </w:t>
            </w:r>
            <w:r>
              <w:lastRenderedPageBreak/>
              <w:t>mechanisms (EFSCM) and cross-border logistics agreements</w:t>
            </w:r>
          </w:p>
        </w:tc>
      </w:tr>
      <w:tr w:rsidR="1E1AFD6C" w14:paraId="64B96478" w14:textId="77777777" w:rsidTr="1E1AFD6C">
        <w:trPr>
          <w:trHeight w:val="300"/>
        </w:trPr>
        <w:tc>
          <w:tcPr>
            <w:tcW w:w="465" w:type="dxa"/>
          </w:tcPr>
          <w:p w14:paraId="4C835481" w14:textId="445E79E3" w:rsidR="025F2830" w:rsidRDefault="025F2830" w:rsidP="1E1AFD6C">
            <w:pPr>
              <w:rPr>
                <w:rFonts w:ascii="Aptos" w:eastAsia="Aptos" w:hAnsi="Aptos" w:cs="Aptos"/>
                <w:lang w:val="en-GB"/>
              </w:rPr>
            </w:pPr>
            <w:r w:rsidRPr="1E1AFD6C">
              <w:rPr>
                <w:rFonts w:ascii="Aptos" w:eastAsia="Aptos" w:hAnsi="Aptos" w:cs="Aptos"/>
                <w:lang w:val="en-GB"/>
              </w:rPr>
              <w:lastRenderedPageBreak/>
              <w:t>6</w:t>
            </w:r>
          </w:p>
        </w:tc>
        <w:tc>
          <w:tcPr>
            <w:tcW w:w="2111" w:type="dxa"/>
          </w:tcPr>
          <w:p w14:paraId="02F6CBF4" w14:textId="56A0E19E" w:rsidR="528FB35F" w:rsidRDefault="528FB35F" w:rsidP="1E1AFD6C">
            <w:r>
              <w:t>Transnational organised crime &amp; illicit finance (incl. virtual-asset-enabled TF</w:t>
            </w:r>
          </w:p>
        </w:tc>
        <w:tc>
          <w:tcPr>
            <w:tcW w:w="938" w:type="dxa"/>
          </w:tcPr>
          <w:p w14:paraId="1E7046A0" w14:textId="545E31A1" w:rsidR="528FB35F" w:rsidRDefault="528FB35F" w:rsidP="1E1AFD6C">
            <w:pPr>
              <w:rPr>
                <w:rFonts w:ascii="Aptos" w:eastAsia="Aptos" w:hAnsi="Aptos" w:cs="Aptos"/>
                <w:lang w:val="en-GB"/>
              </w:rPr>
            </w:pPr>
            <w:r w:rsidRPr="1E1AFD6C">
              <w:rPr>
                <w:rFonts w:ascii="Aptos" w:eastAsia="Aptos" w:hAnsi="Aptos" w:cs="Aptos"/>
                <w:lang w:val="en-GB"/>
              </w:rPr>
              <w:t>Medium</w:t>
            </w:r>
          </w:p>
        </w:tc>
        <w:tc>
          <w:tcPr>
            <w:tcW w:w="1069" w:type="dxa"/>
          </w:tcPr>
          <w:p w14:paraId="7746EED7" w14:textId="0ACEB7ED" w:rsidR="528FB35F" w:rsidRDefault="528FB35F" w:rsidP="1E1AFD6C">
            <w:pPr>
              <w:rPr>
                <w:rFonts w:ascii="Aptos" w:eastAsia="Aptos" w:hAnsi="Aptos" w:cs="Aptos"/>
                <w:lang w:val="en-GB"/>
              </w:rPr>
            </w:pPr>
            <w:r w:rsidRPr="1E1AFD6C">
              <w:rPr>
                <w:rFonts w:ascii="Aptos" w:eastAsia="Aptos" w:hAnsi="Aptos" w:cs="Aptos"/>
                <w:lang w:val="en-GB"/>
              </w:rPr>
              <w:t>Medium</w:t>
            </w:r>
          </w:p>
        </w:tc>
        <w:tc>
          <w:tcPr>
            <w:tcW w:w="2314" w:type="dxa"/>
          </w:tcPr>
          <w:p w14:paraId="4AA40E47" w14:textId="1F21E601" w:rsidR="528FB35F" w:rsidRDefault="528FB35F" w:rsidP="1E1AFD6C">
            <w:r>
              <w:t>Irish risk assessments highlight terrorist-financing/virtual currency threats and ongoing organised crime (trafficking, money laundering) undermining governance and finances. (</w:t>
            </w:r>
            <w:hyperlink r:id="rId16">
              <w:r w:rsidRPr="1E1AFD6C">
                <w:rPr>
                  <w:rStyle w:val="Hyperlink"/>
                </w:rPr>
                <w:t>amlcompliance.ie</w:t>
              </w:r>
            </w:hyperlink>
          </w:p>
        </w:tc>
        <w:tc>
          <w:tcPr>
            <w:tcW w:w="1400" w:type="dxa"/>
          </w:tcPr>
          <w:p w14:paraId="60E0F973" w14:textId="6D15DF9D" w:rsidR="528FB35F" w:rsidRDefault="528FB35F" w:rsidP="1E1AFD6C">
            <w:r>
              <w:t>Dept. of Justice / Garda Síochána with Dept. of Finance (FIU</w:t>
            </w:r>
          </w:p>
        </w:tc>
        <w:tc>
          <w:tcPr>
            <w:tcW w:w="2310" w:type="dxa"/>
          </w:tcPr>
          <w:p w14:paraId="51DA9669" w14:textId="1B27501D" w:rsidR="528FB35F" w:rsidRDefault="528FB35F" w:rsidP="1E1AFD6C">
            <w:r>
              <w:t xml:space="preserve">1) Tighten VASP/crypto AML supervision and cross-border law enforcement cooperation; </w:t>
            </w:r>
          </w:p>
          <w:p w14:paraId="229C5972" w14:textId="0203477B" w:rsidR="528FB35F" w:rsidRDefault="528FB35F" w:rsidP="1E1AFD6C">
            <w:r>
              <w:t xml:space="preserve">2) Strengthen financial transparency (beneficial-ownership registers) and AML resourcing; </w:t>
            </w:r>
          </w:p>
          <w:p w14:paraId="67BF85FF" w14:textId="1DDE5D89" w:rsidR="528FB35F" w:rsidRDefault="528FB35F" w:rsidP="1E1AFD6C">
            <w:r>
              <w:t>3) Target supply chains (ports/logistics) with intelligence-led policing</w:t>
            </w:r>
          </w:p>
        </w:tc>
      </w:tr>
    </w:tbl>
    <w:p w14:paraId="35381C12" w14:textId="271D1BB1" w:rsidR="1E1AFD6C" w:rsidRDefault="1E1AFD6C" w:rsidP="1E1AFD6C">
      <w:pPr>
        <w:spacing w:before="240" w:after="240"/>
        <w:rPr>
          <w:rFonts w:ascii="Aptos" w:eastAsia="Aptos" w:hAnsi="Aptos" w:cs="Aptos"/>
          <w:lang w:val="en-GB"/>
        </w:rPr>
      </w:pPr>
    </w:p>
    <w:p w14:paraId="79CEB08F" w14:textId="0AF5EC55" w:rsidR="719A15FE" w:rsidRDefault="719A15FE" w:rsidP="1E1AFD6C">
      <w:pPr>
        <w:spacing w:before="240" w:after="240"/>
        <w:rPr>
          <w:rFonts w:ascii="Aptos" w:eastAsia="Aptos" w:hAnsi="Aptos" w:cs="Aptos"/>
          <w:b/>
          <w:bCs/>
          <w:lang w:val="en-GB"/>
        </w:rPr>
      </w:pPr>
      <w:r w:rsidRPr="1E1AFD6C">
        <w:rPr>
          <w:rFonts w:ascii="Aptos" w:eastAsia="Aptos" w:hAnsi="Aptos" w:cs="Aptos"/>
          <w:b/>
          <w:bCs/>
          <w:lang w:val="en-GB"/>
        </w:rPr>
        <w:t xml:space="preserve">Speaker 1 </w:t>
      </w:r>
    </w:p>
    <w:p w14:paraId="649A6B29" w14:textId="290F169D" w:rsidR="719A15FE" w:rsidRDefault="719A15FE" w:rsidP="1E1AFD6C">
      <w:pPr>
        <w:spacing w:before="240" w:after="240"/>
        <w:rPr>
          <w:rFonts w:ascii="Aptos" w:eastAsia="Aptos" w:hAnsi="Aptos" w:cs="Aptos"/>
          <w:lang w:val="en-GB"/>
        </w:rPr>
      </w:pPr>
      <w:r w:rsidRPr="1E1AFD6C">
        <w:rPr>
          <w:rFonts w:ascii="Aptos" w:eastAsia="Aptos" w:hAnsi="Aptos" w:cs="Aptos"/>
          <w:lang w:val="en-GB"/>
        </w:rPr>
        <w:t>Breakdown of question component parts to include the theory, definitions</w:t>
      </w:r>
    </w:p>
    <w:p w14:paraId="4BDF8693" w14:textId="1B1009D2" w:rsidR="719A15FE" w:rsidRDefault="719A15FE" w:rsidP="1E1AFD6C">
      <w:pPr>
        <w:pStyle w:val="ListParagraph"/>
        <w:numPr>
          <w:ilvl w:val="0"/>
          <w:numId w:val="5"/>
        </w:numPr>
        <w:rPr>
          <w:lang w:val="en-GB"/>
        </w:rPr>
      </w:pPr>
      <w:r w:rsidRPr="1E1AFD6C">
        <w:rPr>
          <w:lang w:val="en-GB"/>
        </w:rPr>
        <w:t>Military instrument of national power</w:t>
      </w:r>
    </w:p>
    <w:p w14:paraId="243D78A0" w14:textId="5483A4E5" w:rsidR="719A15FE" w:rsidRDefault="719A15FE" w:rsidP="1E1AFD6C">
      <w:pPr>
        <w:pStyle w:val="ListParagraph"/>
        <w:numPr>
          <w:ilvl w:val="0"/>
          <w:numId w:val="5"/>
        </w:numPr>
        <w:rPr>
          <w:lang w:val="en-GB"/>
        </w:rPr>
      </w:pPr>
      <w:r w:rsidRPr="1E1AFD6C">
        <w:rPr>
          <w:lang w:val="en-GB"/>
        </w:rPr>
        <w:t>Other instruments of national power</w:t>
      </w:r>
    </w:p>
    <w:p w14:paraId="37AEE581" w14:textId="550233A6" w:rsidR="719A15FE" w:rsidRDefault="719A15FE" w:rsidP="1E1AFD6C">
      <w:pPr>
        <w:pStyle w:val="ListParagraph"/>
        <w:numPr>
          <w:ilvl w:val="0"/>
          <w:numId w:val="5"/>
        </w:numPr>
        <w:rPr>
          <w:lang w:val="en-GB"/>
        </w:rPr>
      </w:pPr>
      <w:r w:rsidRPr="1E1AFD6C">
        <w:rPr>
          <w:lang w:val="en-GB"/>
        </w:rPr>
        <w:t>Societal resilience</w:t>
      </w:r>
    </w:p>
    <w:p w14:paraId="01022E5E" w14:textId="2937D5F3" w:rsidR="719A15FE" w:rsidRDefault="719A15FE" w:rsidP="1E1AFD6C">
      <w:pPr>
        <w:pStyle w:val="ListParagraph"/>
        <w:numPr>
          <w:ilvl w:val="0"/>
          <w:numId w:val="5"/>
        </w:numPr>
        <w:rPr>
          <w:lang w:val="en-GB"/>
        </w:rPr>
      </w:pPr>
      <w:r w:rsidRPr="1E1AFD6C">
        <w:rPr>
          <w:lang w:val="en-GB"/>
        </w:rPr>
        <w:t>Non traditional security threats</w:t>
      </w:r>
    </w:p>
    <w:p w14:paraId="3F657CDC" w14:textId="7D8EA41A" w:rsidR="1E1AFD6C" w:rsidRDefault="1E1AFD6C" w:rsidP="1E1AFD6C">
      <w:pPr>
        <w:rPr>
          <w:lang w:val="en-GB"/>
        </w:rPr>
      </w:pPr>
    </w:p>
    <w:p w14:paraId="0BCD7834" w14:textId="3FB16C39" w:rsidR="68820B2A" w:rsidRDefault="68820B2A" w:rsidP="1E1AFD6C">
      <w:pPr>
        <w:rPr>
          <w:b/>
          <w:bCs/>
          <w:lang w:val="en-GB"/>
        </w:rPr>
      </w:pPr>
      <w:r w:rsidRPr="1E1AFD6C">
        <w:rPr>
          <w:b/>
          <w:bCs/>
          <w:lang w:val="en-GB"/>
        </w:rPr>
        <w:t>Speaker 2</w:t>
      </w:r>
    </w:p>
    <w:p w14:paraId="23F85E85" w14:textId="18B408F4" w:rsidR="682D8CEF" w:rsidRDefault="682D8CEF" w:rsidP="1E1AFD6C">
      <w:pPr>
        <w:rPr>
          <w:lang w:val="en-GB"/>
        </w:rPr>
      </w:pPr>
      <w:r w:rsidRPr="1E1AFD6C">
        <w:rPr>
          <w:lang w:val="en-GB"/>
        </w:rPr>
        <w:t>Introduce t</w:t>
      </w:r>
      <w:r w:rsidR="719A15FE" w:rsidRPr="1E1AFD6C">
        <w:rPr>
          <w:lang w:val="en-GB"/>
        </w:rPr>
        <w:t>he case study – Ireland</w:t>
      </w:r>
    </w:p>
    <w:p w14:paraId="1D3B3FF5" w14:textId="6E755B68" w:rsidR="719A15FE" w:rsidRDefault="719A15FE" w:rsidP="1E1AFD6C">
      <w:pPr>
        <w:pStyle w:val="ListParagraph"/>
        <w:numPr>
          <w:ilvl w:val="0"/>
          <w:numId w:val="5"/>
        </w:numPr>
        <w:rPr>
          <w:lang w:val="en-GB"/>
        </w:rPr>
      </w:pPr>
      <w:r w:rsidRPr="1E1AFD6C">
        <w:rPr>
          <w:lang w:val="en-GB"/>
        </w:rPr>
        <w:t>What non traditional security threats are Ireland facing</w:t>
      </w:r>
      <w:r w:rsidR="540C52AF" w:rsidRPr="1E1AFD6C">
        <w:rPr>
          <w:lang w:val="en-GB"/>
        </w:rPr>
        <w:t xml:space="preserve"> presented in the format of a risk matrix</w:t>
      </w:r>
    </w:p>
    <w:p w14:paraId="0A9BEBA9" w14:textId="59D65B2F" w:rsidR="540C52AF" w:rsidRDefault="540C52AF" w:rsidP="1E1AFD6C">
      <w:pPr>
        <w:pStyle w:val="ListParagraph"/>
        <w:numPr>
          <w:ilvl w:val="0"/>
          <w:numId w:val="5"/>
        </w:numPr>
        <w:rPr>
          <w:lang w:val="en-GB"/>
        </w:rPr>
      </w:pPr>
      <w:r w:rsidRPr="1E1AFD6C">
        <w:rPr>
          <w:lang w:val="en-GB"/>
        </w:rPr>
        <w:t>How the combination of the Irish D</w:t>
      </w:r>
      <w:r w:rsidR="1D8DB54A" w:rsidRPr="1E1AFD6C">
        <w:rPr>
          <w:lang w:val="en-GB"/>
        </w:rPr>
        <w:t>efence Forces</w:t>
      </w:r>
      <w:r w:rsidRPr="1E1AFD6C">
        <w:rPr>
          <w:lang w:val="en-GB"/>
        </w:rPr>
        <w:t xml:space="preserve"> in concert with other instruments</w:t>
      </w:r>
      <w:r w:rsidR="3D978643" w:rsidRPr="1E1AFD6C">
        <w:rPr>
          <w:lang w:val="en-GB"/>
        </w:rPr>
        <w:t xml:space="preserve"> available to the Irish state are required to address these threats, a whole of government approach</w:t>
      </w:r>
    </w:p>
    <w:p w14:paraId="3A5FE41B" w14:textId="02A71B94" w:rsidR="1E1AFD6C" w:rsidRDefault="1E1AFD6C" w:rsidP="1E1AFD6C">
      <w:pPr>
        <w:rPr>
          <w:lang w:val="en-GB"/>
        </w:rPr>
      </w:pPr>
    </w:p>
    <w:p w14:paraId="76907B67" w14:textId="3757A3F1" w:rsidR="5AC5928A" w:rsidRDefault="5AC5928A" w:rsidP="1E1AFD6C">
      <w:pPr>
        <w:rPr>
          <w:b/>
          <w:bCs/>
          <w:lang w:val="en-GB"/>
        </w:rPr>
      </w:pPr>
      <w:r w:rsidRPr="1E1AFD6C">
        <w:rPr>
          <w:b/>
          <w:bCs/>
          <w:lang w:val="en-GB"/>
        </w:rPr>
        <w:t xml:space="preserve">Speaker </w:t>
      </w:r>
      <w:r w:rsidR="087F65DC" w:rsidRPr="1E1AFD6C">
        <w:rPr>
          <w:b/>
          <w:bCs/>
          <w:lang w:val="en-GB"/>
        </w:rPr>
        <w:t>3</w:t>
      </w:r>
    </w:p>
    <w:p w14:paraId="43F43A0E" w14:textId="50E365D2" w:rsidR="2D806E27" w:rsidRDefault="2D806E27" w:rsidP="1E1AFD6C">
      <w:pPr>
        <w:pStyle w:val="ListParagraph"/>
        <w:numPr>
          <w:ilvl w:val="0"/>
          <w:numId w:val="5"/>
        </w:numPr>
        <w:rPr>
          <w:lang w:val="en-GB"/>
        </w:rPr>
      </w:pPr>
      <w:r w:rsidRPr="1E1AFD6C">
        <w:rPr>
          <w:lang w:val="en-GB"/>
        </w:rPr>
        <w:lastRenderedPageBreak/>
        <w:t xml:space="preserve">The utility and limitations of the Defence Forces to address identified threats 1-6 from the risk matrix </w:t>
      </w:r>
    </w:p>
    <w:p w14:paraId="77328A1D" w14:textId="4D6BCB62" w:rsidR="369FC075" w:rsidRDefault="369FC075" w:rsidP="1E1AFD6C">
      <w:pPr>
        <w:pStyle w:val="ListParagraph"/>
        <w:numPr>
          <w:ilvl w:val="0"/>
          <w:numId w:val="5"/>
        </w:numPr>
        <w:rPr>
          <w:lang w:val="en-GB"/>
        </w:rPr>
      </w:pPr>
      <w:r w:rsidRPr="1E1AFD6C">
        <w:rPr>
          <w:lang w:val="en-GB"/>
        </w:rPr>
        <w:t>The utility and limitations of other instruments of national power to address identified threats 1-6 from the risk matrix</w:t>
      </w:r>
    </w:p>
    <w:p w14:paraId="0D410F48" w14:textId="2434B781" w:rsidR="546CCD1B" w:rsidRDefault="546CCD1B" w:rsidP="1E1AFD6C">
      <w:pPr>
        <w:pStyle w:val="ListParagraph"/>
        <w:numPr>
          <w:ilvl w:val="0"/>
          <w:numId w:val="5"/>
        </w:numPr>
        <w:rPr>
          <w:lang w:val="en-GB"/>
        </w:rPr>
      </w:pPr>
      <w:r w:rsidRPr="1E1AFD6C">
        <w:rPr>
          <w:lang w:val="en-GB"/>
        </w:rPr>
        <w:t>Likely successful and problematic application of the military instrument for each risk</w:t>
      </w:r>
    </w:p>
    <w:p w14:paraId="0C02FAEF" w14:textId="16816AD7" w:rsidR="5D0308CB" w:rsidRDefault="5D0308CB" w:rsidP="1E1AFD6C">
      <w:pPr>
        <w:pStyle w:val="ListParagraph"/>
        <w:numPr>
          <w:ilvl w:val="0"/>
          <w:numId w:val="5"/>
        </w:numPr>
        <w:rPr>
          <w:lang w:val="en-GB"/>
        </w:rPr>
      </w:pPr>
      <w:r w:rsidRPr="1E1AFD6C">
        <w:rPr>
          <w:lang w:val="en-GB"/>
        </w:rPr>
        <w:t>Take consideration of additional p</w:t>
      </w:r>
      <w:r w:rsidR="719A15FE" w:rsidRPr="1E1AFD6C">
        <w:rPr>
          <w:lang w:val="en-GB"/>
        </w:rPr>
        <w:t>olitical, logistical, ethical, strategic factors</w:t>
      </w:r>
      <w:r w:rsidR="6AF00A5C" w:rsidRPr="1E1AFD6C">
        <w:rPr>
          <w:lang w:val="en-GB"/>
        </w:rPr>
        <w:t xml:space="preserve"> for each risk</w:t>
      </w:r>
    </w:p>
    <w:p w14:paraId="6DE08D5F" w14:textId="35D14C57" w:rsidR="1E1AFD6C" w:rsidRDefault="1E1AFD6C" w:rsidP="1E1AFD6C">
      <w:pPr>
        <w:rPr>
          <w:lang w:val="en-GB"/>
        </w:rPr>
      </w:pPr>
    </w:p>
    <w:p w14:paraId="2059151C" w14:textId="3E26B641" w:rsidR="1E1AFD6C" w:rsidRDefault="1E1AFD6C" w:rsidP="1E1AFD6C">
      <w:pPr>
        <w:spacing w:before="240" w:after="240"/>
        <w:rPr>
          <w:rFonts w:ascii="Aptos" w:eastAsia="Aptos" w:hAnsi="Aptos" w:cs="Aptos"/>
          <w:lang w:val="en-GB"/>
        </w:rPr>
      </w:pPr>
    </w:p>
    <w:p w14:paraId="4F327DAF" w14:textId="6C3363B2" w:rsidR="1E1AFD6C" w:rsidRDefault="1E1AFD6C" w:rsidP="1E1AFD6C">
      <w:pPr>
        <w:spacing w:before="240" w:after="240"/>
        <w:rPr>
          <w:rFonts w:ascii="Aptos" w:eastAsia="Aptos" w:hAnsi="Aptos" w:cs="Aptos"/>
          <w:lang w:val="en-GB"/>
        </w:rPr>
      </w:pPr>
    </w:p>
    <w:p w14:paraId="2AE8171B" w14:textId="46320154" w:rsidR="1E1AFD6C" w:rsidRDefault="1E1AFD6C" w:rsidP="1E1AFD6C">
      <w:pPr>
        <w:spacing w:before="240" w:after="240"/>
        <w:rPr>
          <w:rFonts w:ascii="Aptos" w:eastAsia="Aptos" w:hAnsi="Aptos" w:cs="Aptos"/>
          <w:lang w:val="en-GB"/>
        </w:rPr>
      </w:pPr>
    </w:p>
    <w:p w14:paraId="2CD2F74C" w14:textId="6596BB40" w:rsidR="1E1AFD6C" w:rsidRDefault="1E1AFD6C" w:rsidP="1E1AFD6C">
      <w:pPr>
        <w:spacing w:before="240" w:after="240"/>
        <w:rPr>
          <w:rFonts w:ascii="Aptos" w:eastAsia="Aptos" w:hAnsi="Aptos" w:cs="Aptos"/>
          <w:lang w:val="en-GB"/>
        </w:rPr>
      </w:pPr>
    </w:p>
    <w:p w14:paraId="424DA537" w14:textId="474B7914" w:rsidR="1E1AFD6C" w:rsidRDefault="1E1AFD6C" w:rsidP="1E1AFD6C">
      <w:pPr>
        <w:spacing w:before="240" w:after="240"/>
        <w:rPr>
          <w:rFonts w:ascii="Aptos" w:eastAsia="Aptos" w:hAnsi="Aptos" w:cs="Aptos"/>
          <w:lang w:val="en-GB"/>
        </w:rPr>
      </w:pPr>
    </w:p>
    <w:p w14:paraId="1F2D0BA1" w14:textId="4DA325ED" w:rsidR="1E1AFD6C" w:rsidRDefault="1E1AFD6C" w:rsidP="1E1AFD6C">
      <w:pPr>
        <w:spacing w:before="240" w:after="240"/>
        <w:rPr>
          <w:rFonts w:ascii="Aptos" w:eastAsia="Aptos" w:hAnsi="Aptos" w:cs="Aptos"/>
          <w:lang w:val="en-GB"/>
        </w:rPr>
      </w:pPr>
    </w:p>
    <w:sectPr w:rsidR="1E1AFD6C">
      <w:headerReference w:type="default" r:id="rId17"/>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9CA2A7" w14:textId="77777777" w:rsidR="007F15DB" w:rsidRDefault="007F15DB">
      <w:pPr>
        <w:spacing w:after="0" w:line="240" w:lineRule="auto"/>
      </w:pPr>
      <w:r>
        <w:separator/>
      </w:r>
    </w:p>
  </w:endnote>
  <w:endnote w:type="continuationSeparator" w:id="0">
    <w:p w14:paraId="54564ECE" w14:textId="77777777" w:rsidR="007F15DB" w:rsidRDefault="007F1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5"/>
      <w:gridCol w:w="3485"/>
      <w:gridCol w:w="3485"/>
    </w:tblGrid>
    <w:tr w:rsidR="1E1AFD6C" w14:paraId="05974A2C" w14:textId="77777777" w:rsidTr="1E1AFD6C">
      <w:trPr>
        <w:trHeight w:val="300"/>
      </w:trPr>
      <w:tc>
        <w:tcPr>
          <w:tcW w:w="3485" w:type="dxa"/>
        </w:tcPr>
        <w:p w14:paraId="716F7625" w14:textId="074D3BE8" w:rsidR="1E1AFD6C" w:rsidRDefault="1E1AFD6C" w:rsidP="1E1AFD6C">
          <w:pPr>
            <w:pStyle w:val="Header"/>
            <w:ind w:left="-115"/>
          </w:pPr>
        </w:p>
      </w:tc>
      <w:tc>
        <w:tcPr>
          <w:tcW w:w="3485" w:type="dxa"/>
        </w:tcPr>
        <w:p w14:paraId="305D1886" w14:textId="4E091842" w:rsidR="1E1AFD6C" w:rsidRDefault="1E1AFD6C" w:rsidP="1E1AFD6C">
          <w:pPr>
            <w:pStyle w:val="Header"/>
            <w:jc w:val="center"/>
          </w:pPr>
          <w:r>
            <w:fldChar w:fldCharType="begin"/>
          </w:r>
          <w:r>
            <w:instrText>PAGE</w:instrText>
          </w:r>
          <w:r>
            <w:fldChar w:fldCharType="separate"/>
          </w:r>
          <w:r w:rsidR="002C6642">
            <w:rPr>
              <w:noProof/>
            </w:rPr>
            <w:t>1</w:t>
          </w:r>
          <w:r>
            <w:fldChar w:fldCharType="end"/>
          </w:r>
        </w:p>
      </w:tc>
      <w:tc>
        <w:tcPr>
          <w:tcW w:w="3485" w:type="dxa"/>
        </w:tcPr>
        <w:p w14:paraId="626D1936" w14:textId="7E28DFCE" w:rsidR="1E1AFD6C" w:rsidRDefault="1E1AFD6C" w:rsidP="1E1AFD6C">
          <w:pPr>
            <w:pStyle w:val="Header"/>
            <w:ind w:right="-115"/>
            <w:jc w:val="right"/>
          </w:pPr>
        </w:p>
      </w:tc>
    </w:tr>
  </w:tbl>
  <w:p w14:paraId="0DD64E26" w14:textId="3897D7A8" w:rsidR="1E1AFD6C" w:rsidRDefault="1E1AFD6C" w:rsidP="1E1AFD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63AC89" w14:textId="77777777" w:rsidR="007F15DB" w:rsidRDefault="007F15DB">
      <w:pPr>
        <w:spacing w:after="0" w:line="240" w:lineRule="auto"/>
      </w:pPr>
      <w:r>
        <w:separator/>
      </w:r>
    </w:p>
  </w:footnote>
  <w:footnote w:type="continuationSeparator" w:id="0">
    <w:p w14:paraId="424D6DD6" w14:textId="77777777" w:rsidR="007F15DB" w:rsidRDefault="007F1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5"/>
      <w:gridCol w:w="3485"/>
      <w:gridCol w:w="3485"/>
    </w:tblGrid>
    <w:tr w:rsidR="1E1AFD6C" w14:paraId="1105D1F3" w14:textId="77777777" w:rsidTr="1E1AFD6C">
      <w:trPr>
        <w:trHeight w:val="300"/>
      </w:trPr>
      <w:tc>
        <w:tcPr>
          <w:tcW w:w="3485" w:type="dxa"/>
        </w:tcPr>
        <w:p w14:paraId="7CAB8C23" w14:textId="6813D20B" w:rsidR="1E1AFD6C" w:rsidRDefault="1E1AFD6C" w:rsidP="1E1AFD6C">
          <w:pPr>
            <w:pStyle w:val="Header"/>
            <w:ind w:left="-115"/>
          </w:pPr>
        </w:p>
      </w:tc>
      <w:tc>
        <w:tcPr>
          <w:tcW w:w="3485" w:type="dxa"/>
        </w:tcPr>
        <w:p w14:paraId="3F3C2042" w14:textId="62E77B58" w:rsidR="1E1AFD6C" w:rsidRDefault="1E1AFD6C" w:rsidP="1E1AFD6C">
          <w:pPr>
            <w:pStyle w:val="Header"/>
            <w:jc w:val="center"/>
          </w:pPr>
        </w:p>
      </w:tc>
      <w:tc>
        <w:tcPr>
          <w:tcW w:w="3485" w:type="dxa"/>
        </w:tcPr>
        <w:p w14:paraId="69631AC5" w14:textId="5B0129B7" w:rsidR="1E1AFD6C" w:rsidRDefault="1E1AFD6C" w:rsidP="1E1AFD6C">
          <w:pPr>
            <w:pStyle w:val="Header"/>
            <w:ind w:right="-115"/>
            <w:jc w:val="right"/>
          </w:pPr>
        </w:p>
      </w:tc>
    </w:tr>
  </w:tbl>
  <w:p w14:paraId="6A9A9B40" w14:textId="761E871A" w:rsidR="1E1AFD6C" w:rsidRDefault="1E1AFD6C" w:rsidP="1E1AFD6C">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lNxtJu0C" int2:invalidationBookmarkName="" int2:hashCode="F/eMd0PkVHixwM" int2:id="6rPPJmPM">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7C14ED"/>
    <w:multiLevelType w:val="hybridMultilevel"/>
    <w:tmpl w:val="54E2DDE6"/>
    <w:lvl w:ilvl="0" w:tplc="45067012">
      <w:start w:val="1"/>
      <w:numFmt w:val="bullet"/>
      <w:lvlText w:val=""/>
      <w:lvlJc w:val="left"/>
      <w:pPr>
        <w:ind w:left="720" w:hanging="360"/>
      </w:pPr>
      <w:rPr>
        <w:rFonts w:ascii="Symbol" w:hAnsi="Symbol" w:hint="default"/>
      </w:rPr>
    </w:lvl>
    <w:lvl w:ilvl="1" w:tplc="042A3B2C">
      <w:start w:val="1"/>
      <w:numFmt w:val="bullet"/>
      <w:lvlText w:val="o"/>
      <w:lvlJc w:val="left"/>
      <w:pPr>
        <w:ind w:left="1440" w:hanging="360"/>
      </w:pPr>
      <w:rPr>
        <w:rFonts w:ascii="Courier New" w:hAnsi="Courier New" w:hint="default"/>
      </w:rPr>
    </w:lvl>
    <w:lvl w:ilvl="2" w:tplc="8D28D2B2">
      <w:start w:val="1"/>
      <w:numFmt w:val="bullet"/>
      <w:lvlText w:val=""/>
      <w:lvlJc w:val="left"/>
      <w:pPr>
        <w:ind w:left="2160" w:hanging="360"/>
      </w:pPr>
      <w:rPr>
        <w:rFonts w:ascii="Wingdings" w:hAnsi="Wingdings" w:hint="default"/>
      </w:rPr>
    </w:lvl>
    <w:lvl w:ilvl="3" w:tplc="92A8CABE">
      <w:start w:val="1"/>
      <w:numFmt w:val="bullet"/>
      <w:lvlText w:val=""/>
      <w:lvlJc w:val="left"/>
      <w:pPr>
        <w:ind w:left="2880" w:hanging="360"/>
      </w:pPr>
      <w:rPr>
        <w:rFonts w:ascii="Symbol" w:hAnsi="Symbol" w:hint="default"/>
      </w:rPr>
    </w:lvl>
    <w:lvl w:ilvl="4" w:tplc="8A08E29E">
      <w:start w:val="1"/>
      <w:numFmt w:val="bullet"/>
      <w:lvlText w:val="o"/>
      <w:lvlJc w:val="left"/>
      <w:pPr>
        <w:ind w:left="3600" w:hanging="360"/>
      </w:pPr>
      <w:rPr>
        <w:rFonts w:ascii="Courier New" w:hAnsi="Courier New" w:hint="default"/>
      </w:rPr>
    </w:lvl>
    <w:lvl w:ilvl="5" w:tplc="6804D368">
      <w:start w:val="1"/>
      <w:numFmt w:val="bullet"/>
      <w:lvlText w:val=""/>
      <w:lvlJc w:val="left"/>
      <w:pPr>
        <w:ind w:left="4320" w:hanging="360"/>
      </w:pPr>
      <w:rPr>
        <w:rFonts w:ascii="Wingdings" w:hAnsi="Wingdings" w:hint="default"/>
      </w:rPr>
    </w:lvl>
    <w:lvl w:ilvl="6" w:tplc="C32AC81C">
      <w:start w:val="1"/>
      <w:numFmt w:val="bullet"/>
      <w:lvlText w:val=""/>
      <w:lvlJc w:val="left"/>
      <w:pPr>
        <w:ind w:left="5040" w:hanging="360"/>
      </w:pPr>
      <w:rPr>
        <w:rFonts w:ascii="Symbol" w:hAnsi="Symbol" w:hint="default"/>
      </w:rPr>
    </w:lvl>
    <w:lvl w:ilvl="7" w:tplc="5504E4AC">
      <w:start w:val="1"/>
      <w:numFmt w:val="bullet"/>
      <w:lvlText w:val="o"/>
      <w:lvlJc w:val="left"/>
      <w:pPr>
        <w:ind w:left="5760" w:hanging="360"/>
      </w:pPr>
      <w:rPr>
        <w:rFonts w:ascii="Courier New" w:hAnsi="Courier New" w:hint="default"/>
      </w:rPr>
    </w:lvl>
    <w:lvl w:ilvl="8" w:tplc="32FC397A">
      <w:start w:val="1"/>
      <w:numFmt w:val="bullet"/>
      <w:lvlText w:val=""/>
      <w:lvlJc w:val="left"/>
      <w:pPr>
        <w:ind w:left="6480" w:hanging="360"/>
      </w:pPr>
      <w:rPr>
        <w:rFonts w:ascii="Wingdings" w:hAnsi="Wingdings" w:hint="default"/>
      </w:rPr>
    </w:lvl>
  </w:abstractNum>
  <w:abstractNum w:abstractNumId="1" w15:restartNumberingAfterBreak="0">
    <w:nsid w:val="2AC1E347"/>
    <w:multiLevelType w:val="hybridMultilevel"/>
    <w:tmpl w:val="F0184E5C"/>
    <w:lvl w:ilvl="0" w:tplc="B38ED27C">
      <w:start w:val="1"/>
      <w:numFmt w:val="bullet"/>
      <w:lvlText w:val=""/>
      <w:lvlJc w:val="left"/>
      <w:pPr>
        <w:ind w:left="720" w:hanging="360"/>
      </w:pPr>
      <w:rPr>
        <w:rFonts w:ascii="Symbol" w:hAnsi="Symbol" w:hint="default"/>
      </w:rPr>
    </w:lvl>
    <w:lvl w:ilvl="1" w:tplc="9DF06BF0">
      <w:start w:val="1"/>
      <w:numFmt w:val="bullet"/>
      <w:lvlText w:val="o"/>
      <w:lvlJc w:val="left"/>
      <w:pPr>
        <w:ind w:left="1440" w:hanging="360"/>
      </w:pPr>
      <w:rPr>
        <w:rFonts w:ascii="Courier New" w:hAnsi="Courier New" w:hint="default"/>
      </w:rPr>
    </w:lvl>
    <w:lvl w:ilvl="2" w:tplc="424CAF8E">
      <w:start w:val="1"/>
      <w:numFmt w:val="bullet"/>
      <w:lvlText w:val=""/>
      <w:lvlJc w:val="left"/>
      <w:pPr>
        <w:ind w:left="2160" w:hanging="360"/>
      </w:pPr>
      <w:rPr>
        <w:rFonts w:ascii="Wingdings" w:hAnsi="Wingdings" w:hint="default"/>
      </w:rPr>
    </w:lvl>
    <w:lvl w:ilvl="3" w:tplc="91A047DC">
      <w:start w:val="1"/>
      <w:numFmt w:val="bullet"/>
      <w:lvlText w:val=""/>
      <w:lvlJc w:val="left"/>
      <w:pPr>
        <w:ind w:left="2880" w:hanging="360"/>
      </w:pPr>
      <w:rPr>
        <w:rFonts w:ascii="Symbol" w:hAnsi="Symbol" w:hint="default"/>
      </w:rPr>
    </w:lvl>
    <w:lvl w:ilvl="4" w:tplc="29EC8E24">
      <w:start w:val="1"/>
      <w:numFmt w:val="bullet"/>
      <w:lvlText w:val="o"/>
      <w:lvlJc w:val="left"/>
      <w:pPr>
        <w:ind w:left="3600" w:hanging="360"/>
      </w:pPr>
      <w:rPr>
        <w:rFonts w:ascii="Courier New" w:hAnsi="Courier New" w:hint="default"/>
      </w:rPr>
    </w:lvl>
    <w:lvl w:ilvl="5" w:tplc="87C66026">
      <w:start w:val="1"/>
      <w:numFmt w:val="bullet"/>
      <w:lvlText w:val=""/>
      <w:lvlJc w:val="left"/>
      <w:pPr>
        <w:ind w:left="4320" w:hanging="360"/>
      </w:pPr>
      <w:rPr>
        <w:rFonts w:ascii="Wingdings" w:hAnsi="Wingdings" w:hint="default"/>
      </w:rPr>
    </w:lvl>
    <w:lvl w:ilvl="6" w:tplc="086EE66A">
      <w:start w:val="1"/>
      <w:numFmt w:val="bullet"/>
      <w:lvlText w:val=""/>
      <w:lvlJc w:val="left"/>
      <w:pPr>
        <w:ind w:left="5040" w:hanging="360"/>
      </w:pPr>
      <w:rPr>
        <w:rFonts w:ascii="Symbol" w:hAnsi="Symbol" w:hint="default"/>
      </w:rPr>
    </w:lvl>
    <w:lvl w:ilvl="7" w:tplc="120219D8">
      <w:start w:val="1"/>
      <w:numFmt w:val="bullet"/>
      <w:lvlText w:val="o"/>
      <w:lvlJc w:val="left"/>
      <w:pPr>
        <w:ind w:left="5760" w:hanging="360"/>
      </w:pPr>
      <w:rPr>
        <w:rFonts w:ascii="Courier New" w:hAnsi="Courier New" w:hint="default"/>
      </w:rPr>
    </w:lvl>
    <w:lvl w:ilvl="8" w:tplc="C18EFF90">
      <w:start w:val="1"/>
      <w:numFmt w:val="bullet"/>
      <w:lvlText w:val=""/>
      <w:lvlJc w:val="left"/>
      <w:pPr>
        <w:ind w:left="6480" w:hanging="360"/>
      </w:pPr>
      <w:rPr>
        <w:rFonts w:ascii="Wingdings" w:hAnsi="Wingdings" w:hint="default"/>
      </w:rPr>
    </w:lvl>
  </w:abstractNum>
  <w:abstractNum w:abstractNumId="2" w15:restartNumberingAfterBreak="0">
    <w:nsid w:val="3D127CBC"/>
    <w:multiLevelType w:val="hybridMultilevel"/>
    <w:tmpl w:val="B62682F0"/>
    <w:lvl w:ilvl="0" w:tplc="97263C48">
      <w:start w:val="1"/>
      <w:numFmt w:val="bullet"/>
      <w:lvlText w:val=""/>
      <w:lvlJc w:val="left"/>
      <w:pPr>
        <w:ind w:left="720" w:hanging="360"/>
      </w:pPr>
      <w:rPr>
        <w:rFonts w:ascii="Symbol" w:hAnsi="Symbol" w:hint="default"/>
      </w:rPr>
    </w:lvl>
    <w:lvl w:ilvl="1" w:tplc="EDA2032E">
      <w:start w:val="1"/>
      <w:numFmt w:val="bullet"/>
      <w:lvlText w:val="o"/>
      <w:lvlJc w:val="left"/>
      <w:pPr>
        <w:ind w:left="1440" w:hanging="360"/>
      </w:pPr>
      <w:rPr>
        <w:rFonts w:ascii="Courier New" w:hAnsi="Courier New" w:hint="default"/>
      </w:rPr>
    </w:lvl>
    <w:lvl w:ilvl="2" w:tplc="549EB926">
      <w:start w:val="1"/>
      <w:numFmt w:val="bullet"/>
      <w:lvlText w:val=""/>
      <w:lvlJc w:val="left"/>
      <w:pPr>
        <w:ind w:left="2160" w:hanging="360"/>
      </w:pPr>
      <w:rPr>
        <w:rFonts w:ascii="Wingdings" w:hAnsi="Wingdings" w:hint="default"/>
      </w:rPr>
    </w:lvl>
    <w:lvl w:ilvl="3" w:tplc="671625A2">
      <w:start w:val="1"/>
      <w:numFmt w:val="bullet"/>
      <w:lvlText w:val=""/>
      <w:lvlJc w:val="left"/>
      <w:pPr>
        <w:ind w:left="2880" w:hanging="360"/>
      </w:pPr>
      <w:rPr>
        <w:rFonts w:ascii="Symbol" w:hAnsi="Symbol" w:hint="default"/>
      </w:rPr>
    </w:lvl>
    <w:lvl w:ilvl="4" w:tplc="1A4C5586">
      <w:start w:val="1"/>
      <w:numFmt w:val="bullet"/>
      <w:lvlText w:val="o"/>
      <w:lvlJc w:val="left"/>
      <w:pPr>
        <w:ind w:left="3600" w:hanging="360"/>
      </w:pPr>
      <w:rPr>
        <w:rFonts w:ascii="Courier New" w:hAnsi="Courier New" w:hint="default"/>
      </w:rPr>
    </w:lvl>
    <w:lvl w:ilvl="5" w:tplc="61B4D1D4">
      <w:start w:val="1"/>
      <w:numFmt w:val="bullet"/>
      <w:lvlText w:val=""/>
      <w:lvlJc w:val="left"/>
      <w:pPr>
        <w:ind w:left="4320" w:hanging="360"/>
      </w:pPr>
      <w:rPr>
        <w:rFonts w:ascii="Wingdings" w:hAnsi="Wingdings" w:hint="default"/>
      </w:rPr>
    </w:lvl>
    <w:lvl w:ilvl="6" w:tplc="6F6849C8">
      <w:start w:val="1"/>
      <w:numFmt w:val="bullet"/>
      <w:lvlText w:val=""/>
      <w:lvlJc w:val="left"/>
      <w:pPr>
        <w:ind w:left="5040" w:hanging="360"/>
      </w:pPr>
      <w:rPr>
        <w:rFonts w:ascii="Symbol" w:hAnsi="Symbol" w:hint="default"/>
      </w:rPr>
    </w:lvl>
    <w:lvl w:ilvl="7" w:tplc="E0C6CAF4">
      <w:start w:val="1"/>
      <w:numFmt w:val="bullet"/>
      <w:lvlText w:val="o"/>
      <w:lvlJc w:val="left"/>
      <w:pPr>
        <w:ind w:left="5760" w:hanging="360"/>
      </w:pPr>
      <w:rPr>
        <w:rFonts w:ascii="Courier New" w:hAnsi="Courier New" w:hint="default"/>
      </w:rPr>
    </w:lvl>
    <w:lvl w:ilvl="8" w:tplc="7CF2E9B8">
      <w:start w:val="1"/>
      <w:numFmt w:val="bullet"/>
      <w:lvlText w:val=""/>
      <w:lvlJc w:val="left"/>
      <w:pPr>
        <w:ind w:left="6480" w:hanging="360"/>
      </w:pPr>
      <w:rPr>
        <w:rFonts w:ascii="Wingdings" w:hAnsi="Wingdings" w:hint="default"/>
      </w:rPr>
    </w:lvl>
  </w:abstractNum>
  <w:abstractNum w:abstractNumId="3" w15:restartNumberingAfterBreak="0">
    <w:nsid w:val="51E1B82A"/>
    <w:multiLevelType w:val="hybridMultilevel"/>
    <w:tmpl w:val="04F44B18"/>
    <w:lvl w:ilvl="0" w:tplc="3D1CE11E">
      <w:start w:val="1"/>
      <w:numFmt w:val="decimal"/>
      <w:lvlText w:val="%1."/>
      <w:lvlJc w:val="left"/>
      <w:pPr>
        <w:ind w:left="720" w:hanging="360"/>
      </w:pPr>
    </w:lvl>
    <w:lvl w:ilvl="1" w:tplc="C4FEE982">
      <w:start w:val="1"/>
      <w:numFmt w:val="lowerLetter"/>
      <w:lvlText w:val="%2."/>
      <w:lvlJc w:val="left"/>
      <w:pPr>
        <w:ind w:left="1440" w:hanging="360"/>
      </w:pPr>
    </w:lvl>
    <w:lvl w:ilvl="2" w:tplc="BF0816BC">
      <w:start w:val="1"/>
      <w:numFmt w:val="lowerRoman"/>
      <w:lvlText w:val="%3."/>
      <w:lvlJc w:val="right"/>
      <w:pPr>
        <w:ind w:left="2160" w:hanging="180"/>
      </w:pPr>
    </w:lvl>
    <w:lvl w:ilvl="3" w:tplc="9B544CDE">
      <w:start w:val="1"/>
      <w:numFmt w:val="decimal"/>
      <w:lvlText w:val="%4."/>
      <w:lvlJc w:val="left"/>
      <w:pPr>
        <w:ind w:left="2880" w:hanging="360"/>
      </w:pPr>
    </w:lvl>
    <w:lvl w:ilvl="4" w:tplc="391070DC">
      <w:start w:val="1"/>
      <w:numFmt w:val="lowerLetter"/>
      <w:lvlText w:val="%5."/>
      <w:lvlJc w:val="left"/>
      <w:pPr>
        <w:ind w:left="3600" w:hanging="360"/>
      </w:pPr>
    </w:lvl>
    <w:lvl w:ilvl="5" w:tplc="39E8F856">
      <w:start w:val="1"/>
      <w:numFmt w:val="lowerRoman"/>
      <w:lvlText w:val="%6."/>
      <w:lvlJc w:val="right"/>
      <w:pPr>
        <w:ind w:left="4320" w:hanging="180"/>
      </w:pPr>
    </w:lvl>
    <w:lvl w:ilvl="6" w:tplc="8AC65144">
      <w:start w:val="1"/>
      <w:numFmt w:val="decimal"/>
      <w:lvlText w:val="%7."/>
      <w:lvlJc w:val="left"/>
      <w:pPr>
        <w:ind w:left="5040" w:hanging="360"/>
      </w:pPr>
    </w:lvl>
    <w:lvl w:ilvl="7" w:tplc="0FCC6736">
      <w:start w:val="1"/>
      <w:numFmt w:val="lowerLetter"/>
      <w:lvlText w:val="%8."/>
      <w:lvlJc w:val="left"/>
      <w:pPr>
        <w:ind w:left="5760" w:hanging="360"/>
      </w:pPr>
    </w:lvl>
    <w:lvl w:ilvl="8" w:tplc="F8627A5E">
      <w:start w:val="1"/>
      <w:numFmt w:val="lowerRoman"/>
      <w:lvlText w:val="%9."/>
      <w:lvlJc w:val="right"/>
      <w:pPr>
        <w:ind w:left="6480" w:hanging="180"/>
      </w:pPr>
    </w:lvl>
  </w:abstractNum>
  <w:abstractNum w:abstractNumId="4" w15:restartNumberingAfterBreak="0">
    <w:nsid w:val="598C686B"/>
    <w:multiLevelType w:val="hybridMultilevel"/>
    <w:tmpl w:val="04C07CCE"/>
    <w:lvl w:ilvl="0" w:tplc="9156F6FC">
      <w:start w:val="1"/>
      <w:numFmt w:val="bullet"/>
      <w:lvlText w:val=""/>
      <w:lvlJc w:val="left"/>
      <w:pPr>
        <w:ind w:left="720" w:hanging="360"/>
      </w:pPr>
      <w:rPr>
        <w:rFonts w:ascii="Symbol" w:hAnsi="Symbol" w:hint="default"/>
      </w:rPr>
    </w:lvl>
    <w:lvl w:ilvl="1" w:tplc="D188F3AC">
      <w:start w:val="1"/>
      <w:numFmt w:val="bullet"/>
      <w:lvlText w:val="o"/>
      <w:lvlJc w:val="left"/>
      <w:pPr>
        <w:ind w:left="1440" w:hanging="360"/>
      </w:pPr>
      <w:rPr>
        <w:rFonts w:ascii="Courier New" w:hAnsi="Courier New" w:hint="default"/>
      </w:rPr>
    </w:lvl>
    <w:lvl w:ilvl="2" w:tplc="BF0EF712">
      <w:start w:val="1"/>
      <w:numFmt w:val="bullet"/>
      <w:lvlText w:val=""/>
      <w:lvlJc w:val="left"/>
      <w:pPr>
        <w:ind w:left="2160" w:hanging="360"/>
      </w:pPr>
      <w:rPr>
        <w:rFonts w:ascii="Wingdings" w:hAnsi="Wingdings" w:hint="default"/>
      </w:rPr>
    </w:lvl>
    <w:lvl w:ilvl="3" w:tplc="08027E56">
      <w:start w:val="1"/>
      <w:numFmt w:val="bullet"/>
      <w:lvlText w:val=""/>
      <w:lvlJc w:val="left"/>
      <w:pPr>
        <w:ind w:left="2880" w:hanging="360"/>
      </w:pPr>
      <w:rPr>
        <w:rFonts w:ascii="Symbol" w:hAnsi="Symbol" w:hint="default"/>
      </w:rPr>
    </w:lvl>
    <w:lvl w:ilvl="4" w:tplc="27485FC0">
      <w:start w:val="1"/>
      <w:numFmt w:val="bullet"/>
      <w:lvlText w:val="o"/>
      <w:lvlJc w:val="left"/>
      <w:pPr>
        <w:ind w:left="3600" w:hanging="360"/>
      </w:pPr>
      <w:rPr>
        <w:rFonts w:ascii="Courier New" w:hAnsi="Courier New" w:hint="default"/>
      </w:rPr>
    </w:lvl>
    <w:lvl w:ilvl="5" w:tplc="AC4672EC">
      <w:start w:val="1"/>
      <w:numFmt w:val="bullet"/>
      <w:lvlText w:val=""/>
      <w:lvlJc w:val="left"/>
      <w:pPr>
        <w:ind w:left="4320" w:hanging="360"/>
      </w:pPr>
      <w:rPr>
        <w:rFonts w:ascii="Wingdings" w:hAnsi="Wingdings" w:hint="default"/>
      </w:rPr>
    </w:lvl>
    <w:lvl w:ilvl="6" w:tplc="4D3E979C">
      <w:start w:val="1"/>
      <w:numFmt w:val="bullet"/>
      <w:lvlText w:val=""/>
      <w:lvlJc w:val="left"/>
      <w:pPr>
        <w:ind w:left="5040" w:hanging="360"/>
      </w:pPr>
      <w:rPr>
        <w:rFonts w:ascii="Symbol" w:hAnsi="Symbol" w:hint="default"/>
      </w:rPr>
    </w:lvl>
    <w:lvl w:ilvl="7" w:tplc="E870AC4E">
      <w:start w:val="1"/>
      <w:numFmt w:val="bullet"/>
      <w:lvlText w:val="o"/>
      <w:lvlJc w:val="left"/>
      <w:pPr>
        <w:ind w:left="5760" w:hanging="360"/>
      </w:pPr>
      <w:rPr>
        <w:rFonts w:ascii="Courier New" w:hAnsi="Courier New" w:hint="default"/>
      </w:rPr>
    </w:lvl>
    <w:lvl w:ilvl="8" w:tplc="DA34BFD2">
      <w:start w:val="1"/>
      <w:numFmt w:val="bullet"/>
      <w:lvlText w:val=""/>
      <w:lvlJc w:val="left"/>
      <w:pPr>
        <w:ind w:left="6480" w:hanging="360"/>
      </w:pPr>
      <w:rPr>
        <w:rFonts w:ascii="Wingdings" w:hAnsi="Wingdings" w:hint="default"/>
      </w:rPr>
    </w:lvl>
  </w:abstractNum>
  <w:abstractNum w:abstractNumId="5" w15:restartNumberingAfterBreak="0">
    <w:nsid w:val="5C0E23E1"/>
    <w:multiLevelType w:val="hybridMultilevel"/>
    <w:tmpl w:val="F50C607A"/>
    <w:lvl w:ilvl="0" w:tplc="A11C34E8">
      <w:start w:val="1"/>
      <w:numFmt w:val="bullet"/>
      <w:lvlText w:val=""/>
      <w:lvlJc w:val="left"/>
      <w:pPr>
        <w:ind w:left="720" w:hanging="360"/>
      </w:pPr>
      <w:rPr>
        <w:rFonts w:ascii="Symbol" w:hAnsi="Symbol" w:hint="default"/>
      </w:rPr>
    </w:lvl>
    <w:lvl w:ilvl="1" w:tplc="EFAC31AC">
      <w:start w:val="1"/>
      <w:numFmt w:val="bullet"/>
      <w:lvlText w:val="o"/>
      <w:lvlJc w:val="left"/>
      <w:pPr>
        <w:ind w:left="1440" w:hanging="360"/>
      </w:pPr>
      <w:rPr>
        <w:rFonts w:ascii="Courier New" w:hAnsi="Courier New" w:hint="default"/>
      </w:rPr>
    </w:lvl>
    <w:lvl w:ilvl="2" w:tplc="18805D26">
      <w:start w:val="1"/>
      <w:numFmt w:val="bullet"/>
      <w:lvlText w:val=""/>
      <w:lvlJc w:val="left"/>
      <w:pPr>
        <w:ind w:left="2160" w:hanging="360"/>
      </w:pPr>
      <w:rPr>
        <w:rFonts w:ascii="Wingdings" w:hAnsi="Wingdings" w:hint="default"/>
      </w:rPr>
    </w:lvl>
    <w:lvl w:ilvl="3" w:tplc="F4923176">
      <w:start w:val="1"/>
      <w:numFmt w:val="bullet"/>
      <w:lvlText w:val=""/>
      <w:lvlJc w:val="left"/>
      <w:pPr>
        <w:ind w:left="2880" w:hanging="360"/>
      </w:pPr>
      <w:rPr>
        <w:rFonts w:ascii="Symbol" w:hAnsi="Symbol" w:hint="default"/>
      </w:rPr>
    </w:lvl>
    <w:lvl w:ilvl="4" w:tplc="F39C426E">
      <w:start w:val="1"/>
      <w:numFmt w:val="bullet"/>
      <w:lvlText w:val="o"/>
      <w:lvlJc w:val="left"/>
      <w:pPr>
        <w:ind w:left="3600" w:hanging="360"/>
      </w:pPr>
      <w:rPr>
        <w:rFonts w:ascii="Courier New" w:hAnsi="Courier New" w:hint="default"/>
      </w:rPr>
    </w:lvl>
    <w:lvl w:ilvl="5" w:tplc="FB86D7EC">
      <w:start w:val="1"/>
      <w:numFmt w:val="bullet"/>
      <w:lvlText w:val=""/>
      <w:lvlJc w:val="left"/>
      <w:pPr>
        <w:ind w:left="4320" w:hanging="360"/>
      </w:pPr>
      <w:rPr>
        <w:rFonts w:ascii="Wingdings" w:hAnsi="Wingdings" w:hint="default"/>
      </w:rPr>
    </w:lvl>
    <w:lvl w:ilvl="6" w:tplc="19FC3B7C">
      <w:start w:val="1"/>
      <w:numFmt w:val="bullet"/>
      <w:lvlText w:val=""/>
      <w:lvlJc w:val="left"/>
      <w:pPr>
        <w:ind w:left="5040" w:hanging="360"/>
      </w:pPr>
      <w:rPr>
        <w:rFonts w:ascii="Symbol" w:hAnsi="Symbol" w:hint="default"/>
      </w:rPr>
    </w:lvl>
    <w:lvl w:ilvl="7" w:tplc="8CE6EAA2">
      <w:start w:val="1"/>
      <w:numFmt w:val="bullet"/>
      <w:lvlText w:val="o"/>
      <w:lvlJc w:val="left"/>
      <w:pPr>
        <w:ind w:left="5760" w:hanging="360"/>
      </w:pPr>
      <w:rPr>
        <w:rFonts w:ascii="Courier New" w:hAnsi="Courier New" w:hint="default"/>
      </w:rPr>
    </w:lvl>
    <w:lvl w:ilvl="8" w:tplc="E3BE8B0E">
      <w:start w:val="1"/>
      <w:numFmt w:val="bullet"/>
      <w:lvlText w:val=""/>
      <w:lvlJc w:val="left"/>
      <w:pPr>
        <w:ind w:left="6480" w:hanging="360"/>
      </w:pPr>
      <w:rPr>
        <w:rFonts w:ascii="Wingdings" w:hAnsi="Wingdings" w:hint="default"/>
      </w:rPr>
    </w:lvl>
  </w:abstractNum>
  <w:abstractNum w:abstractNumId="6" w15:restartNumberingAfterBreak="0">
    <w:nsid w:val="789C3941"/>
    <w:multiLevelType w:val="hybridMultilevel"/>
    <w:tmpl w:val="5DAC2B74"/>
    <w:lvl w:ilvl="0" w:tplc="48184210">
      <w:start w:val="1"/>
      <w:numFmt w:val="bullet"/>
      <w:lvlText w:val=""/>
      <w:lvlJc w:val="left"/>
      <w:pPr>
        <w:ind w:left="720" w:hanging="360"/>
      </w:pPr>
      <w:rPr>
        <w:rFonts w:ascii="Symbol" w:hAnsi="Symbol" w:hint="default"/>
      </w:rPr>
    </w:lvl>
    <w:lvl w:ilvl="1" w:tplc="C1E4E2A0">
      <w:start w:val="1"/>
      <w:numFmt w:val="bullet"/>
      <w:lvlText w:val="o"/>
      <w:lvlJc w:val="left"/>
      <w:pPr>
        <w:ind w:left="1440" w:hanging="360"/>
      </w:pPr>
      <w:rPr>
        <w:rFonts w:ascii="Courier New" w:hAnsi="Courier New" w:hint="default"/>
      </w:rPr>
    </w:lvl>
    <w:lvl w:ilvl="2" w:tplc="9E3A8FE0">
      <w:start w:val="1"/>
      <w:numFmt w:val="bullet"/>
      <w:lvlText w:val=""/>
      <w:lvlJc w:val="left"/>
      <w:pPr>
        <w:ind w:left="2160" w:hanging="360"/>
      </w:pPr>
      <w:rPr>
        <w:rFonts w:ascii="Wingdings" w:hAnsi="Wingdings" w:hint="default"/>
      </w:rPr>
    </w:lvl>
    <w:lvl w:ilvl="3" w:tplc="20FCD3DC">
      <w:start w:val="1"/>
      <w:numFmt w:val="bullet"/>
      <w:lvlText w:val=""/>
      <w:lvlJc w:val="left"/>
      <w:pPr>
        <w:ind w:left="2880" w:hanging="360"/>
      </w:pPr>
      <w:rPr>
        <w:rFonts w:ascii="Symbol" w:hAnsi="Symbol" w:hint="default"/>
      </w:rPr>
    </w:lvl>
    <w:lvl w:ilvl="4" w:tplc="2CC4DDDA">
      <w:start w:val="1"/>
      <w:numFmt w:val="bullet"/>
      <w:lvlText w:val="o"/>
      <w:lvlJc w:val="left"/>
      <w:pPr>
        <w:ind w:left="3600" w:hanging="360"/>
      </w:pPr>
      <w:rPr>
        <w:rFonts w:ascii="Courier New" w:hAnsi="Courier New" w:hint="default"/>
      </w:rPr>
    </w:lvl>
    <w:lvl w:ilvl="5" w:tplc="A5FE863E">
      <w:start w:val="1"/>
      <w:numFmt w:val="bullet"/>
      <w:lvlText w:val=""/>
      <w:lvlJc w:val="left"/>
      <w:pPr>
        <w:ind w:left="4320" w:hanging="360"/>
      </w:pPr>
      <w:rPr>
        <w:rFonts w:ascii="Wingdings" w:hAnsi="Wingdings" w:hint="default"/>
      </w:rPr>
    </w:lvl>
    <w:lvl w:ilvl="6" w:tplc="90D85628">
      <w:start w:val="1"/>
      <w:numFmt w:val="bullet"/>
      <w:lvlText w:val=""/>
      <w:lvlJc w:val="left"/>
      <w:pPr>
        <w:ind w:left="5040" w:hanging="360"/>
      </w:pPr>
      <w:rPr>
        <w:rFonts w:ascii="Symbol" w:hAnsi="Symbol" w:hint="default"/>
      </w:rPr>
    </w:lvl>
    <w:lvl w:ilvl="7" w:tplc="96A6F8A4">
      <w:start w:val="1"/>
      <w:numFmt w:val="bullet"/>
      <w:lvlText w:val="o"/>
      <w:lvlJc w:val="left"/>
      <w:pPr>
        <w:ind w:left="5760" w:hanging="360"/>
      </w:pPr>
      <w:rPr>
        <w:rFonts w:ascii="Courier New" w:hAnsi="Courier New" w:hint="default"/>
      </w:rPr>
    </w:lvl>
    <w:lvl w:ilvl="8" w:tplc="7304FC14">
      <w:start w:val="1"/>
      <w:numFmt w:val="bullet"/>
      <w:lvlText w:val=""/>
      <w:lvlJc w:val="left"/>
      <w:pPr>
        <w:ind w:left="6480" w:hanging="360"/>
      </w:pPr>
      <w:rPr>
        <w:rFonts w:ascii="Wingdings" w:hAnsi="Wingdings" w:hint="default"/>
      </w:rPr>
    </w:lvl>
  </w:abstractNum>
  <w:num w:numId="1" w16cid:durableId="2140100491">
    <w:abstractNumId w:val="5"/>
  </w:num>
  <w:num w:numId="2" w16cid:durableId="1241797077">
    <w:abstractNumId w:val="0"/>
  </w:num>
  <w:num w:numId="3" w16cid:durableId="1677346023">
    <w:abstractNumId w:val="6"/>
  </w:num>
  <w:num w:numId="4" w16cid:durableId="1215390890">
    <w:abstractNumId w:val="4"/>
  </w:num>
  <w:num w:numId="5" w16cid:durableId="851914168">
    <w:abstractNumId w:val="1"/>
  </w:num>
  <w:num w:numId="6" w16cid:durableId="567880687">
    <w:abstractNumId w:val="3"/>
  </w:num>
  <w:num w:numId="7" w16cid:durableId="2121104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BF"/>
    <w:rsid w:val="00015B02"/>
    <w:rsid w:val="002C6642"/>
    <w:rsid w:val="00720FBF"/>
    <w:rsid w:val="00782394"/>
    <w:rsid w:val="007F15DB"/>
    <w:rsid w:val="00AA7B94"/>
    <w:rsid w:val="00D75CE3"/>
    <w:rsid w:val="0156E15D"/>
    <w:rsid w:val="025F2830"/>
    <w:rsid w:val="03348EE8"/>
    <w:rsid w:val="03A6125D"/>
    <w:rsid w:val="046A4357"/>
    <w:rsid w:val="04830267"/>
    <w:rsid w:val="04A046F4"/>
    <w:rsid w:val="060D3BA1"/>
    <w:rsid w:val="07C558D7"/>
    <w:rsid w:val="087F65DC"/>
    <w:rsid w:val="09128587"/>
    <w:rsid w:val="0B865F82"/>
    <w:rsid w:val="0D533E0B"/>
    <w:rsid w:val="0E9A08E6"/>
    <w:rsid w:val="0EDE7524"/>
    <w:rsid w:val="104A0648"/>
    <w:rsid w:val="12D1D43D"/>
    <w:rsid w:val="12EB8BAA"/>
    <w:rsid w:val="133FBE75"/>
    <w:rsid w:val="17860B5B"/>
    <w:rsid w:val="17A4D732"/>
    <w:rsid w:val="1A2F15AD"/>
    <w:rsid w:val="1AE00B90"/>
    <w:rsid w:val="1B676701"/>
    <w:rsid w:val="1BFDDB4E"/>
    <w:rsid w:val="1D8DB54A"/>
    <w:rsid w:val="1E1AFD6C"/>
    <w:rsid w:val="20306C6E"/>
    <w:rsid w:val="21A051B8"/>
    <w:rsid w:val="21DA9030"/>
    <w:rsid w:val="2277C43C"/>
    <w:rsid w:val="254963CB"/>
    <w:rsid w:val="25CB7C4B"/>
    <w:rsid w:val="2A5007B2"/>
    <w:rsid w:val="2B203DAC"/>
    <w:rsid w:val="2C4125D6"/>
    <w:rsid w:val="2D806E27"/>
    <w:rsid w:val="2DA26962"/>
    <w:rsid w:val="2E21097C"/>
    <w:rsid w:val="2E7113BF"/>
    <w:rsid w:val="2F1AB1FD"/>
    <w:rsid w:val="2F69BD65"/>
    <w:rsid w:val="2F6FF0BA"/>
    <w:rsid w:val="3146A129"/>
    <w:rsid w:val="3176F89C"/>
    <w:rsid w:val="332D0D44"/>
    <w:rsid w:val="340E4A4A"/>
    <w:rsid w:val="352EC0DB"/>
    <w:rsid w:val="36247E7A"/>
    <w:rsid w:val="3627E7E9"/>
    <w:rsid w:val="369FC075"/>
    <w:rsid w:val="36D1BB04"/>
    <w:rsid w:val="36E5AB0E"/>
    <w:rsid w:val="380C7497"/>
    <w:rsid w:val="392048AF"/>
    <w:rsid w:val="39EB91F8"/>
    <w:rsid w:val="3A0A4071"/>
    <w:rsid w:val="3A733EAA"/>
    <w:rsid w:val="3A9307BF"/>
    <w:rsid w:val="3D4BB3A3"/>
    <w:rsid w:val="3D4ECC59"/>
    <w:rsid w:val="3D978643"/>
    <w:rsid w:val="3E46B44C"/>
    <w:rsid w:val="41318AFA"/>
    <w:rsid w:val="41AB5A66"/>
    <w:rsid w:val="41AE2979"/>
    <w:rsid w:val="43389171"/>
    <w:rsid w:val="4436124C"/>
    <w:rsid w:val="444B49C9"/>
    <w:rsid w:val="452231E2"/>
    <w:rsid w:val="45F5195D"/>
    <w:rsid w:val="46185732"/>
    <w:rsid w:val="46BC5D5E"/>
    <w:rsid w:val="476077A5"/>
    <w:rsid w:val="47885502"/>
    <w:rsid w:val="47AC96E1"/>
    <w:rsid w:val="49BF523F"/>
    <w:rsid w:val="4A3D514E"/>
    <w:rsid w:val="4A5588E1"/>
    <w:rsid w:val="4A725DCD"/>
    <w:rsid w:val="4C632116"/>
    <w:rsid w:val="4E1E9759"/>
    <w:rsid w:val="4E9CBFCD"/>
    <w:rsid w:val="4EA4E18F"/>
    <w:rsid w:val="4EE4B539"/>
    <w:rsid w:val="50361349"/>
    <w:rsid w:val="504DC6F9"/>
    <w:rsid w:val="528FB35F"/>
    <w:rsid w:val="5345F868"/>
    <w:rsid w:val="540C52AF"/>
    <w:rsid w:val="546CCD1B"/>
    <w:rsid w:val="5559C371"/>
    <w:rsid w:val="5615B74B"/>
    <w:rsid w:val="57040F78"/>
    <w:rsid w:val="574F3C5D"/>
    <w:rsid w:val="58434B53"/>
    <w:rsid w:val="5AC5928A"/>
    <w:rsid w:val="5B5A95BB"/>
    <w:rsid w:val="5B67AA19"/>
    <w:rsid w:val="5CD4DB11"/>
    <w:rsid w:val="5D0308CB"/>
    <w:rsid w:val="5D0D83D9"/>
    <w:rsid w:val="5D42C2B3"/>
    <w:rsid w:val="5F66B1DF"/>
    <w:rsid w:val="5F81F565"/>
    <w:rsid w:val="60178E30"/>
    <w:rsid w:val="602721E1"/>
    <w:rsid w:val="621704A8"/>
    <w:rsid w:val="63D6F46E"/>
    <w:rsid w:val="64ADFB69"/>
    <w:rsid w:val="65BA7C3F"/>
    <w:rsid w:val="6822A205"/>
    <w:rsid w:val="682D8CEF"/>
    <w:rsid w:val="68820B2A"/>
    <w:rsid w:val="694F1B32"/>
    <w:rsid w:val="6A2B7F1B"/>
    <w:rsid w:val="6AF00A5C"/>
    <w:rsid w:val="6C589C08"/>
    <w:rsid w:val="6D0FDB9A"/>
    <w:rsid w:val="6E321CBF"/>
    <w:rsid w:val="6E38607D"/>
    <w:rsid w:val="6ECF8B5C"/>
    <w:rsid w:val="6EF604CD"/>
    <w:rsid w:val="6F53B314"/>
    <w:rsid w:val="6FB3ABD4"/>
    <w:rsid w:val="719A15FE"/>
    <w:rsid w:val="72A89159"/>
    <w:rsid w:val="7368EC93"/>
    <w:rsid w:val="75313483"/>
    <w:rsid w:val="77B0DE14"/>
    <w:rsid w:val="7971E723"/>
    <w:rsid w:val="7A36D544"/>
    <w:rsid w:val="7AC5D3F0"/>
    <w:rsid w:val="7B09A90D"/>
    <w:rsid w:val="7D3C2A22"/>
    <w:rsid w:val="7D59A1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0E31"/>
  <w15:chartTrackingRefBased/>
  <w15:docId w15:val="{E95D1FC4-E336-46D9-92E6-953365232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F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F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F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F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F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F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F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F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F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F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F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F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F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F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F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F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F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FBF"/>
    <w:rPr>
      <w:rFonts w:eastAsiaTheme="majorEastAsia" w:cstheme="majorBidi"/>
      <w:color w:val="272727" w:themeColor="text1" w:themeTint="D8"/>
    </w:rPr>
  </w:style>
  <w:style w:type="paragraph" w:styleId="Title">
    <w:name w:val="Title"/>
    <w:basedOn w:val="Normal"/>
    <w:next w:val="Normal"/>
    <w:link w:val="TitleChar"/>
    <w:uiPriority w:val="10"/>
    <w:qFormat/>
    <w:rsid w:val="00720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F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F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FBF"/>
    <w:pPr>
      <w:spacing w:before="160"/>
      <w:jc w:val="center"/>
    </w:pPr>
    <w:rPr>
      <w:i/>
      <w:iCs/>
      <w:color w:val="404040" w:themeColor="text1" w:themeTint="BF"/>
    </w:rPr>
  </w:style>
  <w:style w:type="character" w:customStyle="1" w:styleId="QuoteChar">
    <w:name w:val="Quote Char"/>
    <w:basedOn w:val="DefaultParagraphFont"/>
    <w:link w:val="Quote"/>
    <w:uiPriority w:val="29"/>
    <w:rsid w:val="00720FBF"/>
    <w:rPr>
      <w:i/>
      <w:iCs/>
      <w:color w:val="404040" w:themeColor="text1" w:themeTint="BF"/>
    </w:rPr>
  </w:style>
  <w:style w:type="paragraph" w:styleId="ListParagraph">
    <w:name w:val="List Paragraph"/>
    <w:basedOn w:val="Normal"/>
    <w:uiPriority w:val="34"/>
    <w:qFormat/>
    <w:rsid w:val="00720FBF"/>
    <w:pPr>
      <w:ind w:left="720"/>
      <w:contextualSpacing/>
    </w:pPr>
  </w:style>
  <w:style w:type="character" w:styleId="IntenseEmphasis">
    <w:name w:val="Intense Emphasis"/>
    <w:basedOn w:val="DefaultParagraphFont"/>
    <w:uiPriority w:val="21"/>
    <w:qFormat/>
    <w:rsid w:val="00720FBF"/>
    <w:rPr>
      <w:i/>
      <w:iCs/>
      <w:color w:val="0F4761" w:themeColor="accent1" w:themeShade="BF"/>
    </w:rPr>
  </w:style>
  <w:style w:type="paragraph" w:styleId="IntenseQuote">
    <w:name w:val="Intense Quote"/>
    <w:basedOn w:val="Normal"/>
    <w:next w:val="Normal"/>
    <w:link w:val="IntenseQuoteChar"/>
    <w:uiPriority w:val="30"/>
    <w:qFormat/>
    <w:rsid w:val="00720F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FBF"/>
    <w:rPr>
      <w:i/>
      <w:iCs/>
      <w:color w:val="0F4761" w:themeColor="accent1" w:themeShade="BF"/>
    </w:rPr>
  </w:style>
  <w:style w:type="character" w:styleId="IntenseReference">
    <w:name w:val="Intense Reference"/>
    <w:basedOn w:val="DefaultParagraphFont"/>
    <w:uiPriority w:val="32"/>
    <w:qFormat/>
    <w:rsid w:val="00720FBF"/>
    <w:rPr>
      <w:b/>
      <w:bCs/>
      <w:smallCaps/>
      <w:color w:val="0F4761" w:themeColor="accent1" w:themeShade="BF"/>
      <w:spacing w:val="5"/>
    </w:rPr>
  </w:style>
  <w:style w:type="character" w:styleId="Hyperlink">
    <w:name w:val="Hyperlink"/>
    <w:basedOn w:val="DefaultParagraphFont"/>
    <w:uiPriority w:val="99"/>
    <w:unhideWhenUsed/>
    <w:rsid w:val="1E1AFD6C"/>
    <w:rPr>
      <w:color w:val="467886"/>
      <w:u w:val="single"/>
    </w:rPr>
  </w:style>
  <w:style w:type="paragraph" w:styleId="Header">
    <w:name w:val="header"/>
    <w:basedOn w:val="Normal"/>
    <w:uiPriority w:val="99"/>
    <w:unhideWhenUsed/>
    <w:rsid w:val="1E1AFD6C"/>
    <w:pPr>
      <w:tabs>
        <w:tab w:val="center" w:pos="4680"/>
        <w:tab w:val="right" w:pos="9360"/>
      </w:tabs>
      <w:spacing w:after="0" w:line="240" w:lineRule="auto"/>
    </w:pPr>
  </w:style>
  <w:style w:type="paragraph" w:styleId="Footer">
    <w:name w:val="footer"/>
    <w:basedOn w:val="Normal"/>
    <w:uiPriority w:val="99"/>
    <w:unhideWhenUsed/>
    <w:rsid w:val="1E1AFD6C"/>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library.net/article/elements-national-power-opposing-force-doctrinal-framework-strategy.qvlovp1y?utm_source=chatgpt.com" TargetMode="External"/><Relationship Id="rId13" Type="http://schemas.openxmlformats.org/officeDocument/2006/relationships/hyperlink" Target="https://www.iea.org/reports/ireland-2024/executive-summary?utm_source=chatgpt.com" TargetMode="External"/><Relationship Id="rId18" Type="http://schemas.openxmlformats.org/officeDocument/2006/relationships/footer" Target="footer1.xml"/><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hyperlink" Target="https://sk.sagepub.com/ency/edvol/embed/nationalsecurity/chpt/national-power-determinants?utm_source=chatgpt.com" TargetMode="External"/><Relationship Id="rId12" Type="http://schemas.openxmlformats.org/officeDocument/2006/relationships/hyperlink" Target="https://www.climateireland.ie/media/epa-2020/monitoring-amp-assessment/climate-change/climate-ireland/EPA_NCCRA_Main-Report_Published_June_2025.pdf?utm_source=chatgpt.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amlcompliance.ie/wp-content/uploads/2025/04/Terrorist-Financing-Risk-Assessment.pdf?utm_source=chatgpt.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mc.ncbi.nlm.nih.gov/articles/PMC9010723/?utm_source=chatgpt.com" TargetMode="External"/><Relationship Id="rId5" Type="http://schemas.openxmlformats.org/officeDocument/2006/relationships/footnotes" Target="footnotes.xml"/><Relationship Id="rId15" Type="http://schemas.openxmlformats.org/officeDocument/2006/relationships/hyperlink" Target="https://www.hpsc.ie/hpstrategy/HSE%20Health%20Protection%20Strategy%20Year%20One%20Implementation%20Report_12.10.2023.pdf?utm_source=chatgpt.com" TargetMode="External"/><Relationship Id="rId10" Type="http://schemas.openxmlformats.org/officeDocument/2006/relationships/hyperlink" Target="https://pmc.ncbi.nlm.nih.gov/articles/PMC9010723/?utm_source=chatgpt.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mc.ncbi.nlm.nih.gov/articles/PMC9010723/?utm_source=chatgpt.com" TargetMode="External"/><Relationship Id="rId14" Type="http://schemas.openxmlformats.org/officeDocument/2006/relationships/hyperlink" Target="https://www.rte.ie/news/business/2024/1105/1479075-cyber-security-report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1573</Words>
  <Characters>8967</Characters>
  <Application>Microsoft Office Word</Application>
  <DocSecurity>0</DocSecurity>
  <Lines>74</Lines>
  <Paragraphs>21</Paragraphs>
  <ScaleCrop>false</ScaleCrop>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MARGARET DOYLE</dc:creator>
  <cp:keywords/>
  <dc:description/>
  <cp:lastModifiedBy>SINEAD MARGARET DOYLE</cp:lastModifiedBy>
  <cp:revision>2</cp:revision>
  <dcterms:created xsi:type="dcterms:W3CDTF">2025-09-23T12:37:00Z</dcterms:created>
  <dcterms:modified xsi:type="dcterms:W3CDTF">2025-09-23T12:37:00Z</dcterms:modified>
</cp:coreProperties>
</file>