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4426E" w14:textId="26FEFD7A" w:rsidR="008207E5" w:rsidRDefault="00F1112A">
      <w:pPr>
        <w:rPr>
          <w:lang w:val="en-GB"/>
        </w:rPr>
      </w:pPr>
      <w:r>
        <w:rPr>
          <w:lang w:val="en-GB"/>
        </w:rPr>
        <w:t>PROXY WARFARE IN THE MIDDLE EAST AND NORTH AFRICA: ACTORS; ORIGINS AND IMPLICATIONS</w:t>
      </w:r>
    </w:p>
    <w:p w14:paraId="365216BB" w14:textId="77777777" w:rsidR="00F1112A" w:rsidRDefault="00F1112A">
      <w:pPr>
        <w:rPr>
          <w:lang w:val="en-GB"/>
        </w:rPr>
      </w:pPr>
    </w:p>
    <w:p w14:paraId="348CA994" w14:textId="4AE233E8" w:rsidR="00F1112A" w:rsidRDefault="00F1112A">
      <w:pPr>
        <w:rPr>
          <w:lang w:val="en-GB"/>
        </w:rPr>
      </w:pPr>
      <w:r>
        <w:rPr>
          <w:lang w:val="en-GB"/>
        </w:rPr>
        <w:t>UCD</w:t>
      </w:r>
    </w:p>
    <w:p w14:paraId="6501A8B5" w14:textId="77777777" w:rsidR="00F1112A" w:rsidRDefault="00F1112A">
      <w:pPr>
        <w:rPr>
          <w:lang w:val="en-GB"/>
        </w:rPr>
      </w:pPr>
    </w:p>
    <w:p w14:paraId="4A974BFD" w14:textId="77777777" w:rsidR="00F1112A" w:rsidRPr="00F1112A" w:rsidRDefault="00F1112A">
      <w:pPr>
        <w:rPr>
          <w:lang w:val="en-GB"/>
        </w:rPr>
      </w:pPr>
    </w:p>
    <w:sectPr w:rsidR="00F1112A" w:rsidRPr="00F1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B5"/>
    <w:rsid w:val="008207E5"/>
    <w:rsid w:val="00B07A98"/>
    <w:rsid w:val="00B5143C"/>
    <w:rsid w:val="00C439B5"/>
    <w:rsid w:val="00D56823"/>
    <w:rsid w:val="00F1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943"/>
  <w15:chartTrackingRefBased/>
  <w15:docId w15:val="{365359F4-B988-41A3-9FBA-256D0727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2</cp:revision>
  <dcterms:created xsi:type="dcterms:W3CDTF">2025-10-08T12:36:00Z</dcterms:created>
  <dcterms:modified xsi:type="dcterms:W3CDTF">2025-10-08T12:38:00Z</dcterms:modified>
</cp:coreProperties>
</file>