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FFA5" w14:textId="385B2809" w:rsidR="00992A79" w:rsidRDefault="00992A79" w:rsidP="00992A79">
      <w:pPr>
        <w:pStyle w:val="Heading1"/>
      </w:pPr>
      <w:r>
        <w:t xml:space="preserve">Topic </w:t>
      </w:r>
      <w:r w:rsidRPr="00992A79">
        <w:rPr>
          <w:lang w:val="en-IE"/>
        </w:rPr>
        <w:t xml:space="preserve">Topic: </w:t>
      </w:r>
      <w:r w:rsidR="004405FA" w:rsidRPr="004405FA">
        <w:t>Integrating the military instrument to enhance societal resilience</w:t>
      </w:r>
    </w:p>
    <w:p w14:paraId="0183D467" w14:textId="77777777" w:rsidR="004405FA" w:rsidRDefault="004405FA" w:rsidP="004405FA"/>
    <w:p w14:paraId="53561B65" w14:textId="7D33CA47" w:rsidR="004405FA" w:rsidRPr="004405FA" w:rsidRDefault="004405FA" w:rsidP="004405FA">
      <w:r>
        <w:t>Research Question</w:t>
      </w:r>
      <w:proofErr w:type="gramStart"/>
      <w:r>
        <w:t xml:space="preserve">: </w:t>
      </w:r>
      <w:r w:rsidRPr="004405FA">
        <w:t>.</w:t>
      </w:r>
      <w:proofErr w:type="gramEnd"/>
      <w:r w:rsidRPr="004405FA">
        <w:t xml:space="preserve"> Group should assess the utility and limitations of the military as an instrument of national power in addressing non-traditional national security threats in concert with other instruments available to states. Draw on case studies to illustrate both successful and problematic applications. Consider political, logistical, ethical, and strategic factors.</w:t>
      </w:r>
    </w:p>
    <w:p w14:paraId="7AB2A2F9" w14:textId="77777777" w:rsidR="00C26D93" w:rsidRDefault="00C26D93">
      <w:pPr>
        <w:pStyle w:val="Heading1"/>
        <w:rPr>
          <w:b w:val="0"/>
          <w:bCs w:val="0"/>
        </w:rPr>
      </w:pPr>
      <w:r>
        <w:rPr>
          <w:b w:val="0"/>
          <w:bCs w:val="0"/>
        </w:rPr>
        <w:t>Length</w:t>
      </w:r>
    </w:p>
    <w:p w14:paraId="359C58FE" w14:textId="0DDE3ADB" w:rsidR="00992A79" w:rsidRDefault="00C26D93" w:rsidP="00C26D93">
      <w:r>
        <w:t xml:space="preserve">Requirement is a </w:t>
      </w:r>
      <w:proofErr w:type="gramStart"/>
      <w:r>
        <w:t>10 minute</w:t>
      </w:r>
      <w:proofErr w:type="gramEnd"/>
      <w:r>
        <w:t xml:space="preserve"> speech for me</w:t>
      </w:r>
    </w:p>
    <w:p w14:paraId="6FCE752E" w14:textId="2425AA2C" w:rsidR="00C26D93" w:rsidRDefault="00C26D93" w:rsidP="00C26D93">
      <w:r>
        <w:t xml:space="preserve">I </w:t>
      </w:r>
      <w:proofErr w:type="gramStart"/>
      <w:r>
        <w:t>speak at</w:t>
      </w:r>
      <w:proofErr w:type="gramEnd"/>
      <w:r>
        <w:t xml:space="preserve"> about 110 words per </w:t>
      </w:r>
      <w:proofErr w:type="gramStart"/>
      <w:r>
        <w:t>minutes</w:t>
      </w:r>
      <w:proofErr w:type="gramEnd"/>
      <w:r>
        <w:t>.</w:t>
      </w:r>
    </w:p>
    <w:p w14:paraId="571499FC" w14:textId="10CAA320" w:rsidR="00C26D93" w:rsidRDefault="00C26D93" w:rsidP="00C26D93">
      <w:r>
        <w:t>Plan for 102 words per minute</w:t>
      </w:r>
    </w:p>
    <w:p w14:paraId="12A5E56B" w14:textId="5B089BC3" w:rsidR="00B47F91" w:rsidRPr="00C26D93" w:rsidRDefault="00B47F91" w:rsidP="00C26D93">
      <w:r>
        <w:t>Hence 1000words.</w:t>
      </w:r>
    </w:p>
    <w:p w14:paraId="388C5E21" w14:textId="77777777" w:rsidR="00992A79" w:rsidRDefault="00992A79">
      <w:pPr>
        <w:pStyle w:val="Heading1"/>
      </w:pPr>
    </w:p>
    <w:p w14:paraId="7B1BEEF3" w14:textId="4A0EE5A2" w:rsidR="004D5BA4" w:rsidRDefault="00000000">
      <w:pPr>
        <w:pStyle w:val="Heading1"/>
      </w:pPr>
      <w:r>
        <w:t xml:space="preserve">Instructions for </w:t>
      </w:r>
      <w:proofErr w:type="spellStart"/>
      <w:r>
        <w:t>Analysing</w:t>
      </w:r>
      <w:proofErr w:type="spellEnd"/>
      <w:r>
        <w:t xml:space="preserve"> Presentation Content</w:t>
      </w:r>
    </w:p>
    <w:p w14:paraId="79AAEAF7" w14:textId="744A08C8" w:rsidR="004D5BA4" w:rsidRDefault="00000000">
      <w:r>
        <w:t xml:space="preserve">This document consolidates relevant material from the Joint Command and Staff Course (TS_16_2022_JOINT_COMMAND_AND_STAFF_CSE.pdf) and the </w:t>
      </w:r>
      <w:r w:rsidR="004405FA">
        <w:t xml:space="preserve">DSS </w:t>
      </w:r>
      <w:r>
        <w:t>module examination (</w:t>
      </w:r>
      <w:r w:rsidR="004405FA" w:rsidRPr="004405FA">
        <w:t>08JCSC_DSS_Presentations</w:t>
      </w:r>
      <w:r>
        <w:t xml:space="preserve">). It is designed as an instruction set for </w:t>
      </w:r>
      <w:proofErr w:type="spellStart"/>
      <w:r>
        <w:t>analysing</w:t>
      </w:r>
      <w:proofErr w:type="spellEnd"/>
      <w:r>
        <w:t xml:space="preserve"> future presentation content, ensuring compliance with Defence Forces educational aims and Maynooth University academic standards.</w:t>
      </w:r>
    </w:p>
    <w:p w14:paraId="721096EF" w14:textId="77777777" w:rsidR="00D86957" w:rsidRDefault="00D86957"/>
    <w:p w14:paraId="356DF83D" w14:textId="77777777" w:rsidR="00D86957" w:rsidRPr="00D86957" w:rsidRDefault="00D86957" w:rsidP="00D86957">
      <w:pPr>
        <w:rPr>
          <w:b/>
          <w:bCs/>
          <w:lang w:val="en-IE"/>
        </w:rPr>
      </w:pPr>
      <w:r w:rsidRPr="00D86957">
        <w:rPr>
          <w:b/>
          <w:bCs/>
          <w:lang w:val="en-IE"/>
        </w:rPr>
        <w:t>Distinction Levers (68% → 72%+)</w:t>
      </w:r>
    </w:p>
    <w:p w14:paraId="56D90AC2" w14:textId="77777777" w:rsidR="00D86957" w:rsidRPr="00D86957" w:rsidRDefault="00D86957" w:rsidP="00D86957">
      <w:pPr>
        <w:rPr>
          <w:b/>
          <w:bCs/>
          <w:lang w:val="en-IE"/>
        </w:rPr>
      </w:pPr>
      <w:r w:rsidRPr="00D86957">
        <w:rPr>
          <w:b/>
          <w:bCs/>
          <w:lang w:val="en-IE"/>
        </w:rPr>
        <w:t>1. Frame the Argument Early and Clearly</w:t>
      </w:r>
    </w:p>
    <w:p w14:paraId="5F7EA312" w14:textId="77777777" w:rsidR="00D86957" w:rsidRPr="00D86957" w:rsidRDefault="00D86957" w:rsidP="00D86957">
      <w:pPr>
        <w:numPr>
          <w:ilvl w:val="0"/>
          <w:numId w:val="10"/>
        </w:numPr>
        <w:rPr>
          <w:lang w:val="en-IE"/>
        </w:rPr>
      </w:pPr>
      <w:r w:rsidRPr="00D86957">
        <w:rPr>
          <w:lang w:val="en-IE"/>
        </w:rPr>
        <w:t>Open with a precise research question and your answer in one line.</w:t>
      </w:r>
    </w:p>
    <w:p w14:paraId="1842C747" w14:textId="77777777" w:rsidR="00D86957" w:rsidRPr="00D86957" w:rsidRDefault="00D86957" w:rsidP="00D86957">
      <w:pPr>
        <w:numPr>
          <w:ilvl w:val="0"/>
          <w:numId w:val="10"/>
        </w:numPr>
        <w:rPr>
          <w:lang w:val="en-IE"/>
        </w:rPr>
      </w:pPr>
      <w:r w:rsidRPr="00D86957">
        <w:rPr>
          <w:lang w:val="en-IE"/>
        </w:rPr>
        <w:t xml:space="preserve">Example: </w:t>
      </w:r>
      <w:r w:rsidRPr="00D86957">
        <w:rPr>
          <w:i/>
          <w:iCs/>
          <w:lang w:val="en-IE"/>
        </w:rPr>
        <w:t>“This essay argues that small states can influence outcomes conditionally, when niche expertise aligns with institutional demand.”</w:t>
      </w:r>
    </w:p>
    <w:p w14:paraId="54E3AB2F" w14:textId="77777777" w:rsidR="00D86957" w:rsidRPr="00D86957" w:rsidRDefault="00D86957" w:rsidP="00D86957">
      <w:pPr>
        <w:numPr>
          <w:ilvl w:val="0"/>
          <w:numId w:val="10"/>
        </w:numPr>
        <w:rPr>
          <w:lang w:val="en-IE"/>
        </w:rPr>
      </w:pPr>
      <w:r w:rsidRPr="00D86957">
        <w:rPr>
          <w:lang w:val="en-IE"/>
        </w:rPr>
        <w:t>Examiners reward clarity of stance more than density of sources.</w:t>
      </w:r>
    </w:p>
    <w:p w14:paraId="3D2B1359" w14:textId="77777777" w:rsidR="00D86957" w:rsidRPr="00D86957" w:rsidRDefault="00000000" w:rsidP="00D86957">
      <w:pPr>
        <w:rPr>
          <w:lang w:val="en-IE"/>
        </w:rPr>
      </w:pPr>
      <w:r>
        <w:rPr>
          <w:lang w:val="en-IE"/>
        </w:rPr>
        <w:pict w14:anchorId="71B861B7">
          <v:rect id="_x0000_i1025" style="width:0;height:1.5pt" o:hralign="center" o:hrstd="t" o:hr="t" fillcolor="#a0a0a0" stroked="f"/>
        </w:pict>
      </w:r>
    </w:p>
    <w:p w14:paraId="38921F0A" w14:textId="77777777" w:rsidR="00D86957" w:rsidRPr="00D86957" w:rsidRDefault="00D86957" w:rsidP="00D86957">
      <w:pPr>
        <w:rPr>
          <w:b/>
          <w:bCs/>
          <w:lang w:val="en-IE"/>
        </w:rPr>
      </w:pPr>
      <w:r w:rsidRPr="00D86957">
        <w:rPr>
          <w:b/>
          <w:bCs/>
          <w:lang w:val="en-IE"/>
        </w:rPr>
        <w:lastRenderedPageBreak/>
        <w:t>2. Prioritise Critical Synthesis over Description</w:t>
      </w:r>
    </w:p>
    <w:p w14:paraId="58BD9713" w14:textId="77777777" w:rsidR="00D86957" w:rsidRPr="00D86957" w:rsidRDefault="00D86957" w:rsidP="00D86957">
      <w:pPr>
        <w:numPr>
          <w:ilvl w:val="0"/>
          <w:numId w:val="11"/>
        </w:numPr>
        <w:rPr>
          <w:lang w:val="en-IE"/>
        </w:rPr>
      </w:pPr>
      <w:r w:rsidRPr="00D86957">
        <w:rPr>
          <w:lang w:val="en-IE"/>
        </w:rPr>
        <w:t>Don’t just say “Bachmann argues X, Bennett argues Y.”</w:t>
      </w:r>
    </w:p>
    <w:p w14:paraId="7C59A8F0" w14:textId="77777777" w:rsidR="00D86957" w:rsidRPr="00D86957" w:rsidRDefault="00D86957" w:rsidP="00D86957">
      <w:pPr>
        <w:numPr>
          <w:ilvl w:val="0"/>
          <w:numId w:val="11"/>
        </w:numPr>
        <w:rPr>
          <w:lang w:val="en-IE"/>
        </w:rPr>
      </w:pPr>
      <w:r w:rsidRPr="00D86957">
        <w:rPr>
          <w:lang w:val="en-IE"/>
        </w:rPr>
        <w:t xml:space="preserve">Say: </w:t>
      </w:r>
      <w:r w:rsidRPr="00D86957">
        <w:rPr>
          <w:i/>
          <w:iCs/>
          <w:lang w:val="en-IE"/>
        </w:rPr>
        <w:t>“Bachmann overstates disinformation’s impact; Bennett shows institutional decline is deeper. For the Defence Forces, Bennett’s reading is more persuasive because…”</w:t>
      </w:r>
    </w:p>
    <w:p w14:paraId="16B2F4C1" w14:textId="77777777" w:rsidR="00D86957" w:rsidRPr="00D86957" w:rsidRDefault="00D86957" w:rsidP="00D86957">
      <w:pPr>
        <w:numPr>
          <w:ilvl w:val="0"/>
          <w:numId w:val="11"/>
        </w:numPr>
        <w:rPr>
          <w:lang w:val="en-IE"/>
        </w:rPr>
      </w:pPr>
      <w:r w:rsidRPr="00D86957">
        <w:rPr>
          <w:lang w:val="en-IE"/>
        </w:rPr>
        <w:t xml:space="preserve">That </w:t>
      </w:r>
      <w:r w:rsidRPr="00D86957">
        <w:rPr>
          <w:i/>
          <w:iCs/>
          <w:lang w:val="en-IE"/>
        </w:rPr>
        <w:t>weighing</w:t>
      </w:r>
      <w:r w:rsidRPr="00D86957">
        <w:rPr>
          <w:lang w:val="en-IE"/>
        </w:rPr>
        <w:t xml:space="preserve"> is what examiners scan for.</w:t>
      </w:r>
    </w:p>
    <w:p w14:paraId="6A644370" w14:textId="77777777" w:rsidR="00D86957" w:rsidRPr="00D86957" w:rsidRDefault="00000000" w:rsidP="00D86957">
      <w:pPr>
        <w:rPr>
          <w:lang w:val="en-IE"/>
        </w:rPr>
      </w:pPr>
      <w:r>
        <w:rPr>
          <w:lang w:val="en-IE"/>
        </w:rPr>
        <w:pict w14:anchorId="49899F7E">
          <v:rect id="_x0000_i1026" style="width:0;height:1.5pt" o:hralign="center" o:hrstd="t" o:hr="t" fillcolor="#a0a0a0" stroked="f"/>
        </w:pict>
      </w:r>
    </w:p>
    <w:p w14:paraId="237C09CA" w14:textId="77777777" w:rsidR="00D86957" w:rsidRPr="00D86957" w:rsidRDefault="00D86957" w:rsidP="00D86957">
      <w:pPr>
        <w:rPr>
          <w:b/>
          <w:bCs/>
          <w:lang w:val="en-IE"/>
        </w:rPr>
      </w:pPr>
      <w:r w:rsidRPr="00D86957">
        <w:rPr>
          <w:b/>
          <w:bCs/>
          <w:lang w:val="en-IE"/>
        </w:rPr>
        <w:t>3. Limit → Implication Discipline</w:t>
      </w:r>
    </w:p>
    <w:p w14:paraId="689045A6" w14:textId="77777777" w:rsidR="00D86957" w:rsidRPr="00D86957" w:rsidRDefault="00D86957" w:rsidP="00D86957">
      <w:pPr>
        <w:numPr>
          <w:ilvl w:val="0"/>
          <w:numId w:val="12"/>
        </w:numPr>
        <w:rPr>
          <w:lang w:val="en-IE"/>
        </w:rPr>
      </w:pPr>
      <w:r w:rsidRPr="00D86957">
        <w:rPr>
          <w:lang w:val="en-IE"/>
        </w:rPr>
        <w:t>Every section should end with:</w:t>
      </w:r>
    </w:p>
    <w:p w14:paraId="01CCE526" w14:textId="77777777" w:rsidR="00D86957" w:rsidRPr="00D86957" w:rsidRDefault="00D86957" w:rsidP="00D86957">
      <w:pPr>
        <w:numPr>
          <w:ilvl w:val="1"/>
          <w:numId w:val="12"/>
        </w:numPr>
        <w:rPr>
          <w:lang w:val="en-IE"/>
        </w:rPr>
      </w:pPr>
      <w:r w:rsidRPr="00D86957">
        <w:rPr>
          <w:i/>
          <w:iCs/>
          <w:lang w:val="en-IE"/>
        </w:rPr>
        <w:t>Limit</w:t>
      </w:r>
      <w:r w:rsidRPr="00D86957">
        <w:rPr>
          <w:lang w:val="en-IE"/>
        </w:rPr>
        <w:t>: one clear boundary (“Bachmann’s data is Ukraine-focused only”).</w:t>
      </w:r>
    </w:p>
    <w:p w14:paraId="2C7F8F3D" w14:textId="77777777" w:rsidR="00D86957" w:rsidRPr="00D86957" w:rsidRDefault="00D86957" w:rsidP="00D86957">
      <w:pPr>
        <w:numPr>
          <w:ilvl w:val="1"/>
          <w:numId w:val="12"/>
        </w:numPr>
        <w:rPr>
          <w:lang w:val="en-IE"/>
        </w:rPr>
      </w:pPr>
      <w:r w:rsidRPr="00D86957">
        <w:rPr>
          <w:i/>
          <w:iCs/>
          <w:lang w:val="en-IE"/>
        </w:rPr>
        <w:t>Implication</w:t>
      </w:r>
      <w:r w:rsidRPr="00D86957">
        <w:rPr>
          <w:lang w:val="en-IE"/>
        </w:rPr>
        <w:t>: one DF consequence (“Implication: Ireland must adapt cautiously, given neutrality constraints”).</w:t>
      </w:r>
    </w:p>
    <w:p w14:paraId="34A6E5FD" w14:textId="77777777" w:rsidR="00D86957" w:rsidRPr="00D86957" w:rsidRDefault="00D86957" w:rsidP="00D86957">
      <w:pPr>
        <w:numPr>
          <w:ilvl w:val="0"/>
          <w:numId w:val="12"/>
        </w:numPr>
        <w:rPr>
          <w:lang w:val="en-IE"/>
        </w:rPr>
      </w:pPr>
      <w:r w:rsidRPr="00D86957">
        <w:rPr>
          <w:lang w:val="en-IE"/>
        </w:rPr>
        <w:t>This is examiner catnip: it proves you are reflective, not just descriptive.</w:t>
      </w:r>
    </w:p>
    <w:p w14:paraId="01D1E8B1" w14:textId="77777777" w:rsidR="00D86957" w:rsidRPr="00D86957" w:rsidRDefault="00000000" w:rsidP="00D86957">
      <w:pPr>
        <w:rPr>
          <w:lang w:val="en-IE"/>
        </w:rPr>
      </w:pPr>
      <w:r>
        <w:rPr>
          <w:lang w:val="en-IE"/>
        </w:rPr>
        <w:pict w14:anchorId="3FB881E9">
          <v:rect id="_x0000_i1027" style="width:0;height:1.5pt" o:hralign="center" o:hrstd="t" o:hr="t" fillcolor="#a0a0a0" stroked="f"/>
        </w:pict>
      </w:r>
    </w:p>
    <w:p w14:paraId="6CD8703E" w14:textId="77777777" w:rsidR="00D86957" w:rsidRPr="00D86957" w:rsidRDefault="00D86957" w:rsidP="00D86957">
      <w:pPr>
        <w:rPr>
          <w:b/>
          <w:bCs/>
          <w:lang w:val="en-IE"/>
        </w:rPr>
      </w:pPr>
      <w:r w:rsidRPr="00D86957">
        <w:rPr>
          <w:b/>
          <w:bCs/>
          <w:lang w:val="en-IE"/>
        </w:rPr>
        <w:t>4. Anchor Every Claim in the Defence Forces</w:t>
      </w:r>
    </w:p>
    <w:p w14:paraId="4656DF3B" w14:textId="77777777" w:rsidR="00D86957" w:rsidRPr="00D86957" w:rsidRDefault="00D86957" w:rsidP="00D86957">
      <w:pPr>
        <w:numPr>
          <w:ilvl w:val="0"/>
          <w:numId w:val="13"/>
        </w:numPr>
        <w:rPr>
          <w:lang w:val="en-IE"/>
        </w:rPr>
      </w:pPr>
      <w:r w:rsidRPr="00D86957">
        <w:rPr>
          <w:lang w:val="en-IE"/>
        </w:rPr>
        <w:t>Even when discussing Clausewitz or RMA theory, always land on DF application.</w:t>
      </w:r>
    </w:p>
    <w:p w14:paraId="0DBEA9C9" w14:textId="77777777" w:rsidR="00D86957" w:rsidRPr="00D86957" w:rsidRDefault="00D86957" w:rsidP="00D86957">
      <w:pPr>
        <w:numPr>
          <w:ilvl w:val="0"/>
          <w:numId w:val="13"/>
        </w:numPr>
        <w:rPr>
          <w:lang w:val="en-IE"/>
        </w:rPr>
      </w:pPr>
      <w:r w:rsidRPr="00D86957">
        <w:rPr>
          <w:lang w:val="en-IE"/>
        </w:rPr>
        <w:t xml:space="preserve">Example: </w:t>
      </w:r>
      <w:r w:rsidRPr="00D86957">
        <w:rPr>
          <w:i/>
          <w:iCs/>
          <w:lang w:val="en-IE"/>
        </w:rPr>
        <w:t>“Metz’s claim that revolutions are social as well as technical matters. Limit: US-centric. Implication: DF must consider cultural resistance as much as drones themselves.”</w:t>
      </w:r>
    </w:p>
    <w:p w14:paraId="66844535" w14:textId="77777777" w:rsidR="00D86957" w:rsidRPr="00D86957" w:rsidRDefault="00D86957" w:rsidP="00D86957">
      <w:pPr>
        <w:numPr>
          <w:ilvl w:val="0"/>
          <w:numId w:val="13"/>
        </w:numPr>
        <w:rPr>
          <w:lang w:val="en-IE"/>
        </w:rPr>
      </w:pPr>
      <w:r w:rsidRPr="00D86957">
        <w:rPr>
          <w:lang w:val="en-IE"/>
        </w:rPr>
        <w:t>Examiners want Ireland made relevant in every paragraph.</w:t>
      </w:r>
    </w:p>
    <w:p w14:paraId="7B5FDD23" w14:textId="77777777" w:rsidR="00D86957" w:rsidRPr="00D86957" w:rsidRDefault="00000000" w:rsidP="00D86957">
      <w:pPr>
        <w:rPr>
          <w:lang w:val="en-IE"/>
        </w:rPr>
      </w:pPr>
      <w:r>
        <w:rPr>
          <w:lang w:val="en-IE"/>
        </w:rPr>
        <w:pict w14:anchorId="245C9905">
          <v:rect id="_x0000_i1028" style="width:0;height:1.5pt" o:hralign="center" o:hrstd="t" o:hr="t" fillcolor="#a0a0a0" stroked="f"/>
        </w:pict>
      </w:r>
    </w:p>
    <w:p w14:paraId="27B39495" w14:textId="77777777" w:rsidR="00D86957" w:rsidRPr="00D86957" w:rsidRDefault="00D86957" w:rsidP="00D86957">
      <w:pPr>
        <w:rPr>
          <w:b/>
          <w:bCs/>
          <w:lang w:val="en-IE"/>
        </w:rPr>
      </w:pPr>
      <w:r w:rsidRPr="00D86957">
        <w:rPr>
          <w:b/>
          <w:bCs/>
          <w:lang w:val="en-IE"/>
        </w:rPr>
        <w:t>5. Balance Optimist vs Sceptic Voices</w:t>
      </w:r>
    </w:p>
    <w:p w14:paraId="2F57DE30" w14:textId="77777777" w:rsidR="00D86957" w:rsidRPr="00D86957" w:rsidRDefault="00D86957" w:rsidP="00D86957">
      <w:pPr>
        <w:numPr>
          <w:ilvl w:val="0"/>
          <w:numId w:val="14"/>
        </w:numPr>
        <w:rPr>
          <w:lang w:val="en-IE"/>
        </w:rPr>
      </w:pPr>
      <w:r w:rsidRPr="00D86957">
        <w:rPr>
          <w:lang w:val="en-IE"/>
        </w:rPr>
        <w:t>Always show at least two sides, then position yourself.</w:t>
      </w:r>
    </w:p>
    <w:p w14:paraId="58F3AAE8" w14:textId="77777777" w:rsidR="00D86957" w:rsidRPr="00D86957" w:rsidRDefault="00D86957" w:rsidP="00D86957">
      <w:pPr>
        <w:numPr>
          <w:ilvl w:val="0"/>
          <w:numId w:val="14"/>
        </w:numPr>
        <w:rPr>
          <w:lang w:val="en-IE"/>
        </w:rPr>
      </w:pPr>
      <w:r w:rsidRPr="00D86957">
        <w:rPr>
          <w:lang w:val="en-IE"/>
        </w:rPr>
        <w:t xml:space="preserve">E.g. </w:t>
      </w:r>
      <w:r w:rsidRPr="00D86957">
        <w:rPr>
          <w:i/>
          <w:iCs/>
          <w:lang w:val="en-IE"/>
        </w:rPr>
        <w:t xml:space="preserve">“Krepinevich’s optimism clashes with Betts’ caution. By contrast, </w:t>
      </w:r>
      <w:proofErr w:type="spellStart"/>
      <w:r w:rsidRPr="00D86957">
        <w:rPr>
          <w:i/>
          <w:iCs/>
          <w:lang w:val="en-IE"/>
        </w:rPr>
        <w:t>Alach</w:t>
      </w:r>
      <w:proofErr w:type="spellEnd"/>
      <w:r w:rsidRPr="00D86957">
        <w:rPr>
          <w:i/>
          <w:iCs/>
          <w:lang w:val="en-IE"/>
        </w:rPr>
        <w:t xml:space="preserve"> bridges both. Taken together, this suggests…”</w:t>
      </w:r>
    </w:p>
    <w:p w14:paraId="16F06D76" w14:textId="77777777" w:rsidR="00D86957" w:rsidRPr="00D86957" w:rsidRDefault="00D86957" w:rsidP="00D86957">
      <w:pPr>
        <w:numPr>
          <w:ilvl w:val="0"/>
          <w:numId w:val="14"/>
        </w:numPr>
        <w:rPr>
          <w:lang w:val="en-IE"/>
        </w:rPr>
      </w:pPr>
      <w:r w:rsidRPr="00D86957">
        <w:rPr>
          <w:lang w:val="en-IE"/>
        </w:rPr>
        <w:t>Critical contrasts signal higher-level analysis.</w:t>
      </w:r>
    </w:p>
    <w:p w14:paraId="20A3FFEA" w14:textId="77777777" w:rsidR="00D86957" w:rsidRPr="00D86957" w:rsidRDefault="00000000" w:rsidP="00D86957">
      <w:pPr>
        <w:rPr>
          <w:lang w:val="en-IE"/>
        </w:rPr>
      </w:pPr>
      <w:r>
        <w:rPr>
          <w:lang w:val="en-IE"/>
        </w:rPr>
        <w:pict w14:anchorId="0F671256">
          <v:rect id="_x0000_i1029" style="width:0;height:1.5pt" o:hralign="center" o:hrstd="t" o:hr="t" fillcolor="#a0a0a0" stroked="f"/>
        </w:pict>
      </w:r>
    </w:p>
    <w:p w14:paraId="4E9D88C0" w14:textId="77777777" w:rsidR="00D86957" w:rsidRPr="00D86957" w:rsidRDefault="00D86957" w:rsidP="00D86957">
      <w:pPr>
        <w:rPr>
          <w:b/>
          <w:bCs/>
          <w:lang w:val="en-IE"/>
        </w:rPr>
      </w:pPr>
      <w:r w:rsidRPr="00D86957">
        <w:rPr>
          <w:b/>
          <w:bCs/>
          <w:lang w:val="en-IE"/>
        </w:rPr>
        <w:t>6. Deliver Novel Synthesis</w:t>
      </w:r>
    </w:p>
    <w:p w14:paraId="0C94184D" w14:textId="77777777" w:rsidR="00D86957" w:rsidRPr="00D86957" w:rsidRDefault="00D86957" w:rsidP="00D86957">
      <w:pPr>
        <w:numPr>
          <w:ilvl w:val="0"/>
          <w:numId w:val="15"/>
        </w:numPr>
        <w:rPr>
          <w:lang w:val="en-IE"/>
        </w:rPr>
      </w:pPr>
      <w:r w:rsidRPr="00D86957">
        <w:rPr>
          <w:lang w:val="en-IE"/>
        </w:rPr>
        <w:lastRenderedPageBreak/>
        <w:t>Push one fresh link beyond what sources say.</w:t>
      </w:r>
    </w:p>
    <w:p w14:paraId="287500B0" w14:textId="77777777" w:rsidR="00D86957" w:rsidRPr="00D86957" w:rsidRDefault="00D86957" w:rsidP="00D86957">
      <w:pPr>
        <w:numPr>
          <w:ilvl w:val="0"/>
          <w:numId w:val="15"/>
        </w:numPr>
        <w:rPr>
          <w:lang w:val="en-IE"/>
        </w:rPr>
      </w:pPr>
      <w:r w:rsidRPr="00D86957">
        <w:rPr>
          <w:lang w:val="en-IE"/>
        </w:rPr>
        <w:t xml:space="preserve">E.g. </w:t>
      </w:r>
      <w:r w:rsidRPr="00D86957">
        <w:rPr>
          <w:i/>
          <w:iCs/>
          <w:lang w:val="en-IE"/>
        </w:rPr>
        <w:t>“Mission command and strategic communication both hinge on candour under uncertainty. This parallel suggests a common doctrinal challenge for the DF.”</w:t>
      </w:r>
    </w:p>
    <w:p w14:paraId="2BA83B0D" w14:textId="77777777" w:rsidR="00D86957" w:rsidRPr="00D86957" w:rsidRDefault="00D86957" w:rsidP="00D86957">
      <w:pPr>
        <w:numPr>
          <w:ilvl w:val="0"/>
          <w:numId w:val="15"/>
        </w:numPr>
        <w:rPr>
          <w:lang w:val="en-IE"/>
        </w:rPr>
      </w:pPr>
      <w:r w:rsidRPr="00D86957">
        <w:rPr>
          <w:lang w:val="en-IE"/>
        </w:rPr>
        <w:t>Even one or two such insights can push an essay into the 70s.</w:t>
      </w:r>
    </w:p>
    <w:p w14:paraId="6FEE36C3" w14:textId="77777777" w:rsidR="00D86957" w:rsidRPr="00D86957" w:rsidRDefault="00000000" w:rsidP="00D86957">
      <w:pPr>
        <w:rPr>
          <w:lang w:val="en-IE"/>
        </w:rPr>
      </w:pPr>
      <w:r>
        <w:rPr>
          <w:lang w:val="en-IE"/>
        </w:rPr>
        <w:pict w14:anchorId="00372598">
          <v:rect id="_x0000_i1030" style="width:0;height:1.5pt" o:hralign="center" o:hrstd="t" o:hr="t" fillcolor="#a0a0a0" stroked="f"/>
        </w:pict>
      </w:r>
    </w:p>
    <w:p w14:paraId="20B7DD43" w14:textId="77777777" w:rsidR="00D86957" w:rsidRPr="00D86957" w:rsidRDefault="00D86957" w:rsidP="00D86957">
      <w:pPr>
        <w:rPr>
          <w:b/>
          <w:bCs/>
          <w:lang w:val="en-IE"/>
        </w:rPr>
      </w:pPr>
      <w:r w:rsidRPr="00D86957">
        <w:rPr>
          <w:b/>
          <w:bCs/>
          <w:lang w:val="en-IE"/>
        </w:rPr>
        <w:t>7. Slide/Essay Economy</w:t>
      </w:r>
    </w:p>
    <w:p w14:paraId="48B02815" w14:textId="77777777" w:rsidR="00D86957" w:rsidRPr="00D86957" w:rsidRDefault="00D86957" w:rsidP="00D86957">
      <w:pPr>
        <w:numPr>
          <w:ilvl w:val="0"/>
          <w:numId w:val="16"/>
        </w:numPr>
        <w:rPr>
          <w:lang w:val="en-IE"/>
        </w:rPr>
      </w:pPr>
      <w:r w:rsidRPr="00D86957">
        <w:rPr>
          <w:lang w:val="en-IE"/>
        </w:rPr>
        <w:t>In presentations: one big claim per slide.</w:t>
      </w:r>
    </w:p>
    <w:p w14:paraId="28FE982E" w14:textId="77777777" w:rsidR="00D86957" w:rsidRPr="00D86957" w:rsidRDefault="00D86957" w:rsidP="00D86957">
      <w:pPr>
        <w:numPr>
          <w:ilvl w:val="0"/>
          <w:numId w:val="16"/>
        </w:numPr>
        <w:rPr>
          <w:lang w:val="en-IE"/>
        </w:rPr>
      </w:pPr>
      <w:r w:rsidRPr="00D86957">
        <w:rPr>
          <w:lang w:val="en-IE"/>
        </w:rPr>
        <w:t>In essays: one claim per paragraph. Avoid stacking.</w:t>
      </w:r>
    </w:p>
    <w:p w14:paraId="4A20DB6D" w14:textId="77777777" w:rsidR="00D86957" w:rsidRPr="00D86957" w:rsidRDefault="00D86957" w:rsidP="00D86957">
      <w:pPr>
        <w:numPr>
          <w:ilvl w:val="0"/>
          <w:numId w:val="16"/>
        </w:numPr>
        <w:rPr>
          <w:lang w:val="en-IE"/>
        </w:rPr>
      </w:pPr>
      <w:r w:rsidRPr="00D86957">
        <w:rPr>
          <w:lang w:val="en-IE"/>
        </w:rPr>
        <w:t>Dense work reads as descriptive; lean, prioritised work reads as analytical.</w:t>
      </w:r>
    </w:p>
    <w:p w14:paraId="698EBFB5" w14:textId="77777777" w:rsidR="00D86957" w:rsidRPr="00D86957" w:rsidRDefault="00000000" w:rsidP="00D86957">
      <w:pPr>
        <w:rPr>
          <w:lang w:val="en-IE"/>
        </w:rPr>
      </w:pPr>
      <w:r>
        <w:rPr>
          <w:lang w:val="en-IE"/>
        </w:rPr>
        <w:pict w14:anchorId="5EA9DC1C">
          <v:rect id="_x0000_i1031" style="width:0;height:1.5pt" o:hralign="center" o:hrstd="t" o:hr="t" fillcolor="#a0a0a0" stroked="f"/>
        </w:pict>
      </w:r>
    </w:p>
    <w:p w14:paraId="245D7E2A" w14:textId="77777777" w:rsidR="00D86957" w:rsidRPr="00D86957" w:rsidRDefault="00D86957" w:rsidP="00D86957">
      <w:pPr>
        <w:rPr>
          <w:lang w:val="en-IE"/>
        </w:rPr>
      </w:pPr>
      <w:r w:rsidRPr="00D86957">
        <w:rPr>
          <w:rFonts w:ascii="Segoe UI Emoji" w:hAnsi="Segoe UI Emoji" w:cs="Segoe UI Emoji"/>
          <w:lang w:val="en-IE"/>
        </w:rPr>
        <w:t>✅</w:t>
      </w:r>
      <w:r w:rsidRPr="00D86957">
        <w:rPr>
          <w:lang w:val="en-IE"/>
        </w:rPr>
        <w:t xml:space="preserve"> </w:t>
      </w:r>
      <w:r w:rsidRPr="00D86957">
        <w:rPr>
          <w:b/>
          <w:bCs/>
          <w:lang w:val="en-IE"/>
        </w:rPr>
        <w:t>Rule of Thumb:</w:t>
      </w:r>
      <w:r w:rsidRPr="00D86957">
        <w:rPr>
          <w:lang w:val="en-IE"/>
        </w:rPr>
        <w:t xml:space="preserve"> </w:t>
      </w:r>
      <w:r w:rsidRPr="00D86957">
        <w:rPr>
          <w:i/>
          <w:iCs/>
          <w:lang w:val="en-IE"/>
        </w:rPr>
        <w:t>Every time you add evidence, ask: Am I weighing it, limiting it, and tying it back to DF?</w:t>
      </w:r>
      <w:r w:rsidRPr="00D86957">
        <w:rPr>
          <w:lang w:val="en-IE"/>
        </w:rPr>
        <w:t xml:space="preserve"> If not, cut or reframe.</w:t>
      </w:r>
    </w:p>
    <w:p w14:paraId="72BEAF6C" w14:textId="77777777" w:rsidR="00D86957" w:rsidRDefault="00D86957"/>
    <w:p w14:paraId="2D050E54" w14:textId="77777777" w:rsidR="004D5BA4" w:rsidRDefault="00000000">
      <w:pPr>
        <w:pStyle w:val="Heading2"/>
      </w:pPr>
      <w:r>
        <w:t>1. Course Context</w:t>
      </w:r>
    </w:p>
    <w:p w14:paraId="36036516" w14:textId="77777777" w:rsidR="004D5BA4" w:rsidRDefault="00000000">
      <w:r>
        <w:t xml:space="preserve">The Joint Command and Staff Course (JCSC) </w:t>
      </w:r>
      <w:proofErr w:type="gramStart"/>
      <w:r>
        <w:t>represents</w:t>
      </w:r>
      <w:proofErr w:type="gramEnd"/>
      <w:r>
        <w:t xml:space="preserve"> the cornerstone of professional military education in the Defence Forces. It prepares officers for operational and strategic </w:t>
      </w:r>
      <w:proofErr w:type="gramStart"/>
      <w:r>
        <w:t>appointments, and</w:t>
      </w:r>
      <w:proofErr w:type="gramEnd"/>
      <w:r>
        <w:t xml:space="preserve"> is accredited at postgraduate (MA) level through Maynooth University. The course </w:t>
      </w:r>
      <w:proofErr w:type="spellStart"/>
      <w:r>
        <w:t>emphasises</w:t>
      </w:r>
      <w:proofErr w:type="spellEnd"/>
      <w:r>
        <w:t xml:space="preserve"> critical thinking, leadership, </w:t>
      </w:r>
      <w:proofErr w:type="spellStart"/>
      <w:r>
        <w:t>defence</w:t>
      </w:r>
      <w:proofErr w:type="spellEnd"/>
      <w:r>
        <w:t xml:space="preserve"> management, strategy, and research.</w:t>
      </w:r>
    </w:p>
    <w:p w14:paraId="3B49DC27" w14:textId="77777777" w:rsidR="004D5BA4" w:rsidRDefault="00000000">
      <w:pPr>
        <w:pStyle w:val="Heading2"/>
      </w:pPr>
      <w:r>
        <w:t>2. Presentation Assessment Requirements</w:t>
      </w:r>
    </w:p>
    <w:p w14:paraId="6DDBD959" w14:textId="6E22CD12" w:rsidR="004D5BA4" w:rsidRDefault="004405FA">
      <w:pPr>
        <w:pStyle w:val="ListBullet"/>
      </w:pPr>
      <w:r>
        <w:t>T</w:t>
      </w:r>
      <w:r w:rsidRPr="004405FA">
        <w:t xml:space="preserve">he DSS presentation provides the course member with an opportunity to conduct personal research in an allocated DSS area based on the material covered during the module, personal experience and professional/academic interest. Course members will be expected to apply concepts, theories and insights gained during lectures and associated readings during their </w:t>
      </w:r>
      <w:proofErr w:type="gramStart"/>
      <w:r w:rsidRPr="004405FA">
        <w:t>presentations.</w:t>
      </w:r>
      <w:r>
        <w:t>•</w:t>
      </w:r>
      <w:proofErr w:type="gramEnd"/>
      <w:r>
        <w:t xml:space="preserve"> Duration: 20–30 minutes per group (depending on size).</w:t>
      </w:r>
    </w:p>
    <w:p w14:paraId="262E1429" w14:textId="77777777" w:rsidR="004D5BA4" w:rsidRDefault="00000000" w:rsidP="004405FA">
      <w:pPr>
        <w:pStyle w:val="ListBullet"/>
        <w:numPr>
          <w:ilvl w:val="0"/>
          <w:numId w:val="0"/>
        </w:numPr>
      </w:pPr>
      <w:r>
        <w:t>• Structure: Succinct summary of analysis, conclusions, and recommendations.</w:t>
      </w:r>
    </w:p>
    <w:p w14:paraId="50C820DE" w14:textId="77777777" w:rsidR="004D5BA4" w:rsidRDefault="00000000" w:rsidP="004405FA">
      <w:pPr>
        <w:pStyle w:val="ListBullet"/>
        <w:numPr>
          <w:ilvl w:val="0"/>
          <w:numId w:val="0"/>
        </w:numPr>
      </w:pPr>
      <w:r>
        <w:t>• Delivery: Equal speaking time among members; flexible use of aids (PowerPoint optional).</w:t>
      </w:r>
    </w:p>
    <w:p w14:paraId="28A1B26D" w14:textId="77777777" w:rsidR="004D5BA4" w:rsidRDefault="00000000" w:rsidP="004405FA">
      <w:pPr>
        <w:pStyle w:val="ListBullet"/>
        <w:numPr>
          <w:ilvl w:val="0"/>
          <w:numId w:val="0"/>
        </w:numPr>
      </w:pPr>
      <w:r>
        <w:t>• Questions: One group-level and one individual-level Q&amp;A session with assessors.</w:t>
      </w:r>
    </w:p>
    <w:p w14:paraId="5E46C7E7" w14:textId="77777777" w:rsidR="004D5BA4" w:rsidRDefault="00000000" w:rsidP="004405FA">
      <w:pPr>
        <w:pStyle w:val="ListBullet"/>
        <w:numPr>
          <w:ilvl w:val="0"/>
          <w:numId w:val="0"/>
        </w:numPr>
      </w:pPr>
      <w:r>
        <w:t>• Referencing: Academic integrity and Maynooth University referencing policy must be observed.</w:t>
      </w:r>
    </w:p>
    <w:p w14:paraId="5C6FCD9F" w14:textId="77777777" w:rsidR="004D5BA4" w:rsidRDefault="00000000">
      <w:pPr>
        <w:pStyle w:val="Heading2"/>
      </w:pPr>
      <w:r>
        <w:t>3. Marking Criteria</w:t>
      </w:r>
    </w:p>
    <w:p w14:paraId="48302B65" w14:textId="37282750" w:rsidR="004D5BA4" w:rsidRDefault="00000000">
      <w:r>
        <w:t xml:space="preserve">The marking rubric allocates </w:t>
      </w:r>
      <w:r w:rsidR="004405FA">
        <w:t xml:space="preserve">200 </w:t>
      </w:r>
      <w:r>
        <w:t>marks, divided as follows:</w:t>
      </w:r>
    </w:p>
    <w:p w14:paraId="6CCECD59" w14:textId="34E67766" w:rsidR="004D5BA4" w:rsidRDefault="004405FA">
      <w:pPr>
        <w:pStyle w:val="Heading2"/>
      </w:pPr>
      <w:r w:rsidRPr="004405FA">
        <w:rPr>
          <w:noProof/>
        </w:rPr>
        <w:lastRenderedPageBreak/>
        <w:drawing>
          <wp:inline distT="0" distB="0" distL="0" distR="0" wp14:anchorId="087F5CB3" wp14:editId="2C9BB86D">
            <wp:extent cx="4845299" cy="2425825"/>
            <wp:effectExtent l="0" t="0" r="0" b="0"/>
            <wp:docPr id="1285708185" name="Picture 1" descr="A close-up of a presen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08185" name="Picture 1" descr="A close-up of a present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 Analytical Instructions</w:t>
      </w:r>
    </w:p>
    <w:p w14:paraId="54A8B143" w14:textId="77777777" w:rsidR="004D5BA4" w:rsidRDefault="00000000">
      <w:r>
        <w:t xml:space="preserve">When </w:t>
      </w:r>
      <w:proofErr w:type="spellStart"/>
      <w:r>
        <w:t>analysing</w:t>
      </w:r>
      <w:proofErr w:type="spellEnd"/>
      <w:r>
        <w:t xml:space="preserve"> presentation content, apply the following criteria:</w:t>
      </w:r>
    </w:p>
    <w:p w14:paraId="66A540C3" w14:textId="77777777" w:rsidR="004D5BA4" w:rsidRDefault="00000000" w:rsidP="004405FA">
      <w:pPr>
        <w:pStyle w:val="ListBullet"/>
        <w:numPr>
          <w:ilvl w:val="0"/>
          <w:numId w:val="0"/>
        </w:numPr>
      </w:pPr>
      <w:r>
        <w:t>• Evaluate depth and relevance of research sources used.</w:t>
      </w:r>
    </w:p>
    <w:p w14:paraId="6CB2687B" w14:textId="77777777" w:rsidR="004D5BA4" w:rsidRDefault="00000000" w:rsidP="004405FA">
      <w:pPr>
        <w:pStyle w:val="ListBullet"/>
        <w:numPr>
          <w:ilvl w:val="0"/>
          <w:numId w:val="0"/>
        </w:numPr>
      </w:pPr>
      <w:r>
        <w:t>• Assess the logical flow of arguments and conclusions.</w:t>
      </w:r>
    </w:p>
    <w:p w14:paraId="135F2941" w14:textId="737B1312" w:rsidR="004D5BA4" w:rsidRDefault="00000000" w:rsidP="004405FA">
      <w:pPr>
        <w:pStyle w:val="ListBullet"/>
        <w:numPr>
          <w:ilvl w:val="0"/>
          <w:numId w:val="0"/>
        </w:numPr>
      </w:pPr>
      <w:r>
        <w:t>• Identify evidence of critical engagement with course concepts</w:t>
      </w:r>
      <w:r w:rsidR="004405FA">
        <w:t xml:space="preserve"> from the DSS module.</w:t>
      </w:r>
    </w:p>
    <w:p w14:paraId="44BE4BC0" w14:textId="77777777" w:rsidR="004D5BA4" w:rsidRDefault="00000000" w:rsidP="004405FA">
      <w:pPr>
        <w:pStyle w:val="ListBullet"/>
        <w:numPr>
          <w:ilvl w:val="0"/>
          <w:numId w:val="0"/>
        </w:numPr>
      </w:pPr>
      <w:r>
        <w:t>• Consider whether content demonstrates both descriptive and critical writing.</w:t>
      </w:r>
    </w:p>
    <w:p w14:paraId="7A8FF8BB" w14:textId="3239E595" w:rsidR="004405FA" w:rsidRDefault="004405FA" w:rsidP="004405FA">
      <w:pPr>
        <w:pStyle w:val="ListBullet"/>
        <w:numPr>
          <w:ilvl w:val="0"/>
          <w:numId w:val="0"/>
        </w:numPr>
      </w:pPr>
      <w:r>
        <w:t xml:space="preserve">Do the student’s sections link well together. </w:t>
      </w:r>
    </w:p>
    <w:p w14:paraId="536CD3E0" w14:textId="77777777" w:rsidR="004D5BA4" w:rsidRDefault="00000000" w:rsidP="004405FA">
      <w:pPr>
        <w:pStyle w:val="ListBullet"/>
        <w:numPr>
          <w:ilvl w:val="0"/>
          <w:numId w:val="0"/>
        </w:numPr>
      </w:pPr>
      <w:r>
        <w:t>• Compare findings with broader Defence Forces doctrine and international perspectives.</w:t>
      </w:r>
    </w:p>
    <w:p w14:paraId="11090B06" w14:textId="77777777" w:rsidR="004D5BA4" w:rsidRDefault="00000000" w:rsidP="004405FA">
      <w:pPr>
        <w:pStyle w:val="ListBullet"/>
        <w:numPr>
          <w:ilvl w:val="0"/>
          <w:numId w:val="0"/>
        </w:numPr>
      </w:pPr>
      <w:r>
        <w:t>• Note gaps in analysis, unsupported claims, or lack of engagement with counterarguments.</w:t>
      </w:r>
    </w:p>
    <w:p w14:paraId="22F8A612" w14:textId="77777777" w:rsidR="004D5BA4" w:rsidRDefault="00000000">
      <w:pPr>
        <w:pStyle w:val="Heading2"/>
      </w:pPr>
      <w:r>
        <w:t>5. Alignment with JCSC Learning Outcomes</w:t>
      </w:r>
    </w:p>
    <w:p w14:paraId="3807BF8E" w14:textId="77777777" w:rsidR="004D5BA4" w:rsidRDefault="00000000">
      <w:r>
        <w:t>Presentations and analyses should align with the JCSC’s postgraduate learning outcomes, including:</w:t>
      </w:r>
    </w:p>
    <w:p w14:paraId="1C4C7B36" w14:textId="77777777" w:rsidR="004D5BA4" w:rsidRDefault="00000000">
      <w:pPr>
        <w:pStyle w:val="ListBullet"/>
      </w:pPr>
      <w:r>
        <w:t>• Demonstrating advanced knowledge of command, leadership, ethics, and management.</w:t>
      </w:r>
    </w:p>
    <w:p w14:paraId="3D1F8B2D" w14:textId="77777777" w:rsidR="004D5BA4" w:rsidRDefault="00000000">
      <w:pPr>
        <w:pStyle w:val="ListBullet"/>
      </w:pPr>
      <w:r>
        <w:t xml:space="preserve">• Critical evaluation of </w:t>
      </w:r>
      <w:proofErr w:type="spellStart"/>
      <w:r>
        <w:t>defence</w:t>
      </w:r>
      <w:proofErr w:type="spellEnd"/>
      <w:r>
        <w:t xml:space="preserve"> strategy, operations, and </w:t>
      </w:r>
      <w:proofErr w:type="spellStart"/>
      <w:r>
        <w:t>organisational</w:t>
      </w:r>
      <w:proofErr w:type="spellEnd"/>
      <w:r>
        <w:t xml:space="preserve"> culture.</w:t>
      </w:r>
    </w:p>
    <w:p w14:paraId="7E2B1EE7" w14:textId="77777777" w:rsidR="004D5BA4" w:rsidRDefault="00000000">
      <w:pPr>
        <w:pStyle w:val="ListBullet"/>
      </w:pPr>
      <w:r>
        <w:t>• Effective communication and decision-making skills.</w:t>
      </w:r>
    </w:p>
    <w:p w14:paraId="574D70CA" w14:textId="77777777" w:rsidR="004D5BA4" w:rsidRDefault="00000000">
      <w:pPr>
        <w:pStyle w:val="ListBullet"/>
      </w:pPr>
      <w:r>
        <w:t xml:space="preserve">• Ability to </w:t>
      </w:r>
      <w:proofErr w:type="spellStart"/>
      <w:r>
        <w:t>contextualise</w:t>
      </w:r>
      <w:proofErr w:type="spellEnd"/>
      <w:r>
        <w:t xml:space="preserve"> Irish Defence Forces perspectives within broader NATO, EU, and UN frameworks.</w:t>
      </w:r>
    </w:p>
    <w:p w14:paraId="50ECCC60" w14:textId="77777777" w:rsidR="004D5BA4" w:rsidRDefault="00000000">
      <w:pPr>
        <w:pStyle w:val="Heading2"/>
      </w:pPr>
      <w:r>
        <w:t>6. Academic and Referencing Standards</w:t>
      </w:r>
    </w:p>
    <w:p w14:paraId="2769544C" w14:textId="22183EE6" w:rsidR="004D5BA4" w:rsidRDefault="00000000">
      <w:r>
        <w:t>All analysis must adhere to Maynooth University Harvard Style. Students must avoid plagiarism, including unacknowledged use of AI-generated material. Sources should be relevant, credible, and properly cited.</w:t>
      </w:r>
    </w:p>
    <w:p w14:paraId="69FC5F15" w14:textId="72294B2F" w:rsidR="004405FA" w:rsidRDefault="004405FA">
      <w:r>
        <w:br w:type="page"/>
      </w:r>
    </w:p>
    <w:p w14:paraId="353643E9" w14:textId="77777777" w:rsidR="00652896" w:rsidRDefault="00652896"/>
    <w:p w14:paraId="1206F2D1" w14:textId="77777777" w:rsidR="004405FA" w:rsidRDefault="004405FA">
      <w:pPr>
        <w:sectPr w:rsidR="004405FA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F9DF5EC" w14:textId="77777777" w:rsidR="004405FA" w:rsidRDefault="00652896">
      <w:pPr>
        <w:sectPr w:rsidR="004405FA" w:rsidSect="004405FA">
          <w:pgSz w:w="15840" w:h="12240" w:orient="landscape"/>
          <w:pgMar w:top="1797" w:right="1440" w:bottom="1797" w:left="1440" w:header="720" w:footer="720" w:gutter="0"/>
          <w:cols w:space="720"/>
          <w:docGrid w:linePitch="360"/>
        </w:sectPr>
      </w:pPr>
      <w:r w:rsidRPr="00652896">
        <w:rPr>
          <w:noProof/>
        </w:rPr>
        <w:lastRenderedPageBreak/>
        <w:drawing>
          <wp:inline distT="0" distB="0" distL="0" distR="0" wp14:anchorId="18EB5108" wp14:editId="19482BA2">
            <wp:extent cx="8305800" cy="4348048"/>
            <wp:effectExtent l="0" t="0" r="0" b="0"/>
            <wp:docPr id="132663440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34409" name="Picture 1" descr="A close-up of a docu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12757" cy="435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BDC1" w14:textId="0ABE289F" w:rsidR="00652896" w:rsidRDefault="00524662">
      <w:r>
        <w:lastRenderedPageBreak/>
        <w:t>You are to consider the presentation in the context of the following questions. The speaker doesn’t have to answer them all, however these represent a robust handle on the topic. It’s not possible for the speaker to answer everything in 10 minutes.</w:t>
      </w:r>
    </w:p>
    <w:p w14:paraId="0C407F99" w14:textId="77777777" w:rsidR="00524662" w:rsidRDefault="00524662"/>
    <w:p w14:paraId="0DC9A33F" w14:textId="77777777" w:rsidR="00524662" w:rsidRDefault="00524662" w:rsidP="00524662">
      <w:r>
        <w:t xml:space="preserve">## 1 | </w:t>
      </w:r>
      <w:proofErr w:type="spellStart"/>
      <w:r>
        <w:t>Organisational</w:t>
      </w:r>
      <w:proofErr w:type="spellEnd"/>
      <w:r>
        <w:t xml:space="preserve"> Culture Change and Doctrinal Inertia</w:t>
      </w:r>
    </w:p>
    <w:p w14:paraId="0B886C60" w14:textId="77777777" w:rsidR="00524662" w:rsidRDefault="00524662" w:rsidP="00524662">
      <w:r>
        <w:t>1. How does the existing culture of hierarchy and caution within the Defence Forces help or hinder integration with civilian agencies during crises?</w:t>
      </w:r>
    </w:p>
    <w:p w14:paraId="0BB2531B" w14:textId="77777777" w:rsidR="00524662" w:rsidRDefault="00524662" w:rsidP="00524662">
      <w:r>
        <w:t xml:space="preserve">2. What mechanisms can translate mission command principles into everyday </w:t>
      </w:r>
      <w:proofErr w:type="spellStart"/>
      <w:r>
        <w:t>organisational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that supports resilience?</w:t>
      </w:r>
    </w:p>
    <w:p w14:paraId="532AD713" w14:textId="77777777" w:rsidR="00524662" w:rsidRDefault="00524662" w:rsidP="00524662">
      <w:r>
        <w:t xml:space="preserve">3. In what ways does technological </w:t>
      </w:r>
      <w:proofErr w:type="spellStart"/>
      <w:r>
        <w:t>modernisation</w:t>
      </w:r>
      <w:proofErr w:type="spellEnd"/>
      <w:r>
        <w:t xml:space="preserve"> risk reinforcing rather than overcoming doctrinal inertia?</w:t>
      </w:r>
    </w:p>
    <w:p w14:paraId="2D89CA72" w14:textId="77777777" w:rsidR="00524662" w:rsidRDefault="00524662" w:rsidP="00524662">
      <w:r>
        <w:t>4. How can small-state context—limited resources and personnel—shape or constrain attempts at cultural reform?</w:t>
      </w:r>
    </w:p>
    <w:p w14:paraId="1A284963" w14:textId="77777777" w:rsidR="00524662" w:rsidRDefault="00524662" w:rsidP="00524662">
      <w:r>
        <w:t>5. What indicators would show that cultural change has produced genuine adaptability rather than superficial compliance?</w:t>
      </w:r>
    </w:p>
    <w:p w14:paraId="169429DE" w14:textId="77777777" w:rsidR="00524662" w:rsidRDefault="00524662" w:rsidP="00524662"/>
    <w:p w14:paraId="4D16E764" w14:textId="77777777" w:rsidR="00524662" w:rsidRDefault="00524662" w:rsidP="00524662">
      <w:r>
        <w:t>## 2 | From Mission Command to Strategic Concordance</w:t>
      </w:r>
    </w:p>
    <w:p w14:paraId="02B7B495" w14:textId="77777777" w:rsidR="00524662" w:rsidRDefault="00524662" w:rsidP="00524662">
      <w:r>
        <w:t>1. How can the philosophy of mission command be scaled up to coordinate political, civil and military actors in resilience planning?</w:t>
      </w:r>
    </w:p>
    <w:p w14:paraId="5C977605" w14:textId="77777777" w:rsidR="00524662" w:rsidRDefault="00524662" w:rsidP="00524662">
      <w:r>
        <w:t>2. What structural or psychological barriers prevent trust between Defence, the Department of Defence and other government departments?</w:t>
      </w:r>
    </w:p>
    <w:p w14:paraId="39977902" w14:textId="77777777" w:rsidR="00524662" w:rsidRDefault="00524662" w:rsidP="00524662">
      <w:r>
        <w:t>3. How does Schiff’s concept of concordance help explain Ireland’s uneven record in interagency cooperation?</w:t>
      </w:r>
    </w:p>
    <w:p w14:paraId="030A0E62" w14:textId="77777777" w:rsidR="00524662" w:rsidRDefault="00524662" w:rsidP="00524662">
      <w:r>
        <w:t xml:space="preserve">4. Which institutional </w:t>
      </w:r>
      <w:proofErr w:type="gramStart"/>
      <w:r>
        <w:t>reforms—</w:t>
      </w:r>
      <w:proofErr w:type="gramEnd"/>
      <w:r>
        <w:t>planning boards, shared doctrine, joint staffing—would best embed concordance across government?</w:t>
      </w:r>
    </w:p>
    <w:p w14:paraId="33D6721C" w14:textId="77777777" w:rsidR="00524662" w:rsidRDefault="00524662" w:rsidP="00524662">
      <w:r>
        <w:t>5. How can Ireland reconcile its tradition of strict civilian control with the need for rapid, delegated crisis decision-making?</w:t>
      </w:r>
    </w:p>
    <w:p w14:paraId="44E471F8" w14:textId="77777777" w:rsidR="00524662" w:rsidRDefault="00524662" w:rsidP="00524662"/>
    <w:p w14:paraId="0AF500C0" w14:textId="77777777" w:rsidR="00524662" w:rsidRDefault="00524662" w:rsidP="00524662">
      <w:r>
        <w:t>## 3 | Civil–Military Trust and the Ethics of Resilience Roles</w:t>
      </w:r>
    </w:p>
    <w:p w14:paraId="742A8E6D" w14:textId="77777777" w:rsidR="00524662" w:rsidRDefault="00524662" w:rsidP="00524662">
      <w:r>
        <w:t xml:space="preserve">1. What ethical principles should guide military involvement in domestic resilience operations such as cyber </w:t>
      </w:r>
      <w:proofErr w:type="spellStart"/>
      <w:r>
        <w:t>defence</w:t>
      </w:r>
      <w:proofErr w:type="spellEnd"/>
      <w:r>
        <w:t xml:space="preserve"> or disaster relief?</w:t>
      </w:r>
    </w:p>
    <w:p w14:paraId="1FA6F325" w14:textId="77777777" w:rsidR="00524662" w:rsidRDefault="00524662" w:rsidP="00524662">
      <w:r>
        <w:lastRenderedPageBreak/>
        <w:t>2. How can Defence maintain legitimacy and public consent when operating within civilian spheres?</w:t>
      </w:r>
    </w:p>
    <w:p w14:paraId="62CA9C8B" w14:textId="77777777" w:rsidR="00524662" w:rsidRDefault="00524662" w:rsidP="00524662">
      <w:r>
        <w:t xml:space="preserve">3. What are the risks of </w:t>
      </w:r>
      <w:proofErr w:type="spellStart"/>
      <w:r>
        <w:t>politicisation</w:t>
      </w:r>
      <w:proofErr w:type="spellEnd"/>
      <w:r>
        <w:t xml:space="preserve"> or dependency if the military becomes a default responder to civil shortfalls?</w:t>
      </w:r>
    </w:p>
    <w:p w14:paraId="11E472FD" w14:textId="77777777" w:rsidR="00524662" w:rsidRDefault="00524662" w:rsidP="00524662">
      <w:r>
        <w:t>4. How might transparency and communication strategies sustain public trust during ethically sensitive missions?</w:t>
      </w:r>
    </w:p>
    <w:p w14:paraId="041C1C5F" w14:textId="77777777" w:rsidR="00524662" w:rsidRDefault="00524662" w:rsidP="00524662">
      <w:r>
        <w:t>5. Where should ethical responsibility sit—within Defence, government, or joint oversight—when resilience operations affect citizens directly?</w:t>
      </w:r>
    </w:p>
    <w:p w14:paraId="45790E6D" w14:textId="77777777" w:rsidR="00524662" w:rsidRDefault="00524662" w:rsidP="00524662"/>
    <w:p w14:paraId="502B41FD" w14:textId="77777777" w:rsidR="00524662" w:rsidRDefault="00524662" w:rsidP="00524662">
      <w:r>
        <w:t>## 4 | Integration as Practice — From Concept to Credibility</w:t>
      </w:r>
    </w:p>
    <w:p w14:paraId="268F714F" w14:textId="77777777" w:rsidR="00524662" w:rsidRDefault="00524662" w:rsidP="00524662">
      <w:r>
        <w:t>1. What concrete steps can embed Defence permanently within the Office of Emergency Planning and national cyber structures?</w:t>
      </w:r>
    </w:p>
    <w:p w14:paraId="67FABAD7" w14:textId="77777777" w:rsidR="00524662" w:rsidRDefault="00524662" w:rsidP="00524662">
      <w:r>
        <w:t>2. How can training, liaison roles and promotion pathways make interagency cooperation habitual rather than personality-driven?</w:t>
      </w:r>
    </w:p>
    <w:p w14:paraId="18DEAD77" w14:textId="77777777" w:rsidR="00524662" w:rsidRDefault="00524662" w:rsidP="00524662">
      <w:r>
        <w:t xml:space="preserve">3. What metrics can test whether integration strengthens rather than substitutes for core </w:t>
      </w:r>
      <w:proofErr w:type="spellStart"/>
      <w:r>
        <w:t>defence</w:t>
      </w:r>
      <w:proofErr w:type="spellEnd"/>
      <w:r>
        <w:t xml:space="preserve"> capability?</w:t>
      </w:r>
    </w:p>
    <w:p w14:paraId="31B15C2A" w14:textId="77777777" w:rsidR="00524662" w:rsidRDefault="00524662" w:rsidP="00524662">
      <w:r>
        <w:t>4. How do international doctrines (NATO 2022, HCSS 2023, USMC 2022) inform practical Irish adaptation?</w:t>
      </w:r>
    </w:p>
    <w:p w14:paraId="7C2977FE" w14:textId="77777777" w:rsidR="00524662" w:rsidRDefault="00524662" w:rsidP="00524662">
      <w:r>
        <w:t xml:space="preserve">5. What </w:t>
      </w:r>
      <w:proofErr w:type="gramStart"/>
      <w:r>
        <w:t>resource</w:t>
      </w:r>
      <w:proofErr w:type="gramEnd"/>
      <w:r>
        <w:t xml:space="preserve"> or legitimacy costs accompany deeper military participation in societal resilience?</w:t>
      </w:r>
    </w:p>
    <w:p w14:paraId="5DED4914" w14:textId="77777777" w:rsidR="00524662" w:rsidRDefault="00524662" w:rsidP="00524662"/>
    <w:p w14:paraId="73195D34" w14:textId="2BC6B41B" w:rsidR="00524662" w:rsidRDefault="00524662" w:rsidP="00524662">
      <w:r>
        <w:t xml:space="preserve">## 5 | Closing Transition to </w:t>
      </w:r>
      <w:proofErr w:type="gramStart"/>
      <w:r w:rsidR="00B161C9">
        <w:t>[]</w:t>
      </w:r>
      <w:r>
        <w:t xml:space="preserve"> —</w:t>
      </w:r>
      <w:proofErr w:type="gramEnd"/>
      <w:r>
        <w:t xml:space="preserve"> Linking Adaptation to Legitimacy</w:t>
      </w:r>
    </w:p>
    <w:p w14:paraId="2F198509" w14:textId="77777777" w:rsidR="00524662" w:rsidRDefault="00524662" w:rsidP="00524662">
      <w:r>
        <w:t xml:space="preserve">1. How does </w:t>
      </w:r>
      <w:proofErr w:type="spellStart"/>
      <w:r>
        <w:t>organisational</w:t>
      </w:r>
      <w:proofErr w:type="spellEnd"/>
      <w:r>
        <w:t xml:space="preserve"> adaptation provide the structural foundation for legitimacy and ethical leadership in resilience?</w:t>
      </w:r>
    </w:p>
    <w:p w14:paraId="0111688A" w14:textId="77777777" w:rsidR="00524662" w:rsidRDefault="00524662" w:rsidP="00524662">
      <w:r>
        <w:t>2. What happens to societal trust if integration proceeds faster than ethical safeguards develop?</w:t>
      </w:r>
    </w:p>
    <w:p w14:paraId="13E42770" w14:textId="77777777" w:rsidR="00524662" w:rsidRDefault="00524662" w:rsidP="00524662">
      <w:r>
        <w:t>3. How can Ireland measure the balance between effective coordination and democratic oversight?</w:t>
      </w:r>
    </w:p>
    <w:p w14:paraId="32C9BB19" w14:textId="77777777" w:rsidR="00524662" w:rsidRDefault="00524662" w:rsidP="00524662">
      <w:r>
        <w:t>4. Which lessons from Sinéad’s Irish and US case studies most clearly demonstrate the value of adaptation for legitimacy?</w:t>
      </w:r>
    </w:p>
    <w:p w14:paraId="3DB20C1B" w14:textId="001B7109" w:rsidR="00524662" w:rsidRDefault="00524662" w:rsidP="00524662">
      <w:r>
        <w:t xml:space="preserve">5. How can Defence preserve its </w:t>
      </w:r>
      <w:proofErr w:type="gramStart"/>
      <w:r>
        <w:t>warfighting</w:t>
      </w:r>
      <w:proofErr w:type="gramEnd"/>
      <w:r>
        <w:t xml:space="preserve"> identity while expanding roles that </w:t>
      </w:r>
      <w:proofErr w:type="spellStart"/>
      <w:r>
        <w:t>emphasise</w:t>
      </w:r>
      <w:proofErr w:type="spellEnd"/>
      <w:r>
        <w:t xml:space="preserve"> collaboration and public service?</w:t>
      </w:r>
    </w:p>
    <w:sectPr w:rsidR="005246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97324"/>
    <w:multiLevelType w:val="multilevel"/>
    <w:tmpl w:val="1786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A36F8"/>
    <w:multiLevelType w:val="multilevel"/>
    <w:tmpl w:val="110C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26682"/>
    <w:multiLevelType w:val="multilevel"/>
    <w:tmpl w:val="BC4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42B73"/>
    <w:multiLevelType w:val="multilevel"/>
    <w:tmpl w:val="3D86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8790C"/>
    <w:multiLevelType w:val="multilevel"/>
    <w:tmpl w:val="1F94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4256C"/>
    <w:multiLevelType w:val="multilevel"/>
    <w:tmpl w:val="B5E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B6426"/>
    <w:multiLevelType w:val="multilevel"/>
    <w:tmpl w:val="C02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99800">
    <w:abstractNumId w:val="8"/>
  </w:num>
  <w:num w:numId="2" w16cid:durableId="1800681618">
    <w:abstractNumId w:val="6"/>
  </w:num>
  <w:num w:numId="3" w16cid:durableId="371924948">
    <w:abstractNumId w:val="5"/>
  </w:num>
  <w:num w:numId="4" w16cid:durableId="168372545">
    <w:abstractNumId w:val="4"/>
  </w:num>
  <w:num w:numId="5" w16cid:durableId="827984664">
    <w:abstractNumId w:val="7"/>
  </w:num>
  <w:num w:numId="6" w16cid:durableId="722875585">
    <w:abstractNumId w:val="3"/>
  </w:num>
  <w:num w:numId="7" w16cid:durableId="1002120820">
    <w:abstractNumId w:val="2"/>
  </w:num>
  <w:num w:numId="8" w16cid:durableId="516967223">
    <w:abstractNumId w:val="1"/>
  </w:num>
  <w:num w:numId="9" w16cid:durableId="1281841993">
    <w:abstractNumId w:val="0"/>
  </w:num>
  <w:num w:numId="10" w16cid:durableId="364062564">
    <w:abstractNumId w:val="11"/>
  </w:num>
  <w:num w:numId="11" w16cid:durableId="615019910">
    <w:abstractNumId w:val="13"/>
  </w:num>
  <w:num w:numId="12" w16cid:durableId="399794921">
    <w:abstractNumId w:val="14"/>
  </w:num>
  <w:num w:numId="13" w16cid:durableId="1736858189">
    <w:abstractNumId w:val="12"/>
  </w:num>
  <w:num w:numId="14" w16cid:durableId="981811817">
    <w:abstractNumId w:val="10"/>
  </w:num>
  <w:num w:numId="15" w16cid:durableId="1781412930">
    <w:abstractNumId w:val="15"/>
  </w:num>
  <w:num w:numId="16" w16cid:durableId="158623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671"/>
    <w:rsid w:val="0015074B"/>
    <w:rsid w:val="001922EA"/>
    <w:rsid w:val="0029639D"/>
    <w:rsid w:val="00326F90"/>
    <w:rsid w:val="004405FA"/>
    <w:rsid w:val="004D5BA4"/>
    <w:rsid w:val="004F2A92"/>
    <w:rsid w:val="00524662"/>
    <w:rsid w:val="00652896"/>
    <w:rsid w:val="00992A79"/>
    <w:rsid w:val="00AA1D8D"/>
    <w:rsid w:val="00B07A98"/>
    <w:rsid w:val="00B161C9"/>
    <w:rsid w:val="00B47730"/>
    <w:rsid w:val="00B47F91"/>
    <w:rsid w:val="00BA08F2"/>
    <w:rsid w:val="00C26D93"/>
    <w:rsid w:val="00CB0664"/>
    <w:rsid w:val="00CD3189"/>
    <w:rsid w:val="00D869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5BA54"/>
  <w14:defaultImageDpi w14:val="300"/>
  <w15:docId w15:val="{6FEEF63B-0A14-49B8-A229-2CBFD2A9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BEATTY</cp:lastModifiedBy>
  <cp:revision>9</cp:revision>
  <dcterms:created xsi:type="dcterms:W3CDTF">2013-12-23T23:15:00Z</dcterms:created>
  <dcterms:modified xsi:type="dcterms:W3CDTF">2026-05-21T15:56:00Z</dcterms:modified>
  <cp:category/>
</cp:coreProperties>
</file>