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pPr>
      <w:r>
        <w:t xml:space="preserve">Two Tactical Clocks: Why Infantry Squads Need Drones and Direct-Fire Anti-Armour</w:t>
      </w:r>
    </w:p>
    <w:p>
      <w:pPr>
        <w:spacing w:after="200"/>
      </w:pPr>
      <w:r>
        <w:t xml:space="preserve">France is decentralising anti-tank weapons to the rifle squad while pushing reconnaissance drones to platoon level.</w:t>
      </w:r>
      <w:r>
        <w:rPr>
          <w:rStyle w:val="FootnoteReference"/>
        </w:rPr>
        <w:footnoteReference w:id="1"/>
      </w:r>
      <w:r>
        <w:t xml:space="preserve"> Read as hedging, the choice looks strange: why keep the weapon that the drone is supposedly making obsolete? Read correctly, it isn’t hedging at all. The two systems fail under different conditions, and an infantry regiment that has actually fought recently, not theorised about fighting, has drawn the obvious conclusion. Both stay. Both go to the lowest echelon that can use them.</w:t>
      </w:r>
    </w:p>
    <w:p>
      <w:pPr>
        <w:pStyle w:val="Heading2"/>
        <w:spacing w:after="150" w:before="200"/>
      </w:pPr>
      <w:r>
        <w:t xml:space="preserve">Two tactical clocks</w:t>
      </w:r>
    </w:p>
    <w:p>
      <w:pPr>
        <w:spacing w:after="200"/>
      </w:pPr>
      <w:r>
        <w:t xml:space="preserve">Direct fire and drone strikes run on different clocks, and the gap between them is the entire argument. A soldier can fire a disposable launcher the instant a target appears; a drone needs preparation, launch and guidance onto target, a gap that narrows if the airframe is already up and orbiting but rarely closes to zero. Direct fire needs line of sight; a drone searches over a ridge, around a building, above a hull’s weakest armour, and can find a target before anyone is committed to it. The exposure runs opposite ways too—a direct-fire crew must show itself to fire, taking backblast, signature and return fire the drone operator is displaced from. Weather, jamming and canopy can ground a drone outright; none of them touch a recoilless weapon. What does touch the recoilless weapon is carriage: launchers and their ammunition are heavy, and a drone’s burden is not lighter, only different—airframe, battery, spectrum, a trained pilot. A direct-fire launch also does something no drone strike does: a rocket passing overhead puts every head in the area down on pure reflex, buying seconds of suppression a precision drone strike on a single vehicle cannot replicate.</w:t>
      </w:r>
      <w:r>
        <w:rPr>
          <w:rStyle w:val="FootnoteReference"/>
        </w:rPr>
        <w:footnoteReference w:id="2"/>
      </w:r>
      <w:r>
        <w:t xml:space="preserve"> Every one of these differences is a reason a unit might not have anti-armour effect on a given morning. They are not the same reason. That is why both weapons are still issued.</w:t>
      </w:r>
    </w:p>
    <w:p>
      <w:pPr>
        <w:pStyle w:val="Heading2"/>
        <w:spacing w:after="150" w:before="200"/>
      </w:pPr>
      <w:r>
        <w:t xml:space="preserve">The substitution error</w:t>
      </w:r>
    </w:p>
    <w:p>
      <w:pPr>
        <w:spacing w:after="200"/>
      </w:pPr>
      <w:r>
        <w:t xml:space="preserve">The instinct is to ask what a new capability replaces. That question only works when the old and new systems fail under the same conditions, and here they plainly don’t. Krepinevich’s argument about invention and reorganisation was written about the tank and airpower between the wars, but it holds at squad level with no adjustment: a new capability does not generate combat power by itself, only the organisational structure built around it does.</w:t>
      </w:r>
      <w:r>
        <w:rPr>
          <w:rStyle w:val="FootnoteReference"/>
        </w:rPr>
        <w:footnoteReference w:id="3"/>
      </w:r>
      <w:r>
        <w:t xml:space="preserve"> France’s decision to keep anti-tank weapons in the rifle squad while moving drones to the platoon is that argument made concrete, not conservatism dressed up as doctrine. The 92nd Infantry Regiment’s own account of an anti-tank platoon holding a Saber Junction counter-attack makes the same point from the opposite direction: multiple pieces sited across a chosen compartment of ground broke an armoured column that a single system, however capable, would not have stopped alone.</w:t>
      </w:r>
      <w:r>
        <w:rPr>
          <w:rStyle w:val="FootnoteReference"/>
        </w:rPr>
        <w:footnoteReference w:id="4"/>
      </w:r>
    </w:p>
    <w:p>
      <w:pPr>
        <w:pStyle w:val="Heading2"/>
        <w:spacing w:after="150" w:before="200"/>
      </w:pPr>
      <w:r>
        <w:t xml:space="preserve">What fourteen buys</w:t>
      </w:r>
    </w:p>
    <w:p>
      <w:pPr>
        <w:spacing w:after="200"/>
      </w:pPr>
      <w:r>
        <w:t xml:space="preserve">A section under persistent observation needs five organic functions at minimum: manoeuvre, command, ISR, counter-UAS and assault pioneering.</w:t>
      </w:r>
      <w:r>
        <w:rPr>
          <w:rStyle w:val="FootnoteReference"/>
        </w:rPr>
        <w:footnoteReference w:id="5"/>
      </w:r>
      <w:r>
        <w:t xml:space="preserve"> A single commander cannot run communications, systems and tactical decisions simultaneously without becoming the bottleneck the section waits on—the case for junior commanders running detachments rather than one corporal running individuals. The British Army’s Phalanx Platoon Concept reached the same conclusion from a different direction: its added systems and battlefield-awareness technology were built explicitly to reduce that cognitive load on junior commanders, not add to it.</w:t>
      </w:r>
      <w:r>
        <w:rPr>
          <w:rStyle w:val="FootnoteReference"/>
        </w:rPr>
        <w:footnoteReference w:id="6"/>
      </w:r>
      <w:r>
        <w:t xml:space="preserve"> Two four-person assault detachments hold manoeuvre strength. A five-person support detachment carries ISR, counter-UAS and assault pioneering together, because none of the three can be dropped without exposing the section to the exact threat it exists to survive. Three detachment commanders plus a section commander brings the total to fourteen.</w:t>
      </w:r>
      <w:r>
        <w:rPr>
          <w:rStyle w:val="FootnoteReference"/>
        </w:rPr>
        <w:footnoteReference w:id="7"/>
      </w:r>
    </w:p>
    <w:p>
      <w:pPr>
        <w:spacing w:after="200"/>
      </w:pPr>
      <w:r>
        <w:t xml:space="preserve">That structure was built to survive drones, not to fight tanks, and it shows: it has no spare capacity for a sixth permanent specialism. Anti-armour cannot simply be issued as one more piece of kit spread evenly across the same fourteen soldiers—France doesn’t do that either. Its rifle squads keep their disposable AT4-type rockets and gain a single NLAW-class pair each; the expensive guided missile, AKERON MP, at roughly €200,000 per firing post and round, stays at two per company support platoon and concentrates further still at battalion.</w:t>
      </w:r>
      <w:r>
        <w:rPr>
          <w:rStyle w:val="FootnoteReference"/>
        </w:rPr>
        <w:footnoteReference w:id="8"/>
      </w:r>
    </w:p>
    <w:p>
      <w:pPr>
        <w:pStyle w:val="Heading2"/>
        <w:spacing w:after="150" w:before="200"/>
      </w:pPr>
      <w:r>
        <w:t xml:space="preserve">What load actually survives contact</w:t>
      </w:r>
    </w:p>
    <w:p>
      <w:pPr>
        <w:spacing w:after="200"/>
      </w:pPr>
      <w:r>
        <w:t xml:space="preserve">Decentralising anti-armour on an establishment table doesn’t guarantee it exists at the point of contact. A Russo-Ukrainian War veteran interviewed for this research described carrying twelve magazines, eight grenades, satchel charges and an anti-tank weapon into an assault across open ground, then dropping the bag at the first cover in a trench and sending someone back for it during reorganisation. Paper allocation is not battlefield availability.</w:t>
      </w:r>
      <w:r>
        <w:rPr>
          <w:rStyle w:val="FootnoteReference"/>
        </w:rPr>
        <w:footnoteReference w:id="9"/>
      </w:r>
      <w:r>
        <w:t xml:space="preserve"> A junior NCO interviewed separately described the actual weight difference between systems: a four-man team would take two disposable launchers rather than one reusable one, because a soldier can throw one over his shoulder and not even know it is there. The burden that matters is per weapon, not per category.</w:t>
      </w:r>
      <w:r>
        <w:rPr>
          <w:rStyle w:val="FootnoteReference"/>
        </w:rPr>
        <w:footnoteReference w:id="10"/>
      </w:r>
    </w:p>
    <w:p>
      <w:pPr>
        <w:spacing w:after="200"/>
      </w:pPr>
      <w:r>
        <w:t xml:space="preserve">That evidence points to a differentiated allocation, not a flat one. Disposable launchers move with assault sections by mission, drawn rather than permanently carried—exactly the “weapons store” logic France has built into its infantry fighting vehicles.</w:t>
      </w:r>
      <w:r>
        <w:rPr>
          <w:rStyle w:val="FootnoteReference"/>
        </w:rPr>
        <w:footnoteReference w:id="11"/>
      </w:r>
      <w:r>
        <w:t xml:space="preserve"> A reusable, multiple-shot system—Fantassins itself recommends the Carl Gustav, at roughly €500–€3,000 per round against a seven-kilogram launcher—sits with a dedicated platoon or company team rather than in every rifle squad’s pack.</w:t>
      </w:r>
      <w:r>
        <w:rPr>
          <w:rStyle w:val="FootnoteReference"/>
        </w:rPr>
        <w:footnoteReference w:id="12"/>
      </w:r>
      <w:r>
        <w:t xml:space="preserve"> Drones get their own operators and command architecture, not an extra task loaded onto a rifleman who already has one. The expensive guided missile—Javelin, or AKERON MP’s French equivalent—stays concentrated above platoon: cost, training burden and target value all punish spreading it thin, the same logic that pools light tactical armoured vehicles at battalion.</w:t>
      </w:r>
      <w:r>
        <w:rPr>
          <w:rStyle w:val="FootnoteReference"/>
        </w:rPr>
        <w:footnoteReference w:id="13"/>
      </w:r>
    </w:p>
    <w:p>
      <w:pPr>
        <w:pStyle w:val="Heading2"/>
        <w:spacing w:after="150" w:before="200"/>
      </w:pPr>
      <w:r>
        <w:t xml:space="preserve">Cost justification</w:t>
      </w:r>
    </w:p>
    <w:p>
      <w:pPr>
        <w:spacing w:after="200"/>
      </w:pPr>
      <w:r>
        <w:t xml:space="preserve">The underlying economics hold regardless of which anti-armour system a unit chooses. Defeating an armoured company costs roughly €1.13 million in Javelin missiles against under €85,000 in low-cost FPV one-way-attack drones—more than an order of magnitude less, on assumptions generous to Javelin.</w:t>
      </w:r>
      <w:r>
        <w:rPr>
          <w:rStyle w:val="FootnoteReference"/>
        </w:rPr>
        <w:footnoteReference w:id="14"/>
      </w:r>
      <w:r>
        <w:t xml:space="preserve"> France’s own reasoning for opening its anti-tank inventory to the NLAW—at €60,000–€100,000 against AKERON MP’s €200,000 per round—runs on the identical logic at a different price point: mass and distribution beat concentrated cost once the threat is dispersed and persistent.</w:t>
      </w:r>
      <w:r>
        <w:rPr>
          <w:rStyle w:val="FootnoteReference"/>
        </w:rPr>
        <w:footnoteReference w:id="15"/>
      </w:r>
    </w:p>
    <w:p>
      <w:pPr>
        <w:pStyle w:val="Heading2"/>
        <w:spacing w:after="150" w:before="200"/>
      </w:pPr>
      <w:r>
        <w:t xml:space="preserve">Call to test, not adopt</w:t>
      </w:r>
    </w:p>
    <w:p>
      <w:pPr>
        <w:spacing w:after="200"/>
      </w:pPr>
      <w:r>
        <w:t xml:space="preserve">None of this should be adopted on the page. It should be tested: an inherited squad on conventional anti-armour only, an inherited squad on drones only, and a platoon on the allocation above, run under degraded weather, active jamming, wooded and urban terrain, fleeting rather than located targets, and real ammunition, battery and casualty assumptions. The drone strikes what the launcher cannot see. The launcher fires when the drone cannot fly. A section built to run both clocks doesn’t have to guess, mid-contact, which one the weather or the wire has already taken away.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Guillaume Joret, "What Specialization of the Infantry in Armored Combat Operations?," Fantassins, no. 52 (Spring–Summer 2024): 125–30; Jacques Bouffard, "The Infantry Regiment Model 2030," Fantassins, no. 52 (Spring–Summer 2024): 15–20.</w:t>
      </w:r>
    </w:p>
  </w:footnote>
  <w:footnote w:id="2">
    <w:p>
      <w:r>
        <w:rPr>
          <w:rStyle w:val="FootnoteReference"/>
        </w:rPr>
        <w:footnoteRef/>
      </w:r>
      <w:r>
        <w:t xml:space="preserve">Interview Participant 04, interview by Adam Beatty, February 6, 2026, transcript, conducted under the Chatham House Rule.</w:t>
      </w:r>
    </w:p>
  </w:footnote>
  <w:footnote w:id="3">
    <w:p>
      <w:r>
        <w:rPr>
          <w:rStyle w:val="FootnoteReference"/>
        </w:rPr>
        <w:footnoteRef/>
      </w:r>
      <w:r>
        <w:t xml:space="preserve">Andrew F. Krepinevich, "Cavalry to Computer: The Pattern of Military Revolutions," The National Interest 37 (1994): 30–42.</w:t>
      </w:r>
    </w:p>
  </w:footnote>
  <w:footnote w:id="4">
    <w:p>
      <w:r>
        <w:rPr>
          <w:rStyle w:val="FootnoteReference"/>
        </w:rPr>
        <w:footnoteRef/>
      </w:r>
      <w:r>
        <w:t xml:space="preserve">Bouffard, "The Infantry Regiment Model 2030," 18–19.</w:t>
      </w:r>
    </w:p>
  </w:footnote>
  <w:footnote w:id="5">
    <w:p>
      <w:r>
        <w:rPr>
          <w:rStyle w:val="FootnoteReference"/>
        </w:rPr>
        <w:footnoteRef/>
      </w:r>
      <w:r>
        <w:t xml:space="preserve">Adam Beatty, "Movement as Exposure: Uncrewed Systems and the Transformation of Light Infantry Tactics" (MA thesis, Maynooth University, 2026), 39–40.</w:t>
      </w:r>
    </w:p>
  </w:footnote>
  <w:footnote w:id="6">
    <w:p>
      <w:r>
        <w:rPr>
          <w:rStyle w:val="FootnoteReference"/>
        </w:rPr>
        <w:footnoteRef/>
      </w:r>
      <w:r>
        <w:t xml:space="preserve">Stuart Lyle, interview by John Spencer, "Creating a Unit Optimized for Urban Warfare," Urban Warfare Project (podcast), August 18, 2023.</w:t>
      </w:r>
    </w:p>
  </w:footnote>
  <w:footnote w:id="7">
    <w:p>
      <w:r>
        <w:rPr>
          <w:rStyle w:val="FootnoteReference"/>
        </w:rPr>
        <w:footnoteRef/>
      </w:r>
      <w:r>
        <w:t xml:space="preserve">Beatty, "Movement as Exposure," 40, fig. 2.2.</w:t>
      </w:r>
    </w:p>
  </w:footnote>
  <w:footnote w:id="8">
    <w:p>
      <w:r>
        <w:rPr>
          <w:rStyle w:val="FootnoteReference"/>
        </w:rPr>
        <w:footnoteRef/>
      </w:r>
      <w:r>
        <w:t xml:space="preserve">Dimitri Menthonnex, "Anti-Tank Capabilities of Infantry Regiments (Battalions)," Fantassins, no. 52 (Spring–Summer 2024): 95–97.</w:t>
      </w:r>
    </w:p>
  </w:footnote>
  <w:footnote w:id="9">
    <w:p>
      <w:r>
        <w:rPr>
          <w:rStyle w:val="FootnoteReference"/>
        </w:rPr>
        <w:footnoteRef/>
      </w:r>
      <w:r>
        <w:t xml:space="preserve">Interview Participant 01, interview by Adam Beatty, January 23, 2026, transcript, conducted under the Chatham House Rule.</w:t>
      </w:r>
    </w:p>
  </w:footnote>
  <w:footnote w:id="10">
    <w:p>
      <w:r>
        <w:rPr>
          <w:rStyle w:val="FootnoteReference"/>
        </w:rPr>
        <w:footnoteRef/>
      </w:r>
      <w:r>
        <w:t xml:space="preserve">Interview Participant 04, interview by Adam Beatty, February 6, 2026, transcript, conducted under the Chatham House Rule.</w:t>
      </w:r>
    </w:p>
  </w:footnote>
  <w:footnote w:id="11">
    <w:p>
      <w:r>
        <w:rPr>
          <w:rStyle w:val="FootnoteReference"/>
        </w:rPr>
        <w:footnoteRef/>
      </w:r>
      <w:r>
        <w:t xml:space="preserve">Bouffard, "The Infantry Regiment Model 2030," 18.</w:t>
      </w:r>
    </w:p>
  </w:footnote>
  <w:footnote w:id="12">
    <w:p>
      <w:r>
        <w:rPr>
          <w:rStyle w:val="FootnoteReference"/>
        </w:rPr>
        <w:footnoteRef/>
      </w:r>
      <w:r>
        <w:t xml:space="preserve">Menthonnex, "Anti-Tank Capabilities," 98.</w:t>
      </w:r>
    </w:p>
  </w:footnote>
  <w:footnote w:id="13">
    <w:p>
      <w:r>
        <w:rPr>
          <w:rStyle w:val="FootnoteReference"/>
        </w:rPr>
        <w:footnoteRef/>
      </w:r>
      <w:r>
        <w:t xml:space="preserve">Adam Beatty and Eoin O’Brien, "Opportunity Is Not Capability," Defence Forces Review (2026).</w:t>
      </w:r>
    </w:p>
  </w:footnote>
  <w:footnote w:id="14">
    <w:p>
      <w:r>
        <w:rPr>
          <w:rStyle w:val="FootnoteReference"/>
        </w:rPr>
        <w:footnoteRef/>
      </w:r>
      <w:r>
        <w:t xml:space="preserve">Beatty, "Movement as Exposure," Table 3.3, 50; see also Justin Bronk and Jack Watling, Mass Precision Strike: Designing UAV Complexes for Land Forces (London: Royal United Services Institute for Defence and Security Studies, April 11, 2024).</w:t>
      </w:r>
    </w:p>
  </w:footnote>
  <w:footnote w:id="15">
    <w:p>
      <w:r>
        <w:rPr>
          <w:rStyle w:val="FootnoteReference"/>
        </w:rPr>
        <w:footnoteRef/>
      </w:r>
      <w:r>
        <w:t xml:space="preserve">Menthonnex, "Anti-Tank Capabilities," 97–98.</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2026-07-24T16:07:51.831Z</dcterms:created>
  <dcterms:modified xsi:type="dcterms:W3CDTF">2026-07-24T16:07:51.846Z</dcterms:modified>
</cp:coreProperties>
</file>

<file path=docProps/custom.xml><?xml version="1.0" encoding="utf-8"?>
<Properties xmlns="http://schemas.openxmlformats.org/officeDocument/2006/custom-properties" xmlns:vt="http://schemas.openxmlformats.org/officeDocument/2006/docPropsVTypes"/>
</file>