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68375779" w14:textId="77777777" w:rsidR="00BA458A" w:rsidRDefault="00BA458A" w:rsidP="00BA458A">
      <w:pPr>
        <w:pStyle w:val="Heading2"/>
      </w:pPr>
      <w:r>
        <w:lastRenderedPageBreak/>
        <w:t>ADAM 1947 WORDS</w:t>
      </w:r>
    </w:p>
    <w:p w14:paraId="2E23BB70" w14:textId="77777777" w:rsidR="00BA458A" w:rsidRDefault="00BA458A" w:rsidP="00BA458A">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foot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2BDA828B" w14:textId="77777777" w:rsidR="00BA458A"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foot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foot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78CED394" w14:textId="77777777" w:rsidR="00BA458A" w:rsidRDefault="00BA458A" w:rsidP="00BA458A">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Pr>
          <w:rStyle w:val="FootnoteReference"/>
          <w:rFonts w:asciiTheme="minorHAnsi" w:eastAsiaTheme="minorHAnsi" w:hAnsiTheme="minorHAnsi" w:cstheme="minorBidi"/>
          <w:color w:val="auto"/>
          <w:sz w:val="24"/>
          <w:szCs w:val="24"/>
        </w:rPr>
        <w:footnoteReference w:id="7"/>
      </w:r>
      <w:r w:rsidRPr="007F74B6">
        <w:rPr>
          <w:rFonts w:asciiTheme="minorHAnsi" w:eastAsiaTheme="minorHAnsi" w:hAnsiTheme="minorHAnsi" w:cstheme="minorBidi"/>
          <w:color w:val="auto"/>
          <w:sz w:val="24"/>
          <w:szCs w:val="24"/>
        </w:rPr>
        <w:t xml:space="preserve"> and under-resourced, but force design cannot assume Europe’s post-1945 “long peace”</w:t>
      </w:r>
      <w:r>
        <w:rPr>
          <w:rStyle w:val="EndnoteReference"/>
          <w:rFonts w:asciiTheme="minorHAnsi" w:eastAsiaTheme="minorHAnsi" w:hAnsiTheme="minorHAnsi" w:cstheme="minorBidi"/>
          <w:color w:val="auto"/>
          <w:sz w:val="24"/>
          <w:szCs w:val="24"/>
        </w:rPr>
        <w:footnoteReference w:id="8"/>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footnoteReference w:id="9"/>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footnoteReference w:id="10"/>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 xml:space="preserve">show how quickly strategically marginal scenarios can become </w:t>
      </w:r>
      <w:r>
        <w:rPr>
          <w:rFonts w:asciiTheme="minorHAnsi" w:eastAsiaTheme="minorHAnsi" w:hAnsiTheme="minorHAnsi" w:cstheme="minorBidi"/>
          <w:color w:val="auto"/>
          <w:sz w:val="24"/>
          <w:szCs w:val="24"/>
        </w:rPr>
        <w:t>real.</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3197C0BD" w14:textId="77777777" w:rsidR="00BA458A" w:rsidRDefault="00BA458A" w:rsidP="00BA458A">
      <w:r>
        <w:t>A force design problem exists because</w:t>
      </w:r>
      <w:r w:rsidRPr="00174027">
        <w:t xml:space="preserve"> structure </w:t>
      </w:r>
      <w:r>
        <w:t xml:space="preserve">is being </w:t>
      </w:r>
      <w:r w:rsidRPr="00174027">
        <w:t>overtaken by the threat.</w:t>
      </w:r>
      <w:r>
        <w:t xml:space="preserve"> </w:t>
      </w:r>
      <w:r w:rsidRPr="00803FC3">
        <w:t>Capability is sometimes reduced to equipment</w:t>
      </w:r>
      <w:r>
        <w:t>. It</w:t>
      </w:r>
      <w:r w:rsidRPr="00803FC3">
        <w:t xml:space="preserve"> is better understood as the synthesis </w:t>
      </w:r>
      <w:r w:rsidRPr="00803FC3">
        <w:lastRenderedPageBreak/>
        <w:t>described by DOTMLPF-I</w:t>
      </w:r>
      <w:r>
        <w:t>.</w:t>
      </w:r>
      <w:r>
        <w:rPr>
          <w:rStyle w:val="EndnoteReference"/>
        </w:rPr>
        <w:footnoteReference w:id="11"/>
      </w:r>
      <w:r w:rsidRPr="00174027">
        <w:t xml:space="preserve"> </w:t>
      </w:r>
      <w:r>
        <w:t>O</w:t>
      </w:r>
      <w:r w:rsidRPr="00803FC3">
        <w:t>n that basis</w:t>
      </w:r>
      <w:r>
        <w:t>,</w:t>
      </w:r>
      <w:r w:rsidRPr="00803FC3">
        <w:t xml:space="preserve"> the section fails against nearly every line. Its doctrine remains that of a foot-mobil</w:t>
      </w:r>
      <w:r w:rsidRPr="000504B3">
        <w:t xml:space="preserve">e light infantry section, never reconciled with </w:t>
      </w:r>
      <w:r>
        <w:t>the APC</w:t>
      </w:r>
      <w:r w:rsidRPr="00803FC3">
        <w:t>.</w:t>
      </w:r>
      <w:r w:rsidRPr="00277853">
        <w:rPr>
          <w:rStyle w:val="EndnoteReference"/>
        </w:rPr>
        <w:t xml:space="preserve"> </w:t>
      </w:r>
      <w:r>
        <w:rPr>
          <w:rStyle w:val="EndnoteReference"/>
        </w:rPr>
        <w:footnoteReference w:id="12"/>
      </w:r>
      <w:r w:rsidRPr="00803FC3">
        <w:t xml:space="preserve"> Its organisation may now be rebuilt around vehicle capacity,</w:t>
      </w:r>
      <w:r>
        <w:rPr>
          <w:rStyle w:val="EndnoteReference"/>
        </w:rPr>
        <w:footnoteReference w:id="13"/>
      </w:r>
      <w:r w:rsidRPr="008762BE">
        <w:rPr>
          <w:rStyle w:val="FootnoteReference"/>
        </w:rPr>
        <w:t xml:space="preserve"> </w:t>
      </w:r>
      <w:r w:rsidRPr="00803FC3">
        <w:t xml:space="preserve">on </w:t>
      </w:r>
      <w:r>
        <w:t>the constraint</w:t>
      </w:r>
      <w:r w:rsidRPr="00803FC3">
        <w:t xml:space="preserve"> that one section must fit one carrier</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footnoteReference w:id="14"/>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footnoteReference w:id="15"/>
      </w:r>
      <w:r w:rsidRPr="007B7BC3">
        <w:t xml:space="preserve">  — the cognitive burden of sensor-rich combat</w:t>
      </w:r>
      <w:r>
        <w:t xml:space="preserve"> </w:t>
      </w:r>
      <w:r w:rsidRPr="007B7BC3">
        <w: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Its materiel</w:t>
      </w:r>
      <w:r>
        <w:t xml:space="preserve"> largely</w:t>
      </w:r>
      <w:r w:rsidRPr="003C060B">
        <w:t xml:space="preserve">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drones changes none of that. </w:t>
      </w:r>
    </w:p>
    <w:p w14:paraId="25C9E2C3" w14:textId="77777777" w:rsidR="00BA458A" w:rsidRPr="00B47134" w:rsidRDefault="00BA458A" w:rsidP="00BA458A">
      <w:r w:rsidRPr="00B47134">
        <w:lastRenderedPageBreak/>
        <w:t>These are not uniquely Irish problems</w:t>
      </w:r>
      <w:r>
        <w:t xml:space="preserve"> and </w:t>
      </w:r>
      <w:r w:rsidRPr="00B47134">
        <w:t xml:space="preserve">are being reconsidered elsewhere. French </w:t>
      </w:r>
      <w:r>
        <w:t>r</w:t>
      </w:r>
      <w:r w:rsidRPr="00B47134">
        <w:t xml:space="preserve">eform shows one mechanised </w:t>
      </w:r>
      <w:r>
        <w:t>solution</w:t>
      </w:r>
      <w:r w:rsidRPr="00B47134">
        <w:t xml:space="preserve">: the vehicle acts as a mission-configurable “weapons store”, </w:t>
      </w:r>
      <w:r>
        <w:t xml:space="preserve">UAS is held at the platoon, </w:t>
      </w:r>
      <w:r w:rsidRPr="00B47134">
        <w:t xml:space="preserve">anti-armour is </w:t>
      </w:r>
      <w:r>
        <w:t>decentralised while</w:t>
      </w:r>
      <w:r w:rsidRPr="00B47134">
        <w:t xml:space="preserve"> heavier UAS, EW and robotic remain </w:t>
      </w:r>
      <w:r>
        <w:t>separate</w:t>
      </w:r>
      <w:r w:rsidRPr="00B47134">
        <w:t>.</w:t>
      </w:r>
      <w:r>
        <w:rPr>
          <w:rStyle w:val="EndnoteReference"/>
        </w:rPr>
        <w:footnoteReference w:id="16"/>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footnoteReference w:id="17"/>
      </w:r>
      <w:r w:rsidRPr="00B47134">
        <w:t xml:space="preserve"> points in the same direction. Yet adaptation remains uneven. Exercises such as </w:t>
      </w:r>
      <w:r w:rsidRPr="00F92358">
        <w:rPr>
          <w:i/>
          <w:iCs/>
        </w:rPr>
        <w:t>Gévaudan 26</w:t>
      </w:r>
      <w:r w:rsidRPr="003C060B">
        <w:t xml:space="preserve"> </w:t>
      </w:r>
      <w:r>
        <w:t xml:space="preserve">and </w:t>
      </w:r>
      <w:r w:rsidRPr="00F92358">
        <w:rPr>
          <w:i/>
          <w:iCs/>
        </w:rPr>
        <w:t>Hedgehog</w:t>
      </w:r>
      <w:r>
        <w:rPr>
          <w:rStyle w:val="EndnoteReference"/>
          <w:i/>
          <w:iCs/>
        </w:rPr>
        <w:footnoteReference w:id="18"/>
      </w:r>
      <w:r>
        <w:t xml:space="preserve"> </w:t>
      </w:r>
      <w:r w:rsidRPr="00B47134">
        <w:t xml:space="preserve">suggest that integrating drones is easier than adapting </w:t>
      </w:r>
      <w:r>
        <w:t>to the implications of</w:t>
      </w:r>
      <w:r w:rsidRPr="00B47134">
        <w:t xml:space="preserve"> persistent observation. The challenge is </w:t>
      </w:r>
      <w:r>
        <w:t>to redesign</w:t>
      </w:r>
      <w:r w:rsidRPr="00B47134">
        <w:t xml:space="preserve"> the infantry section around the</w:t>
      </w:r>
      <w:r>
        <w:t xml:space="preserve"> modern battlespace</w:t>
      </w:r>
      <w:r w:rsidRPr="00B47134">
        <w:t>.</w:t>
      </w:r>
      <w:r>
        <w:rPr>
          <w:rStyle w:val="EndnoteReference"/>
        </w:rPr>
        <w:footnoteReference w:id="19"/>
      </w:r>
      <w:r>
        <w:t xml:space="preserve"> </w:t>
      </w:r>
    </w:p>
    <w:p w14:paraId="4D0D0CFC" w14:textId="77777777" w:rsidR="00BA458A" w:rsidRPr="00262708"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footnoteReference w:id="20"/>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footnoteReference w:id="21"/>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77777777" w:rsidR="00BA458A" w:rsidRDefault="00BA458A" w:rsidP="00BA458A">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footnoteReference w:id="22"/>
      </w:r>
      <w:r>
        <w:t xml:space="preserve"> D</w:t>
      </w:r>
      <w:r w:rsidRPr="00656D8B">
        <w:t xml:space="preserve">efeating an armoured company costs roughly €1.13 million in Javelins, compared with </w:t>
      </w:r>
      <w:r w:rsidRPr="00656D8B">
        <w:lastRenderedPageBreak/>
        <w:t xml:space="preserve">under €85,000 in FPV-OWADs </w:t>
      </w:r>
      <w:r>
        <w:t xml:space="preserve">— </w:t>
      </w:r>
      <w:r w:rsidRPr="00656D8B">
        <w:t xml:space="preserve">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change the defensive arithmetic and can no longer be ignored</w:t>
      </w:r>
      <w:r>
        <w:t xml:space="preserve">. </w:t>
      </w:r>
    </w:p>
    <w:p w14:paraId="14A21FBE" w14:textId="77777777" w:rsidR="00BA458A" w:rsidRDefault="00BA458A" w:rsidP="00BA458A">
      <w:pPr>
        <w:keepNext/>
        <w:jc w:val="center"/>
      </w:pPr>
      <w:r w:rsidRPr="006B25D9">
        <w:rPr>
          <w:noProof/>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E05D57" w:rsidRDefault="00BA458A" w:rsidP="00BA458A">
      <w:pPr>
        <w:pStyle w:val="Caption"/>
        <w:jc w:val="center"/>
      </w:pPr>
      <w:bookmarkStart w:id="0" w:name="_Ref233053446"/>
      <w:r>
        <w:t xml:space="preserve">Table </w:t>
      </w:r>
      <w:fldSimple w:instr=" SEQ Table \* ARABIC ">
        <w:r>
          <w:rPr>
            <w:noProof/>
          </w:rPr>
          <w:t>1</w:t>
        </w:r>
      </w:fldSimple>
      <w:bookmarkEnd w:id="0"/>
      <w:r>
        <w:t xml:space="preserve">. </w:t>
      </w:r>
      <w:r w:rsidRPr="002C4F0D">
        <w:t>Comparative Anti-Armour Cost-Imposition Model</w:t>
      </w:r>
      <w:r w:rsidRPr="00F1368C">
        <w:t>: ATGMs versus FPV-OWADs and Loitering-OWADs</w:t>
      </w:r>
    </w:p>
    <w:p w14:paraId="1E0BEDAB" w14:textId="77777777" w:rsidR="00BA458A" w:rsidRPr="00701614" w:rsidRDefault="00BA458A" w:rsidP="00BA458A">
      <w:r w:rsidRPr="00542C4A">
        <w:t>Ireland has long approached territorial defence through efficiency and restraint, not sustained increases in defence spending.</w:t>
      </w:r>
      <w:r>
        <w:rPr>
          <w:rStyle w:val="EndnoteReference"/>
        </w:rPr>
        <w:footnoteReference w:id="23"/>
      </w:r>
      <w:r>
        <w:t xml:space="preserve"> </w:t>
      </w:r>
      <w:r w:rsidRPr="00701614">
        <w:t xml:space="preserve">UxS change what that premise can buy: if </w:t>
      </w:r>
      <w:r w:rsidRPr="00701614">
        <w:lastRenderedPageBreak/>
        <w:t>cheap precision systems can make lodgement, movement and sustainment costly, the constraint shifts from money to organisation.</w:t>
      </w:r>
      <w:r>
        <w:t xml:space="preserve"> </w:t>
      </w:r>
      <w:r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4AA98CAA" w14:textId="77777777" w:rsidR="00BA458A" w:rsidRPr="00701614" w:rsidRDefault="00BA458A" w:rsidP="00BA458A">
      <w:r w:rsidRPr="00701614">
        <w:t xml:space="preserve">The pace of change is uncertain and programmes are mid-stream, but that is not a reason to stand still. Vehicle capacity matters: it shapes lift, sustainment, command and mobility. But the threat should come first for light infantry. Light infantry </w:t>
      </w:r>
      <w:r>
        <w:t>may</w:t>
      </w:r>
      <w:r w:rsidRPr="00701614">
        <w:t xml:space="preserve"> not need armour. It can move on foot or in commercial 4x4s already in service. A survivable light section is not waiting on a vehicle programme. It is available now, held back by a constraint borrowed from another kind of infantry.</w:t>
      </w:r>
    </w:p>
    <w:p w14:paraId="1A23F59E" w14:textId="77777777" w:rsidR="00BA458A" w:rsidRDefault="00BA458A">
      <w:pPr>
        <w:rPr>
          <w:rFonts w:asciiTheme="majorHAnsi" w:eastAsiaTheme="majorEastAsia" w:hAnsiTheme="majorHAnsi" w:cstheme="majorBidi"/>
          <w:color w:val="0F4761" w:themeColor="accent1" w:themeShade="BF"/>
          <w:sz w:val="32"/>
          <w:szCs w:val="32"/>
        </w:rPr>
      </w:pPr>
      <w:r>
        <w:br w:type="page"/>
      </w:r>
    </w:p>
    <w:p w14:paraId="4DF60F31" w14:textId="0201CD0C" w:rsidR="00CB2FEB" w:rsidRDefault="00CB2FEB" w:rsidP="005E2FA4">
      <w:pPr>
        <w:pStyle w:val="Heading2"/>
      </w:pPr>
      <w:r>
        <w:lastRenderedPageBreak/>
        <w:t>Main Body – OB</w:t>
      </w:r>
    </w:p>
    <w:p w14:paraId="3A874BC1"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To become credible Irish defence policy, the argument for UxS integration must evolve from an attractive battlefield concept into an institutionalised capability embedded within national defence planning, supported by doctrine, exercised in practice, sustained by industry, and legitimised through political leadership.</w:t>
      </w:r>
    </w:p>
    <w:p w14:paraId="737203FA"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780F8374" w14:textId="77777777" w:rsidR="005B2D72"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1" w:name="_Hlk235287821"/>
      <w:r w:rsidRPr="00682543">
        <w:rPr>
          <w:rFonts w:ascii="Times New Roman" w:hAnsi="Times New Roman" w:cs="Times New Roman"/>
          <w:b/>
          <w:bCs/>
          <w:kern w:val="0"/>
          <w:lang w:eastAsia="en-GB"/>
          <w14:ligatures w14:val="none"/>
        </w:rPr>
        <w:t>The Recognition of the need for change.</w:t>
      </w:r>
    </w:p>
    <w:p w14:paraId="0633003D" w14:textId="77777777" w:rsidR="005B2D72" w:rsidRPr="000B2EA9"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The first requirement is recognition at both the senior military and political levels that UxS represent a disruptive shift in military affairs</w:t>
      </w:r>
      <w:r w:rsidRPr="00E54252">
        <w:rPr>
          <w:rFonts w:ascii="Times New Roman" w:hAnsi="Times New Roman" w:cs="Times New Roman"/>
          <w:kern w:val="0"/>
          <w:vertAlign w:val="superscript"/>
          <w:lang w:eastAsia="en-GB"/>
          <w14:ligatures w14:val="none"/>
        </w:rPr>
        <w:footnoteReference w:id="24"/>
      </w:r>
      <w:r w:rsidRPr="00E54252">
        <w:rPr>
          <w:rFonts w:ascii="Times New Roman" w:hAnsi="Times New Roman" w:cs="Times New Roman"/>
          <w:kern w:val="0"/>
          <w:lang w:eastAsia="en-GB"/>
          <w14:ligatures w14:val="none"/>
        </w:rPr>
        <w:t xml:space="preserve"> rather than simply another technological enhancement.</w:t>
      </w:r>
      <w:r>
        <w:rPr>
          <w:rFonts w:ascii="Times New Roman" w:hAnsi="Times New Roman" w:cs="Times New Roman"/>
          <w:kern w:val="0"/>
          <w:lang w:eastAsia="en-GB"/>
          <w14:ligatures w14:val="none"/>
        </w:rPr>
        <w:t xml:space="preserve"> </w:t>
      </w:r>
      <w:r w:rsidRPr="000B2EA9">
        <w:rPr>
          <w:rFonts w:ascii="Times New Roman" w:hAnsi="Times New Roman" w:cs="Times New Roman"/>
          <w:kern w:val="0"/>
          <w:lang w:eastAsia="en-GB"/>
          <w14:ligatures w14:val="none"/>
        </w:rPr>
        <w:t>Historically, military organisations have often struggled to recognise discontinuous technological change, preferring to adapt existing structures rather than fundamentally reconsider them</w:t>
      </w:r>
      <w:r>
        <w:rPr>
          <w:rStyle w:val="FootnoteReference"/>
          <w:rFonts w:ascii="Times New Roman" w:hAnsi="Times New Roman" w:cs="Times New Roman"/>
          <w:kern w:val="0"/>
          <w:lang w:eastAsia="en-GB"/>
          <w14:ligatures w14:val="none"/>
        </w:rPr>
        <w:footnoteReference w:id="25"/>
      </w:r>
      <w:r w:rsidRPr="000B2EA9">
        <w:rPr>
          <w:rFonts w:ascii="Times New Roman" w:hAnsi="Times New Roman" w:cs="Times New Roman"/>
          <w:kern w:val="0"/>
          <w:lang w:eastAsia="en-GB"/>
          <w14:ligatures w14:val="none"/>
        </w:rPr>
        <w:t xml:space="preserve">. </w:t>
      </w:r>
    </w:p>
    <w:p w14:paraId="6D9CEAD1" w14:textId="77777777" w:rsidR="005B2D72" w:rsidRDefault="005B2D72" w:rsidP="005B2D72">
      <w:pPr>
        <w:spacing w:after="0" w:line="360" w:lineRule="auto"/>
        <w:jc w:val="both"/>
        <w:rPr>
          <w:rFonts w:ascii="Times New Roman" w:hAnsi="Times New Roman" w:cs="Times New Roman"/>
          <w:color w:val="FF0000"/>
          <w:kern w:val="0"/>
          <w:lang w:eastAsia="en-GB"/>
          <w14:ligatures w14:val="none"/>
        </w:rPr>
      </w:pPr>
      <w:r w:rsidRPr="00E54252">
        <w:rPr>
          <w:rFonts w:ascii="Times New Roman" w:hAnsi="Times New Roman" w:cs="Times New Roman"/>
          <w:kern w:val="0"/>
          <w:lang w:eastAsia="en-GB"/>
          <w14:ligatures w14:val="none"/>
        </w:rPr>
        <w:t>For Ireland, whose Defence Forces face significant personnel shortages and resource constraints</w:t>
      </w:r>
      <w:r w:rsidRPr="00D6250E">
        <w:rPr>
          <w:rStyle w:val="FootnoteReference"/>
          <w:rFonts w:ascii="Times New Roman" w:hAnsi="Times New Roman" w:cs="Times New Roman"/>
          <w:kern w:val="0"/>
          <w:lang w:eastAsia="en-GB"/>
          <w14:ligatures w14:val="none"/>
        </w:rPr>
        <w:footnoteReference w:id="26"/>
      </w:r>
      <w:r w:rsidRPr="00E54252">
        <w:rPr>
          <w:rFonts w:ascii="Times New Roman" w:hAnsi="Times New Roman" w:cs="Times New Roman"/>
          <w:kern w:val="0"/>
          <w:lang w:eastAsia="en-GB"/>
          <w14:ligatures w14:val="none"/>
        </w:rPr>
        <w:t>, UxS provide an opportunity to multiply the effectiveness of limited manpower</w:t>
      </w:r>
      <w:r w:rsidRPr="007A65FE">
        <w:rPr>
          <w:rStyle w:val="FootnoteReference"/>
          <w:rFonts w:ascii="Times New Roman" w:hAnsi="Times New Roman" w:cs="Times New Roman"/>
          <w:kern w:val="0"/>
          <w:lang w:eastAsia="en-GB"/>
          <w14:ligatures w14:val="none"/>
        </w:rPr>
        <w:footnoteReference w:id="27"/>
      </w:r>
      <w:r w:rsidRPr="00E54252">
        <w:rPr>
          <w:rFonts w:ascii="Times New Roman" w:hAnsi="Times New Roman" w:cs="Times New Roman"/>
          <w:kern w:val="0"/>
          <w:lang w:eastAsia="en-GB"/>
          <w14:ligatures w14:val="none"/>
        </w:rPr>
        <w:t xml:space="preserve">. </w:t>
      </w:r>
      <w:r w:rsidRPr="007A65FE">
        <w:rPr>
          <w:rFonts w:ascii="Times New Roman" w:hAnsi="Times New Roman" w:cs="Times New Roman"/>
          <w:kern w:val="0"/>
          <w:lang w:eastAsia="en-GB"/>
          <w14:ligatures w14:val="none"/>
        </w:rPr>
        <w:t>Recent conflicts also demonstrate that uncrewed systems are altering the relationship between mass, precision, persistence and survivability</w:t>
      </w:r>
      <w:r w:rsidRPr="007A65FE">
        <w:rPr>
          <w:rStyle w:val="FootnoteReference"/>
          <w:rFonts w:ascii="Times New Roman" w:hAnsi="Times New Roman" w:cs="Times New Roman"/>
          <w:kern w:val="0"/>
          <w:lang w:eastAsia="en-GB"/>
          <w14:ligatures w14:val="none"/>
        </w:rPr>
        <w:footnoteReference w:id="28"/>
      </w:r>
      <w:r w:rsidRPr="007A65FE">
        <w:rPr>
          <w:rFonts w:ascii="Times New Roman" w:hAnsi="Times New Roman" w:cs="Times New Roman"/>
          <w:kern w:val="0"/>
          <w:lang w:eastAsia="en-GB"/>
          <w14:ligatures w14:val="none"/>
        </w:rPr>
        <w:t>. Credible implementation</w:t>
      </w:r>
      <w:r w:rsidRPr="00E54252">
        <w:rPr>
          <w:rFonts w:ascii="Times New Roman" w:hAnsi="Times New Roman" w:cs="Times New Roman"/>
          <w:kern w:val="0"/>
          <w:lang w:eastAsia="en-GB"/>
          <w14:ligatures w14:val="none"/>
        </w:rPr>
        <w:t xml:space="preserve"> requires political acknowledgement that investment in autonomous and remotely operated systems is not a niche procurement decision but a strategic adaptation to a changing security environment</w:t>
      </w:r>
      <w:r w:rsidRPr="007A65FE">
        <w:rPr>
          <w:rStyle w:val="FootnoteReference"/>
          <w:rFonts w:ascii="Times New Roman" w:hAnsi="Times New Roman" w:cs="Times New Roman"/>
          <w:kern w:val="0"/>
          <w:lang w:eastAsia="en-GB"/>
          <w14:ligatures w14:val="none"/>
        </w:rPr>
        <w:footnoteReference w:id="29"/>
      </w:r>
      <w:r w:rsidRPr="00E54252">
        <w:rPr>
          <w:rFonts w:ascii="Times New Roman" w:hAnsi="Times New Roman" w:cs="Times New Roman"/>
          <w:kern w:val="0"/>
          <w:lang w:eastAsia="en-GB"/>
          <w14:ligatures w14:val="none"/>
        </w:rPr>
        <w:t>.</w:t>
      </w:r>
      <w:r w:rsidRPr="007A65FE">
        <w:rPr>
          <w:rFonts w:ascii="Times New Roman" w:hAnsi="Times New Roman" w:cs="Times New Roman"/>
          <w:kern w:val="0"/>
          <w:lang w:eastAsia="en-GB"/>
          <w14:ligatures w14:val="none"/>
        </w:rPr>
        <w:t xml:space="preserve"> </w:t>
      </w:r>
      <w:r w:rsidRPr="00E54252">
        <w:rPr>
          <w:rFonts w:ascii="Times New Roman" w:hAnsi="Times New Roman" w:cs="Times New Roman"/>
          <w:kern w:val="0"/>
          <w:lang w:eastAsia="en-GB"/>
          <w14:ligatures w14:val="none"/>
        </w:rPr>
        <w:t>Such recognition would align with the recommendations of the Commission on the Defence Forces</w:t>
      </w:r>
      <w:r w:rsidRPr="007A65FE">
        <w:rPr>
          <w:rStyle w:val="FootnoteReference"/>
          <w:rFonts w:ascii="Times New Roman" w:hAnsi="Times New Roman" w:cs="Times New Roman"/>
          <w:kern w:val="0"/>
          <w:lang w:eastAsia="en-GB"/>
          <w14:ligatures w14:val="none"/>
        </w:rPr>
        <w:footnoteReference w:id="30"/>
      </w:r>
      <w:r w:rsidRPr="00E54252">
        <w:rPr>
          <w:rFonts w:ascii="Times New Roman" w:hAnsi="Times New Roman" w:cs="Times New Roman"/>
          <w:kern w:val="0"/>
          <w:lang w:eastAsia="en-GB"/>
          <w14:ligatures w14:val="none"/>
        </w:rPr>
        <w:t xml:space="preserve">, which identified technological transformation, digitalisation and enhanced surveillance capabilities as essential components of future force development. </w:t>
      </w:r>
    </w:p>
    <w:bookmarkEnd w:id="1"/>
    <w:p w14:paraId="37E938C8"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r w:rsidRPr="007F0D7D">
        <w:rPr>
          <w:rFonts w:ascii="Times New Roman" w:hAnsi="Times New Roman" w:cs="Times New Roman"/>
          <w:kern w:val="0"/>
          <w:lang w:eastAsia="en-GB"/>
          <w14:ligatures w14:val="none"/>
        </w:rPr>
        <w:lastRenderedPageBreak/>
        <w:t xml:space="preserve">Uncrewed systems (UxS) should be recognised by both military and political leaders as </w:t>
      </w:r>
      <w:r>
        <w:rPr>
          <w:rFonts w:ascii="Times New Roman" w:hAnsi="Times New Roman" w:cs="Times New Roman"/>
          <w:kern w:val="0"/>
          <w:lang w:eastAsia="en-GB"/>
          <w14:ligatures w14:val="none"/>
        </w:rPr>
        <w:t xml:space="preserve">an evolution </w:t>
      </w:r>
      <w:r w:rsidRPr="007F0D7D">
        <w:rPr>
          <w:rFonts w:ascii="Times New Roman" w:hAnsi="Times New Roman" w:cs="Times New Roman"/>
          <w:kern w:val="0"/>
          <w:lang w:eastAsia="en-GB"/>
          <w14:ligatures w14:val="none"/>
        </w:rPr>
        <w:t>in warfare rather than simply a new technology. For Ireland, UxS offer a strategic means of addressing personnel and resource constraints while enhancing operational capability, making political commitment to their adoption essential for future Defence Forces modernisation.</w:t>
      </w:r>
      <w:r w:rsidRPr="007F0D7D">
        <w:t xml:space="preserve"> </w:t>
      </w:r>
    </w:p>
    <w:p w14:paraId="09341705"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2E63BD6F" w14:textId="77777777" w:rsidR="005B2D72" w:rsidRPr="00682543"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2" w:name="_Hlk235294786"/>
      <w:r w:rsidRPr="00682543">
        <w:rPr>
          <w:rFonts w:ascii="Times New Roman" w:hAnsi="Times New Roman" w:cs="Times New Roman"/>
          <w:b/>
          <w:bCs/>
          <w:kern w:val="0"/>
          <w:lang w:eastAsia="en-GB"/>
          <w14:ligatures w14:val="none"/>
        </w:rPr>
        <w:t>Guiding Vision for Change.</w:t>
      </w:r>
    </w:p>
    <w:p w14:paraId="43672204" w14:textId="77777777" w:rsidR="005B2D72" w:rsidRPr="0080548D" w:rsidRDefault="005B2D72" w:rsidP="005B2D72">
      <w:pPr>
        <w:spacing w:after="0" w:line="360" w:lineRule="auto"/>
        <w:jc w:val="both"/>
        <w:rPr>
          <w:rFonts w:ascii="Times New Roman" w:hAnsi="Times New Roman" w:cs="Times New Roman"/>
          <w:kern w:val="0"/>
          <w:lang w:eastAsia="en-GB"/>
          <w14:ligatures w14:val="none"/>
        </w:rPr>
      </w:pPr>
      <w:r w:rsidRPr="0080548D">
        <w:rPr>
          <w:rFonts w:ascii="Times New Roman" w:hAnsi="Times New Roman" w:cs="Times New Roman"/>
          <w:kern w:val="0"/>
          <w:lang w:eastAsia="en-GB"/>
          <w14:ligatures w14:val="none"/>
        </w:rPr>
        <w:t>Political recognition must then be translated into a guiding vision. Military innovation succeeds when technological adoption is driven by coherent operational concepts rather than the availability of new equipment</w:t>
      </w:r>
      <w:r w:rsidRPr="000B2EA9">
        <w:rPr>
          <w:vertAlign w:val="superscript"/>
          <w:lang w:eastAsia="en-GB"/>
        </w:rPr>
        <w:footnoteReference w:id="31"/>
      </w:r>
      <w:r w:rsidRPr="0080548D">
        <w:rPr>
          <w:rFonts w:ascii="Times New Roman" w:hAnsi="Times New Roman" w:cs="Times New Roman"/>
          <w:kern w:val="0"/>
          <w:lang w:eastAsia="en-GB"/>
          <w14:ligatures w14:val="none"/>
        </w:rPr>
        <w:t>. Ireland therefore requires an operational concept that defines how UxS contribute to national defence objectives across all domains. Such a concept should emphasise persistent surveillance, situational awareness and denial operations rather than offensive power projection</w:t>
      </w:r>
      <w:r>
        <w:rPr>
          <w:rStyle w:val="FootnoteReference"/>
          <w:rFonts w:ascii="Times New Roman" w:hAnsi="Times New Roman" w:cs="Times New Roman"/>
          <w:kern w:val="0"/>
          <w:lang w:eastAsia="en-GB"/>
          <w14:ligatures w14:val="none"/>
        </w:rPr>
        <w:footnoteReference w:id="32"/>
      </w:r>
      <w:r w:rsidRPr="0080548D">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80548D">
        <w:rPr>
          <w:rFonts w:ascii="Times New Roman" w:hAnsi="Times New Roman" w:cs="Times New Roman"/>
          <w:kern w:val="0"/>
          <w:lang w:eastAsia="en-GB"/>
          <w14:ligatures w14:val="none"/>
        </w:rPr>
        <w:t>For light infantry, this means integrating reconnaissance drones, loitering munitions where politically acceptable</w:t>
      </w:r>
      <w:r>
        <w:rPr>
          <w:rStyle w:val="FootnoteReference"/>
          <w:rFonts w:ascii="Times New Roman" w:hAnsi="Times New Roman" w:cs="Times New Roman"/>
          <w:kern w:val="0"/>
          <w:lang w:eastAsia="en-GB"/>
          <w14:ligatures w14:val="none"/>
        </w:rPr>
        <w:footnoteReference w:id="33"/>
      </w:r>
      <w:r w:rsidRPr="0080548D">
        <w:rPr>
          <w:rFonts w:ascii="Times New Roman" w:hAnsi="Times New Roman" w:cs="Times New Roman"/>
          <w:kern w:val="0"/>
          <w:lang w:eastAsia="en-GB"/>
          <w14:ligatures w14:val="none"/>
        </w:rPr>
        <w:t>, autonomous logistics platforms and electronic warfare systems into dispersed defensive operations.</w:t>
      </w:r>
    </w:p>
    <w:p w14:paraId="6690D35C" w14:textId="77777777" w:rsidR="005B2D72" w:rsidRDefault="005B2D72" w:rsidP="005B2D72">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t>This policy must them be incorporated into an operational capability through DOTMLPF-I integration</w:t>
      </w:r>
      <w:r w:rsidRPr="000B2EA9">
        <w:rPr>
          <w:rFonts w:ascii="Times New Roman" w:hAnsi="Times New Roman" w:cs="Times New Roman"/>
          <w:kern w:val="0"/>
          <w:lang w:eastAsia="en-GB"/>
          <w14:ligatures w14:val="none"/>
        </w:rPr>
        <w:t>, ensuring that UxS become an integral part of operations rather than isolated specialist capabilities</w:t>
      </w:r>
      <w:r>
        <w:rPr>
          <w:rStyle w:val="FootnoteReference"/>
          <w:rFonts w:ascii="Times New Roman" w:hAnsi="Times New Roman" w:cs="Times New Roman"/>
          <w:kern w:val="0"/>
          <w:lang w:eastAsia="en-GB"/>
          <w14:ligatures w14:val="none"/>
        </w:rPr>
        <w:footnoteReference w:id="34"/>
      </w:r>
      <w:r w:rsidRPr="000B2EA9">
        <w:rPr>
          <w:rFonts w:ascii="Times New Roman" w:hAnsi="Times New Roman" w:cs="Times New Roman"/>
          <w:kern w:val="0"/>
          <w:lang w:eastAsia="en-GB"/>
          <w14:ligatures w14:val="none"/>
        </w:rPr>
        <w:t>.</w:t>
      </w:r>
    </w:p>
    <w:bookmarkEnd w:id="2"/>
    <w:p w14:paraId="5D095D71" w14:textId="77777777" w:rsidR="005B2D72" w:rsidRPr="00817FBC" w:rsidRDefault="005B2D72" w:rsidP="005B2D72">
      <w:pPr>
        <w:spacing w:after="0" w:line="360" w:lineRule="auto"/>
        <w:jc w:val="both"/>
        <w:rPr>
          <w:rFonts w:ascii="Times New Roman" w:hAnsi="Times New Roman" w:cs="Times New Roman"/>
          <w:kern w:val="0"/>
          <w:lang w:eastAsia="en-GB"/>
          <w14:ligatures w14:val="none"/>
        </w:rPr>
      </w:pPr>
      <w:r w:rsidRPr="00817FBC">
        <w:rPr>
          <w:rFonts w:ascii="Times New Roman" w:hAnsi="Times New Roman" w:cs="Times New Roman"/>
          <w:kern w:val="0"/>
          <w:lang w:eastAsia="en-GB"/>
          <w14:ligatures w14:val="none"/>
        </w:rPr>
        <w: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t>
      </w:r>
    </w:p>
    <w:p w14:paraId="4B529CE7"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3B5A367D"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0EE93AD2" w14:textId="77777777" w:rsidR="005B2D72"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3" w:name="_Hlk235298037"/>
      <w:r>
        <w:rPr>
          <w:rFonts w:ascii="Times New Roman" w:hAnsi="Times New Roman" w:cs="Times New Roman"/>
          <w:b/>
          <w:bCs/>
          <w:kern w:val="0"/>
          <w:lang w:eastAsia="en-GB"/>
          <w14:ligatures w14:val="none"/>
        </w:rPr>
        <w:t>The Institutionalisation of Change.</w:t>
      </w:r>
    </w:p>
    <w:p w14:paraId="248242DD" w14:textId="77777777" w:rsidR="005B2D72" w:rsidRPr="00CE4E3D" w:rsidRDefault="005B2D72" w:rsidP="005B2D72">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The third requirement is institutionalisation. Military innovation becomes credible only when organisations adapt</w:t>
      </w:r>
      <w:r>
        <w:rPr>
          <w:rStyle w:val="FootnoteReference"/>
          <w:rFonts w:ascii="Times New Roman" w:hAnsi="Times New Roman" w:cs="Times New Roman"/>
          <w:kern w:val="0"/>
          <w:lang w:eastAsia="en-GB"/>
          <w14:ligatures w14:val="none"/>
        </w:rPr>
        <w:footnoteReference w:id="35"/>
      </w:r>
      <w:r w:rsidRPr="00CE4E3D">
        <w:rPr>
          <w:rFonts w:ascii="Times New Roman" w:hAnsi="Times New Roman" w:cs="Times New Roman"/>
          <w:kern w:val="0"/>
          <w:lang w:eastAsia="en-GB"/>
          <w14:ligatures w14:val="none"/>
        </w:rPr>
        <w:t xml:space="preserve"> themselves to sustain it. Institutional change also requires adapting procurement organisations, maintenance structures and training establishments to support rapid technological iteration rather than the traditionally slow acquisition cycles associated with major defence platforms.</w:t>
      </w:r>
    </w:p>
    <w:p w14:paraId="344BD115" w14:textId="77777777" w:rsidR="005B2D72" w:rsidRPr="000B2EA9" w:rsidRDefault="005B2D72" w:rsidP="005B2D72">
      <w:pPr>
        <w:spacing w:after="0" w:line="360" w:lineRule="auto"/>
        <w:jc w:val="both"/>
        <w:rPr>
          <w:rFonts w:ascii="Times New Roman" w:hAnsi="Times New Roman" w:cs="Times New Roman"/>
          <w:kern w:val="0"/>
          <w:lang w:eastAsia="en-GB"/>
          <w14:ligatures w14:val="none"/>
        </w:rPr>
      </w:pPr>
      <w:r w:rsidRPr="000B2EA9">
        <w:rPr>
          <w:rFonts w:ascii="Times New Roman" w:hAnsi="Times New Roman" w:cs="Times New Roman"/>
          <w:kern w:val="0"/>
          <w:lang w:eastAsia="en-GB"/>
          <w14:ligatures w14:val="none"/>
        </w:rPr>
        <w:t>Creating dedicated UxS career pathways</w:t>
      </w:r>
      <w:r>
        <w:rPr>
          <w:rStyle w:val="FootnoteReference"/>
          <w:rFonts w:ascii="Times New Roman" w:hAnsi="Times New Roman" w:cs="Times New Roman"/>
          <w:kern w:val="0"/>
          <w:lang w:eastAsia="en-GB"/>
          <w14:ligatures w14:val="none"/>
        </w:rPr>
        <w:footnoteReference w:id="36"/>
      </w:r>
      <w:r w:rsidRPr="000B2EA9">
        <w:rPr>
          <w:rFonts w:ascii="Times New Roman" w:hAnsi="Times New Roman" w:cs="Times New Roman"/>
          <w:kern w:val="0"/>
          <w:lang w:eastAsia="en-GB"/>
          <w14:ligatures w14:val="none"/>
        </w:rPr>
        <w:t xml:space="preserve"> would </w:t>
      </w:r>
      <w:r>
        <w:rPr>
          <w:rFonts w:ascii="Times New Roman" w:hAnsi="Times New Roman" w:cs="Times New Roman"/>
          <w:kern w:val="0"/>
          <w:lang w:eastAsia="en-GB"/>
          <w14:ligatures w14:val="none"/>
        </w:rPr>
        <w:t xml:space="preserve">also </w:t>
      </w:r>
      <w:r w:rsidRPr="000B2EA9">
        <w:rPr>
          <w:rFonts w:ascii="Times New Roman" w:hAnsi="Times New Roman" w:cs="Times New Roman"/>
          <w:kern w:val="0"/>
          <w:lang w:eastAsia="en-GB"/>
          <w14:ligatures w14:val="none"/>
        </w:rPr>
        <w:t>signal that these capabilities are enduring rather than experimental.</w:t>
      </w:r>
      <w:r>
        <w:rPr>
          <w:rFonts w:ascii="Times New Roman" w:hAnsi="Times New Roman" w:cs="Times New Roman"/>
          <w:kern w:val="0"/>
          <w:lang w:eastAsia="en-GB"/>
          <w14:ligatures w14:val="none"/>
        </w:rPr>
        <w:t xml:space="preserve"> </w:t>
      </w:r>
      <w:r w:rsidRPr="000B2EA9">
        <w:rPr>
          <w:rFonts w:ascii="Times New Roman" w:hAnsi="Times New Roman" w:cs="Times New Roman"/>
          <w:kern w:val="0"/>
          <w:lang w:eastAsia="en-GB"/>
          <w14:ligatures w14:val="none"/>
        </w:rPr>
        <w:t>This requires recruiting and retaining personnel with expertise in robotics, artificial intelligence, software engineering and electronic warfare while integrating these specialists with operational commanders rather than separating technical and tactical functions</w:t>
      </w:r>
      <w:r>
        <w:rPr>
          <w:rStyle w:val="FootnoteReference"/>
          <w:rFonts w:ascii="Times New Roman" w:hAnsi="Times New Roman" w:cs="Times New Roman"/>
          <w:kern w:val="0"/>
          <w:lang w:eastAsia="en-GB"/>
          <w14:ligatures w14:val="none"/>
        </w:rPr>
        <w:footnoteReference w:id="37"/>
      </w:r>
      <w:r w:rsidRPr="000B2EA9">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Establishing m</w:t>
      </w:r>
      <w:r w:rsidRPr="000B2EA9">
        <w:rPr>
          <w:rFonts w:ascii="Times New Roman" w:hAnsi="Times New Roman" w:cs="Times New Roman"/>
          <w:kern w:val="0"/>
          <w:lang w:eastAsia="en-GB"/>
          <w14:ligatures w14:val="none"/>
        </w:rPr>
        <w:t>ultidisciplinary teams</w:t>
      </w:r>
      <w:r>
        <w:rPr>
          <w:rFonts w:ascii="Times New Roman" w:hAnsi="Times New Roman" w:cs="Times New Roman"/>
          <w:kern w:val="0"/>
          <w:lang w:eastAsia="en-GB"/>
          <w14:ligatures w14:val="none"/>
        </w:rPr>
        <w:t xml:space="preserve"> who</w:t>
      </w:r>
      <w:r w:rsidRPr="000B2EA9">
        <w:rPr>
          <w:rFonts w:ascii="Times New Roman" w:hAnsi="Times New Roman" w:cs="Times New Roman"/>
          <w:kern w:val="0"/>
          <w:lang w:eastAsia="en-GB"/>
          <w14:ligatures w14:val="none"/>
        </w:rPr>
        <w:t xml:space="preserve"> work collaboratively.</w:t>
      </w:r>
    </w:p>
    <w:p w14:paraId="5BA0E054" w14:textId="77777777" w:rsidR="005B2D72" w:rsidRPr="00CE4E3D" w:rsidRDefault="005B2D72" w:rsidP="005B2D72">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Professional military education must therefore incorporate autonomous systems, human-machine teaming and counter-UxS operations throughout career progression</w:t>
      </w:r>
    </w:p>
    <w:bookmarkEnd w:id="3"/>
    <w:p w14:paraId="45CADE37"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r w:rsidRPr="004F6A1E">
        <w:rPr>
          <w:rFonts w:ascii="Times New Roman" w:hAnsi="Times New Roman" w:cs="Times New Roman"/>
          <w:kern w:val="0"/>
          <w:lang w:eastAsia="en-GB"/>
          <w14:ligatures w14:val="none"/>
        </w:rPr>
        <w: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t>
      </w:r>
    </w:p>
    <w:p w14:paraId="12BBCCCF" w14:textId="77777777" w:rsidR="005B2D72" w:rsidRPr="000B2EA9" w:rsidRDefault="005B2D72" w:rsidP="005B2D72">
      <w:pPr>
        <w:spacing w:after="0" w:line="360" w:lineRule="auto"/>
        <w:jc w:val="both"/>
        <w:rPr>
          <w:rFonts w:ascii="Times New Roman" w:hAnsi="Times New Roman" w:cs="Times New Roman"/>
          <w:b/>
          <w:bCs/>
          <w:kern w:val="0"/>
          <w:lang w:eastAsia="en-GB"/>
          <w14:ligatures w14:val="none"/>
        </w:rPr>
      </w:pPr>
    </w:p>
    <w:p w14:paraId="49ACD918" w14:textId="77777777" w:rsidR="005B2D72" w:rsidRPr="000B2EA9" w:rsidRDefault="005B2D72" w:rsidP="005B2D72">
      <w:pPr>
        <w:pStyle w:val="ListParagraph"/>
        <w:numPr>
          <w:ilvl w:val="0"/>
          <w:numId w:val="8"/>
        </w:numPr>
        <w:spacing w:after="0" w:line="360" w:lineRule="auto"/>
        <w:ind w:left="0" w:firstLine="0"/>
        <w:jc w:val="both"/>
        <w:rPr>
          <w:rFonts w:ascii="Times New Roman" w:hAnsi="Times New Roman" w:cs="Times New Roman"/>
          <w:b/>
          <w:bCs/>
          <w:kern w:val="0"/>
          <w:lang w:eastAsia="en-GB"/>
          <w14:ligatures w14:val="none"/>
        </w:rPr>
      </w:pPr>
      <w:bookmarkStart w:id="4" w:name="_Hlk235300244"/>
      <w:r w:rsidRPr="000B2EA9">
        <w:rPr>
          <w:rFonts w:ascii="Times New Roman" w:hAnsi="Times New Roman" w:cs="Times New Roman"/>
          <w:b/>
          <w:bCs/>
          <w:kern w:val="0"/>
          <w:lang w:eastAsia="en-GB"/>
          <w14:ligatures w14:val="none"/>
        </w:rPr>
        <w:t>Virtuous Cycles of Wargaming</w:t>
      </w:r>
    </w:p>
    <w:p w14:paraId="07115AE5" w14:textId="77777777" w:rsidR="005B2D72" w:rsidRPr="00CE4E3D" w:rsidRDefault="005B2D72" w:rsidP="005B2D72">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The decisive stage in transforming a tactical concept into credible policy is experimentation through wargaming</w:t>
      </w:r>
      <w:r>
        <w:rPr>
          <w:rStyle w:val="FootnoteReference"/>
          <w:rFonts w:ascii="Times New Roman" w:hAnsi="Times New Roman" w:cs="Times New Roman"/>
          <w:kern w:val="0"/>
          <w:lang w:eastAsia="en-GB"/>
          <w14:ligatures w14:val="none"/>
        </w:rPr>
        <w:footnoteReference w:id="38"/>
      </w:r>
      <w:r w:rsidRPr="00CE4E3D">
        <w:rPr>
          <w:rFonts w:ascii="Times New Roman" w:hAnsi="Times New Roman" w:cs="Times New Roman"/>
          <w:kern w:val="0"/>
          <w:lang w:eastAsia="en-GB"/>
          <w14:ligatures w14:val="none"/>
        </w:rPr>
        <w:t xml:space="preserve">, training, exercising and evaluation. Wargaming allows commanders to </w:t>
      </w:r>
      <w:r w:rsidRPr="00CE4E3D">
        <w:rPr>
          <w:rFonts w:ascii="Times New Roman" w:hAnsi="Times New Roman" w:cs="Times New Roman"/>
          <w:kern w:val="0"/>
          <w:lang w:eastAsia="en-GB"/>
          <w14:ligatures w14:val="none"/>
        </w:rPr>
        <w:lastRenderedPageBreak/>
        <w:t>explore how UxS enabled light infantry denial operations</w:t>
      </w:r>
      <w:r>
        <w:rPr>
          <w:rStyle w:val="FootnoteReference"/>
          <w:rFonts w:ascii="Times New Roman" w:hAnsi="Times New Roman" w:cs="Times New Roman"/>
          <w:kern w:val="0"/>
          <w:lang w:eastAsia="en-GB"/>
          <w14:ligatures w14:val="none"/>
        </w:rPr>
        <w:footnoteReference w:id="39"/>
      </w:r>
      <w:r w:rsidRPr="00CE4E3D">
        <w:rPr>
          <w:rFonts w:ascii="Times New Roman" w:hAnsi="Times New Roman" w:cs="Times New Roman"/>
          <w:kern w:val="0"/>
          <w:lang w:eastAsia="en-GB"/>
          <w14:ligatures w14:val="none"/>
        </w:rPr>
        <w:t xml:space="preserve"> could respond to likely threats against Irish territory or critical infrastructure.</w:t>
      </w:r>
    </w:p>
    <w:p w14:paraId="3FD8A941" w14:textId="77777777" w:rsidR="005B2D72" w:rsidRPr="000B2EA9" w:rsidRDefault="005B2D72" w:rsidP="005B2D72">
      <w:pPr>
        <w:pStyle w:val="ListParagraph"/>
        <w:spacing w:after="0" w:line="360" w:lineRule="auto"/>
        <w:ind w:left="1440"/>
        <w:jc w:val="both"/>
        <w:rPr>
          <w:rFonts w:ascii="Times New Roman" w:hAnsi="Times New Roman" w:cs="Times New Roman"/>
          <w:b/>
          <w:bCs/>
          <w:kern w:val="0"/>
          <w:lang w:eastAsia="en-GB"/>
          <w14:ligatures w14:val="none"/>
        </w:rPr>
      </w:pPr>
    </w:p>
    <w:p w14:paraId="75E206F0" w14:textId="77777777" w:rsidR="005B2D72" w:rsidRPr="00620D5D" w:rsidRDefault="005B2D72" w:rsidP="005B2D72">
      <w:pPr>
        <w:spacing w:after="0" w:line="360" w:lineRule="auto"/>
        <w:jc w:val="both"/>
        <w:rPr>
          <w:rFonts w:ascii="Times New Roman" w:hAnsi="Times New Roman" w:cs="Times New Roman"/>
          <w:kern w:val="0"/>
          <w:lang w:eastAsia="en-GB"/>
          <w14:ligatures w14:val="none"/>
        </w:rPr>
      </w:pPr>
      <w:r w:rsidRPr="00620D5D">
        <w:rPr>
          <w:rFonts w:ascii="Times New Roman" w:hAnsi="Times New Roman" w:cs="Times New Roman"/>
          <w:kern w:val="0"/>
          <w:lang w:eastAsia="en-GB"/>
          <w14:ligatures w14:val="none"/>
        </w:rPr>
        <w:t>New ideas acquire legitimacy through training and evaluation against realistic operational problems</w:t>
      </w:r>
      <w:r>
        <w:rPr>
          <w:rStyle w:val="FootnoteReference"/>
          <w:rFonts w:ascii="Times New Roman" w:hAnsi="Times New Roman" w:cs="Times New Roman"/>
          <w:kern w:val="0"/>
          <w:lang w:eastAsia="en-GB"/>
          <w14:ligatures w14:val="none"/>
        </w:rPr>
        <w:footnoteReference w:id="40"/>
      </w:r>
      <w:r w:rsidRPr="00620D5D">
        <w:rPr>
          <w:rFonts w:ascii="Times New Roman" w:hAnsi="Times New Roman" w:cs="Times New Roman"/>
          <w:kern w:val="0"/>
          <w:lang w:eastAsia="en-GB"/>
          <w14:ligatures w14:val="none"/>
        </w:rPr>
        <w:t>. As tactics become standardised and personnel gain operational confidence, UxS integration transitions from innovation to normal military practice</w:t>
      </w:r>
      <w:r>
        <w:rPr>
          <w:rStyle w:val="FootnoteReference"/>
          <w:rFonts w:ascii="Times New Roman" w:hAnsi="Times New Roman" w:cs="Times New Roman"/>
          <w:kern w:val="0"/>
          <w:lang w:eastAsia="en-GB"/>
          <w14:ligatures w14:val="none"/>
        </w:rPr>
        <w:footnoteReference w:id="41"/>
      </w:r>
      <w:r w:rsidRPr="00620D5D">
        <w:rPr>
          <w:rFonts w:ascii="Times New Roman" w:hAnsi="Times New Roman" w:cs="Times New Roman"/>
          <w:kern w:val="0"/>
          <w:lang w:eastAsia="en-GB"/>
          <w14:ligatures w14:val="none"/>
        </w:rPr>
        <w:t>. Importantly, this iterative process provides political leaders with demonstrable evidence that investment in autonomous systems generates measurable improvements in operational effectiveness</w:t>
      </w:r>
      <w:r>
        <w:rPr>
          <w:rStyle w:val="FootnoteReference"/>
          <w:rFonts w:ascii="Times New Roman" w:hAnsi="Times New Roman" w:cs="Times New Roman"/>
          <w:kern w:val="0"/>
          <w:lang w:eastAsia="en-GB"/>
          <w14:ligatures w14:val="none"/>
        </w:rPr>
        <w:footnoteReference w:id="42"/>
      </w:r>
      <w:r w:rsidRPr="00620D5D">
        <w:rPr>
          <w:rFonts w:ascii="Times New Roman" w:hAnsi="Times New Roman" w:cs="Times New Roman"/>
          <w:kern w:val="0"/>
          <w:lang w:eastAsia="en-GB"/>
          <w14:ligatures w14:val="none"/>
        </w:rPr>
        <w:t>.</w:t>
      </w:r>
      <w:r w:rsidRPr="00483961">
        <w:t xml:space="preserve"> </w:t>
      </w:r>
      <w:r w:rsidRPr="00620D5D">
        <w:rPr>
          <w:rFonts w:ascii="Times New Roman" w:hAnsi="Times New Roman" w:cs="Times New Roman"/>
          <w:kern w:val="0"/>
          <w:lang w:eastAsia="en-GB"/>
          <w14:ligatures w14:val="none"/>
        </w:rPr>
        <w:t>Rather than relying upon theoretical arguments, Defence can point to validated concepts, tested doctrine and exercised capability as justification for continued investment.</w:t>
      </w:r>
    </w:p>
    <w:p w14:paraId="7B312DB4" w14:textId="77777777" w:rsidR="005B2D72" w:rsidRPr="00620D5D" w:rsidRDefault="005B2D72" w:rsidP="005B2D72">
      <w:pPr>
        <w:spacing w:after="0" w:line="360" w:lineRule="auto"/>
        <w:jc w:val="both"/>
        <w:rPr>
          <w:rFonts w:ascii="Times New Roman" w:hAnsi="Times New Roman" w:cs="Times New Roman"/>
          <w:kern w:val="0"/>
          <w:lang w:eastAsia="en-GB"/>
          <w14:ligatures w14:val="none"/>
        </w:rPr>
      </w:pPr>
      <w:r w:rsidRPr="00620D5D">
        <w:rPr>
          <w:rFonts w:ascii="Times New Roman" w:hAnsi="Times New Roman" w:cs="Times New Roman"/>
          <w:kern w:val="0"/>
          <w:lang w:eastAsia="en-GB"/>
          <w14:ligatures w14:val="none"/>
        </w:rPr>
        <w:t>Lessons identified during experimentation must directly inform doctrinal refinement, force structure and procurement decisions</w:t>
      </w:r>
      <w:r>
        <w:rPr>
          <w:rStyle w:val="FootnoteReference"/>
          <w:rFonts w:ascii="Times New Roman" w:hAnsi="Times New Roman" w:cs="Times New Roman"/>
          <w:kern w:val="0"/>
          <w:lang w:eastAsia="en-GB"/>
          <w14:ligatures w14:val="none"/>
        </w:rPr>
        <w:footnoteReference w:id="43"/>
      </w:r>
      <w:r w:rsidRPr="00620D5D">
        <w:rPr>
          <w:rFonts w:ascii="Times New Roman" w:hAnsi="Times New Roman" w:cs="Times New Roman"/>
          <w:kern w:val="0"/>
          <w:lang w:eastAsia="en-GB"/>
          <w14:ligatures w14:val="none"/>
        </w:rPr>
        <w:t>.</w:t>
      </w:r>
      <w:r w:rsidRPr="00483961">
        <w:t xml:space="preserve"> </w:t>
      </w:r>
      <w:r w:rsidRPr="00620D5D">
        <w:rPr>
          <w:rFonts w:ascii="Times New Roman" w:hAnsi="Times New Roman" w:cs="Times New Roman"/>
          <w:kern w:val="0"/>
          <w:lang w:eastAsia="en-GB"/>
          <w14:ligatures w14:val="none"/>
        </w:rPr>
        <w:t>The insights provided from these processes should inform progressively more demanding field exercises where unmanned systems operate alongside conventional forces under realistic conditions.</w:t>
      </w:r>
    </w:p>
    <w:bookmarkEnd w:id="4"/>
    <w:p w14:paraId="28B350CC" w14:textId="77777777" w:rsidR="005B2D72" w:rsidRPr="004F1876" w:rsidRDefault="005B2D72" w:rsidP="005B2D72">
      <w:pPr>
        <w:spacing w:after="0" w:line="360" w:lineRule="auto"/>
        <w:jc w:val="both"/>
        <w:rPr>
          <w:rFonts w:ascii="Times New Roman" w:hAnsi="Times New Roman" w:cs="Times New Roman"/>
          <w:kern w:val="0"/>
          <w:lang w:eastAsia="en-GB"/>
          <w14:ligatures w14:val="none"/>
        </w:rPr>
      </w:pPr>
      <w:r w:rsidRPr="00620D5D">
        <w:rPr>
          <w:rFonts w:ascii="Times New Roman" w:hAnsi="Times New Roman" w:cs="Times New Roman"/>
          <w:kern w:val="0"/>
          <w:lang w:eastAsia="en-GB"/>
          <w14:ligatures w14:val="none"/>
        </w:rPr>
        <w:t>Wargaming, training and experimentation are essential to test, validate and refine the operational use of UxS. The lessons identified should inform doctrine, force structure and procurement, while providing evidence to support continued investment.</w:t>
      </w:r>
    </w:p>
    <w:p w14:paraId="022F6613"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6F6B90B6" w14:textId="77777777" w:rsidR="005B2D72" w:rsidRPr="00682543"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5" w:name="_Hlk235301718"/>
      <w:r w:rsidRPr="00682543">
        <w:rPr>
          <w:rFonts w:ascii="Times New Roman" w:hAnsi="Times New Roman" w:cs="Times New Roman"/>
          <w:b/>
          <w:bCs/>
          <w:kern w:val="0"/>
          <w:lang w:eastAsia="en-GB"/>
          <w14:ligatures w14:val="none"/>
        </w:rPr>
        <w:t>Identification and iteration of enabling technologies</w:t>
      </w:r>
    </w:p>
    <w:p w14:paraId="0C9B7D99" w14:textId="77777777" w:rsidR="005B2D72" w:rsidRPr="002019AC" w:rsidRDefault="005B2D72" w:rsidP="005B2D72">
      <w:pPr>
        <w:spacing w:after="0" w:line="360" w:lineRule="auto"/>
        <w:jc w:val="both"/>
        <w:rPr>
          <w:rFonts w:ascii="Times New Roman" w:hAnsi="Times New Roman" w:cs="Times New Roman"/>
          <w:kern w:val="0"/>
          <w:lang w:eastAsia="en-GB"/>
          <w14:ligatures w14:val="none"/>
        </w:rPr>
      </w:pPr>
      <w:r w:rsidRPr="006E5AF0">
        <w:rPr>
          <w:rFonts w:ascii="Times New Roman" w:hAnsi="Times New Roman" w:cs="Times New Roman"/>
          <w:kern w:val="0"/>
          <w:lang w:eastAsia="en-GB"/>
          <w14:ligatures w14:val="none"/>
        </w:rPr>
        <w:t>Maintaining credibility also requires continuous technological adaptation</w:t>
      </w:r>
      <w:r>
        <w:rPr>
          <w:rStyle w:val="FootnoteReference"/>
          <w:rFonts w:ascii="Times New Roman" w:hAnsi="Times New Roman" w:cs="Times New Roman"/>
          <w:kern w:val="0"/>
          <w:lang w:eastAsia="en-GB"/>
          <w14:ligatures w14:val="none"/>
        </w:rPr>
        <w:footnoteReference w:id="44"/>
      </w:r>
      <w:r w:rsidRPr="006E5AF0">
        <w:rPr>
          <w:rFonts w:ascii="Times New Roman" w:hAnsi="Times New Roman" w:cs="Times New Roman"/>
          <w:kern w:val="0"/>
          <w:lang w:eastAsia="en-GB"/>
          <w14:ligatures w14:val="none"/>
        </w:rPr>
        <w:t>. One of the defining characteristics of contemporary uncrewed warfare is the exceptionally rapid pace of innovation</w:t>
      </w:r>
      <w:r>
        <w:rPr>
          <w:rStyle w:val="FootnoteReference"/>
          <w:rFonts w:ascii="Times New Roman" w:hAnsi="Times New Roman" w:cs="Times New Roman"/>
          <w:kern w:val="0"/>
          <w:lang w:eastAsia="en-GB"/>
          <w14:ligatures w14:val="none"/>
        </w:rPr>
        <w:footnoteReference w:id="45"/>
      </w:r>
      <w:r w:rsidRPr="006E5AF0">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2019AC">
        <w:rPr>
          <w:rFonts w:ascii="Times New Roman" w:hAnsi="Times New Roman" w:cs="Times New Roman"/>
          <w:kern w:val="0"/>
          <w:lang w:eastAsia="en-GB"/>
          <w14:ligatures w14:val="none"/>
        </w:rPr>
        <w:t xml:space="preserve">Ireland cannot therefore view UxS procurement as a once-off acquisition </w:t>
      </w:r>
      <w:r w:rsidRPr="002019AC">
        <w:rPr>
          <w:rFonts w:ascii="Times New Roman" w:hAnsi="Times New Roman" w:cs="Times New Roman"/>
          <w:kern w:val="0"/>
          <w:lang w:eastAsia="en-GB"/>
          <w14:ligatures w14:val="none"/>
        </w:rPr>
        <w:lastRenderedPageBreak/>
        <w:t>programme. Instead, defence planning must establish mechanisms for continual capability development through spiral acquisition</w:t>
      </w:r>
      <w:r>
        <w:rPr>
          <w:rFonts w:ascii="Times New Roman" w:hAnsi="Times New Roman" w:cs="Times New Roman"/>
          <w:kern w:val="0"/>
          <w:lang w:eastAsia="en-GB"/>
          <w14:ligatures w14:val="none"/>
        </w:rPr>
        <w:t xml:space="preserve"> and a </w:t>
      </w:r>
      <w:r w:rsidRPr="002019AC">
        <w:rPr>
          <w:rFonts w:ascii="Times New Roman" w:hAnsi="Times New Roman" w:cs="Times New Roman"/>
          <w:kern w:val="0"/>
          <w:lang w:eastAsia="en-GB"/>
          <w14:ligatures w14:val="none"/>
        </w:rPr>
        <w:t xml:space="preserve">modular </w:t>
      </w:r>
      <w:r>
        <w:rPr>
          <w:rFonts w:ascii="Times New Roman" w:hAnsi="Times New Roman" w:cs="Times New Roman"/>
          <w:kern w:val="0"/>
          <w:lang w:eastAsia="en-GB"/>
          <w14:ligatures w14:val="none"/>
        </w:rPr>
        <w:t>open systems approach</w:t>
      </w:r>
      <w:r>
        <w:rPr>
          <w:rStyle w:val="FootnoteReference"/>
          <w:rFonts w:ascii="Times New Roman" w:hAnsi="Times New Roman" w:cs="Times New Roman"/>
          <w:kern w:val="0"/>
          <w:lang w:eastAsia="en-GB"/>
          <w14:ligatures w14:val="none"/>
        </w:rPr>
        <w:footnoteReference w:id="46"/>
      </w:r>
      <w:r>
        <w:rPr>
          <w:rFonts w:ascii="Times New Roman" w:hAnsi="Times New Roman" w:cs="Times New Roman"/>
          <w:kern w:val="0"/>
          <w:lang w:eastAsia="en-GB"/>
          <w14:ligatures w14:val="none"/>
        </w:rPr>
        <w:t xml:space="preserve"> to acquisition</w:t>
      </w:r>
      <w:r w:rsidRPr="002019AC">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2019AC">
        <w:rPr>
          <w:rFonts w:ascii="Times New Roman" w:hAnsi="Times New Roman" w:cs="Times New Roman"/>
          <w:kern w:val="0"/>
          <w:lang w:eastAsia="en-GB"/>
          <w14:ligatures w14:val="none"/>
        </w:rPr>
        <w:t>Open systems allowing rapid integration of new sensors, communications and software will reduce obsolescence while enabling adaptation to emerging threats</w:t>
      </w:r>
      <w:r>
        <w:rPr>
          <w:rStyle w:val="FootnoteReference"/>
          <w:rFonts w:ascii="Times New Roman" w:hAnsi="Times New Roman" w:cs="Times New Roman"/>
          <w:kern w:val="0"/>
          <w:lang w:eastAsia="en-GB"/>
          <w14:ligatures w14:val="none"/>
        </w:rPr>
        <w:footnoteReference w:id="47"/>
      </w:r>
      <w:r w:rsidRPr="002019AC">
        <w:rPr>
          <w:rFonts w:ascii="Times New Roman" w:hAnsi="Times New Roman" w:cs="Times New Roman"/>
          <w:kern w:val="0"/>
          <w:lang w:eastAsia="en-GB"/>
          <w14:ligatures w14:val="none"/>
        </w:rPr>
        <w:t>.</w:t>
      </w:r>
    </w:p>
    <w:p w14:paraId="442E1B24" w14:textId="77777777" w:rsidR="005B2D72" w:rsidRDefault="005B2D72" w:rsidP="005B2D72">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t xml:space="preserve">Military </w:t>
      </w:r>
      <w:r w:rsidRPr="002019AC">
        <w:rPr>
          <w:rFonts w:ascii="Times New Roman" w:hAnsi="Times New Roman" w:cs="Times New Roman"/>
          <w:kern w:val="0"/>
          <w:lang w:eastAsia="en-GB"/>
          <w14:ligatures w14:val="none"/>
        </w:rPr>
        <w:t>drone technologies evolve within months rather than decades</w:t>
      </w:r>
      <w:r>
        <w:rPr>
          <w:rStyle w:val="FootnoteReference"/>
          <w:rFonts w:ascii="Times New Roman" w:hAnsi="Times New Roman" w:cs="Times New Roman"/>
          <w:kern w:val="0"/>
          <w:lang w:eastAsia="en-GB"/>
          <w14:ligatures w14:val="none"/>
        </w:rPr>
        <w:footnoteReference w:id="48"/>
      </w:r>
      <w:r w:rsidRPr="002019AC">
        <w:rPr>
          <w:rFonts w:ascii="Times New Roman" w:hAnsi="Times New Roman" w:cs="Times New Roman"/>
          <w:kern w:val="0"/>
          <w:lang w:eastAsia="en-GB"/>
          <w14:ligatures w14:val="none"/>
        </w:rPr>
        <w:t>, while electronic warfare continuously drives adaptation in communications, autonomy and survivability.</w:t>
      </w:r>
      <w:r w:rsidRPr="00701D86">
        <w:t xml:space="preserve"> </w:t>
      </w:r>
      <w:r w:rsidRPr="00701D86">
        <w:rPr>
          <w:rFonts w:ascii="Times New Roman" w:hAnsi="Times New Roman" w:cs="Times New Roman"/>
          <w:kern w:val="0"/>
          <w:lang w:eastAsia="en-GB"/>
          <w14:ligatures w14:val="none"/>
        </w:rPr>
        <w:t>Such an approach better reflects the innovation cycles of civilian technology industries and ensures that Defence Forces capabilities remain operationally relevant despite constrained budgets</w:t>
      </w:r>
      <w:r>
        <w:rPr>
          <w:rFonts w:ascii="Times New Roman" w:hAnsi="Times New Roman" w:cs="Times New Roman"/>
          <w:kern w:val="0"/>
          <w:lang w:eastAsia="en-GB"/>
          <w14:ligatures w14:val="none"/>
        </w:rPr>
        <w:t>.</w:t>
      </w:r>
    </w:p>
    <w:bookmarkEnd w:id="5"/>
    <w:p w14:paraId="37D415A3"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701D86">
        <w:rPr>
          <w:rFonts w:ascii="Times New Roman" w:hAnsi="Times New Roman" w:cs="Times New Roman"/>
          <w:kern w:val="0"/>
          <w:lang w:eastAsia="en-GB"/>
          <w14:ligatures w14:val="none"/>
        </w:rPr>
        <w: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t>
      </w:r>
    </w:p>
    <w:p w14:paraId="5E4ED4B9"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11439421" w14:textId="77777777" w:rsidR="005B2D72"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bookmarkStart w:id="6" w:name="_Hlk235306840"/>
      <w:r>
        <w:rPr>
          <w:rFonts w:ascii="Times New Roman" w:hAnsi="Times New Roman" w:cs="Times New Roman"/>
          <w:b/>
          <w:bCs/>
          <w:kern w:val="0"/>
          <w:lang w:eastAsia="en-GB"/>
          <w14:ligatures w14:val="none"/>
        </w:rPr>
        <w:t>Agile Industrial Base</w:t>
      </w:r>
    </w:p>
    <w:p w14:paraId="68965E13" w14:textId="77777777" w:rsidR="005B2D72" w:rsidRPr="00B91553" w:rsidRDefault="005B2D72" w:rsidP="005B2D72">
      <w:pPr>
        <w:spacing w:after="0" w:line="360" w:lineRule="auto"/>
        <w:jc w:val="both"/>
        <w:rPr>
          <w:rFonts w:ascii="Times New Roman" w:hAnsi="Times New Roman" w:cs="Times New Roman"/>
          <w:kern w:val="0"/>
          <w:lang w:eastAsia="en-GB"/>
          <w14:ligatures w14:val="none"/>
        </w:rPr>
      </w:pPr>
      <w:r w:rsidRPr="00864011">
        <w:rPr>
          <w:rFonts w:ascii="Times New Roman" w:hAnsi="Times New Roman" w:cs="Times New Roman"/>
          <w:kern w:val="0"/>
          <w:lang w:eastAsia="en-GB"/>
          <w14:ligatures w14:val="none"/>
        </w:rPr>
        <w:t>Industrial engagement forms another essential pillar of credible policy. Effective military capability depends not only upon equipment quality but also upon the capacity to produce, maintain and replace systems at sufficient scale</w:t>
      </w:r>
      <w:r>
        <w:rPr>
          <w:rStyle w:val="FootnoteReference"/>
          <w:rFonts w:ascii="Times New Roman" w:hAnsi="Times New Roman" w:cs="Times New Roman"/>
          <w:kern w:val="0"/>
          <w:lang w:eastAsia="en-GB"/>
          <w14:ligatures w14:val="none"/>
        </w:rPr>
        <w:footnoteReference w:id="49"/>
      </w:r>
      <w:r w:rsidRPr="00864011">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Ireland should therefore strengthen partnerships between the Defence Forces, indigenous defence and technology companies, universities and research institutions to establish sustainable domestic capability in UxS</w:t>
      </w:r>
      <w:r>
        <w:rPr>
          <w:rStyle w:val="FootnoteReference"/>
          <w:rFonts w:ascii="Times New Roman" w:hAnsi="Times New Roman" w:cs="Times New Roman"/>
          <w:kern w:val="0"/>
          <w:lang w:eastAsia="en-GB"/>
          <w14:ligatures w14:val="none"/>
        </w:rPr>
        <w:footnoteReference w:id="50"/>
      </w:r>
      <w:r w:rsidRPr="00B91553">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Indigenous production enhances strategic resilience, reduces dependence on overseas suppliers</w:t>
      </w:r>
      <w:r>
        <w:rPr>
          <w:rStyle w:val="FootnoteReference"/>
          <w:rFonts w:ascii="Times New Roman" w:hAnsi="Times New Roman" w:cs="Times New Roman"/>
          <w:kern w:val="0"/>
          <w:lang w:eastAsia="en-GB"/>
          <w14:ligatures w14:val="none"/>
        </w:rPr>
        <w:footnoteReference w:id="51"/>
      </w:r>
      <w:r w:rsidRPr="00B91553">
        <w:rPr>
          <w:rFonts w:ascii="Times New Roman" w:hAnsi="Times New Roman" w:cs="Times New Roman"/>
          <w:kern w:val="0"/>
          <w:lang w:eastAsia="en-GB"/>
          <w14:ligatures w14:val="none"/>
        </w:rPr>
        <w:t xml:space="preserve"> and creates opportunities for innovation within Ireland's expanding technology sector.</w:t>
      </w:r>
    </w:p>
    <w:p w14:paraId="6BA3DF8F" w14:textId="77777777" w:rsidR="005B2D72" w:rsidRPr="00B91553" w:rsidRDefault="005B2D72" w:rsidP="005B2D72">
      <w:pPr>
        <w:spacing w:after="0" w:line="360" w:lineRule="auto"/>
        <w:jc w:val="both"/>
        <w:rPr>
          <w:rFonts w:ascii="Times New Roman" w:hAnsi="Times New Roman" w:cs="Times New Roman"/>
          <w:kern w:val="0"/>
          <w:lang w:eastAsia="en-GB"/>
          <w14:ligatures w14:val="none"/>
        </w:rPr>
      </w:pPr>
      <w:r w:rsidRPr="002019AC">
        <w:rPr>
          <w:rFonts w:ascii="Times New Roman" w:hAnsi="Times New Roman" w:cs="Times New Roman"/>
          <w:kern w:val="0"/>
          <w:lang w:eastAsia="en-GB"/>
          <w14:ligatures w14:val="none"/>
        </w:rPr>
        <w:lastRenderedPageBreak/>
        <w:t>The Ukraine conflict has demonstrated that affordable mass frequently outweighs exquisite capability when attrition is high</w:t>
      </w:r>
      <w:r>
        <w:rPr>
          <w:rStyle w:val="FootnoteReference"/>
          <w:rFonts w:ascii="Times New Roman" w:hAnsi="Times New Roman" w:cs="Times New Roman"/>
          <w:kern w:val="0"/>
          <w:lang w:eastAsia="en-GB"/>
          <w14:ligatures w14:val="none"/>
        </w:rPr>
        <w:footnoteReference w:id="52"/>
      </w:r>
      <w:r w:rsidRPr="002019AC">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Close civil-military cooperation will enable the rapid adoption of commercial innovations, creating a resilient and scalable smart mass of autonomous systems that can evolve to meet emerging operational requirements.</w:t>
      </w:r>
    </w:p>
    <w:p w14:paraId="08C456EE" w14:textId="77777777" w:rsidR="005B2D72" w:rsidRPr="002019AC" w:rsidRDefault="005B2D72" w:rsidP="005B2D72">
      <w:pPr>
        <w:spacing w:after="0" w:line="360" w:lineRule="auto"/>
        <w:jc w:val="both"/>
        <w:rPr>
          <w:rFonts w:ascii="Times New Roman" w:hAnsi="Times New Roman" w:cs="Times New Roman"/>
          <w:b/>
          <w:bCs/>
          <w:kern w:val="0"/>
          <w:lang w:eastAsia="en-GB"/>
          <w14:ligatures w14:val="none"/>
        </w:rPr>
      </w:pPr>
    </w:p>
    <w:p w14:paraId="6F47A42D" w14:textId="77777777" w:rsidR="005B2D72" w:rsidRPr="00661CA9" w:rsidRDefault="005B2D72" w:rsidP="005B2D72">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t>However, to be successful this must be properly resourced. T</w:t>
      </w:r>
      <w:r w:rsidRPr="00661CA9">
        <w:rPr>
          <w:rFonts w:ascii="Times New Roman" w:hAnsi="Times New Roman" w:cs="Times New Roman"/>
          <w:kern w:val="0"/>
          <w:lang w:eastAsia="en-GB"/>
          <w14:ligatures w14:val="none"/>
        </w:rPr>
        <w:t>here must be effective resourcing allocated to the generation of capability or industry will not be incentivised to support its implementation</w:t>
      </w:r>
      <w:r>
        <w:rPr>
          <w:rStyle w:val="FootnoteReference"/>
          <w:rFonts w:ascii="Times New Roman" w:hAnsi="Times New Roman" w:cs="Times New Roman"/>
          <w:kern w:val="0"/>
          <w:lang w:eastAsia="en-GB"/>
          <w14:ligatures w14:val="none"/>
        </w:rPr>
        <w:footnoteReference w:id="53"/>
      </w:r>
      <w:r w:rsidRPr="00661CA9">
        <w:rPr>
          <w:rFonts w:ascii="Times New Roman" w:hAnsi="Times New Roman" w:cs="Times New Roman"/>
          <w:kern w:val="0"/>
          <w:lang w:eastAsia="en-GB"/>
          <w14:ligatures w14:val="none"/>
        </w:rPr>
        <w:t>.</w:t>
      </w:r>
    </w:p>
    <w:bookmarkEnd w:id="6"/>
    <w:p w14:paraId="2A7249A3" w14:textId="77777777" w:rsidR="005B2D72" w:rsidRPr="000141E7" w:rsidRDefault="005B2D72" w:rsidP="005B2D72">
      <w:pPr>
        <w:pStyle w:val="ListParagraph"/>
        <w:spacing w:after="0" w:line="360" w:lineRule="auto"/>
        <w:ind w:left="0"/>
        <w:jc w:val="both"/>
        <w:rPr>
          <w:rFonts w:ascii="Times New Roman" w:hAnsi="Times New Roman" w:cs="Times New Roman"/>
          <w:kern w:val="0"/>
          <w:lang w:eastAsia="en-GB"/>
          <w14:ligatures w14:val="none"/>
        </w:rPr>
      </w:pPr>
      <w:r w:rsidRPr="000141E7">
        <w:rPr>
          <w:rFonts w:ascii="Times New Roman" w:hAnsi="Times New Roman" w:cs="Times New Roman"/>
          <w:kern w:val="0"/>
          <w:lang w:eastAsia="en-GB"/>
          <w14:ligatures w14:val="none"/>
        </w:rPr>
        <w: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t>
      </w:r>
    </w:p>
    <w:p w14:paraId="7D7FAC48"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26013D98" w14:textId="77777777" w:rsidR="005B2D72"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r w:rsidRPr="00682543">
        <w:rPr>
          <w:rFonts w:ascii="Times New Roman" w:hAnsi="Times New Roman" w:cs="Times New Roman"/>
          <w:b/>
          <w:bCs/>
          <w:kern w:val="0"/>
          <w:lang w:eastAsia="en-GB"/>
          <w14:ligatures w14:val="none"/>
        </w:rPr>
        <w:t>The Multi-Stakeholder Approach.</w:t>
      </w:r>
    </w:p>
    <w:p w14:paraId="18A4B861" w14:textId="77777777" w:rsidR="005B2D72"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Pr>
          <w:rFonts w:ascii="Times New Roman" w:hAnsi="Times New Roman" w:cs="Times New Roman"/>
          <w:b/>
          <w:bCs/>
          <w:kern w:val="0"/>
          <w:lang w:eastAsia="en-GB"/>
          <w14:ligatures w14:val="none"/>
        </w:rPr>
        <w:t>Civil-Mil Cooperation</w:t>
      </w:r>
    </w:p>
    <w:p w14:paraId="024211A5"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Defence transformation cannot occur solely within military institutions. The successful integration of new ideas and technology requires a genuinely multi-stakeholder approach</w:t>
      </w:r>
      <w:r>
        <w:rPr>
          <w:rStyle w:val="FootnoteReference"/>
          <w:rFonts w:ascii="Times New Roman" w:hAnsi="Times New Roman" w:cs="Times New Roman"/>
          <w:kern w:val="0"/>
          <w:lang w:eastAsia="en-GB"/>
          <w14:ligatures w14:val="none"/>
        </w:rPr>
        <w:footnoteReference w:id="54"/>
      </w:r>
      <w:r w:rsidRPr="004042A2">
        <w:rPr>
          <w:rFonts w:ascii="Times New Roman" w:hAnsi="Times New Roman" w:cs="Times New Roman"/>
          <w:kern w:val="0"/>
          <w:lang w:eastAsia="en-GB"/>
          <w14:ligatures w14:val="none"/>
        </w:rPr>
        <w:t>.</w:t>
      </w:r>
    </w:p>
    <w:p w14:paraId="3BABA775"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4343F60B" w14:textId="77777777" w:rsidR="005B2D72" w:rsidRPr="00F0039E"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Political leadership, government departments, academia, industry and regulatory authorities must all contribute to capability development</w:t>
      </w:r>
      <w:r>
        <w:rPr>
          <w:rStyle w:val="FootnoteReference"/>
          <w:rFonts w:ascii="Times New Roman" w:hAnsi="Times New Roman" w:cs="Times New Roman"/>
          <w:kern w:val="0"/>
          <w:lang w:eastAsia="en-GB"/>
          <w14:ligatures w14:val="none"/>
        </w:rPr>
        <w:footnoteReference w:id="55"/>
      </w:r>
      <w:r w:rsidRPr="004042A2">
        <w:rPr>
          <w:rFonts w:ascii="Times New Roman" w:hAnsi="Times New Roman" w:cs="Times New Roman"/>
          <w:kern w:val="0"/>
          <w:lang w:eastAsia="en-GB"/>
          <w14:ligatures w14:val="none"/>
        </w:rPr>
        <w:t xml:space="preserve">. </w:t>
      </w:r>
      <w:r w:rsidRPr="00F0039E">
        <w:rPr>
          <w:rFonts w:ascii="Times New Roman" w:hAnsi="Times New Roman" w:cs="Times New Roman"/>
          <w:kern w:val="0"/>
          <w:lang w:eastAsia="en-GB"/>
          <w14:ligatures w14:val="none"/>
        </w:rPr>
        <w:t>Such collaboration avoids organisational silos while ensuring that ethical, legal, financial and operational considerations develop together.</w:t>
      </w:r>
    </w:p>
    <w:p w14:paraId="2142D9DE" w14:textId="77777777" w:rsidR="005B2D72" w:rsidRDefault="005B2D72" w:rsidP="005B2D72">
      <w:pPr>
        <w:pStyle w:val="ListParagraph"/>
        <w:spacing w:after="0" w:line="360" w:lineRule="auto"/>
        <w:ind w:left="1440"/>
        <w:jc w:val="both"/>
        <w:rPr>
          <w:rFonts w:ascii="Times New Roman" w:hAnsi="Times New Roman" w:cs="Times New Roman"/>
          <w:b/>
          <w:bCs/>
          <w:kern w:val="0"/>
          <w:lang w:eastAsia="en-GB"/>
          <w14:ligatures w14:val="none"/>
        </w:rPr>
      </w:pPr>
    </w:p>
    <w:p w14:paraId="1CACD345" w14:textId="77777777" w:rsidR="005B2D72"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Pr>
          <w:rFonts w:ascii="Times New Roman" w:hAnsi="Times New Roman" w:cs="Times New Roman"/>
          <w:b/>
          <w:bCs/>
          <w:kern w:val="0"/>
          <w:lang w:eastAsia="en-GB"/>
          <w14:ligatures w14:val="none"/>
        </w:rPr>
        <w:t>Transparent Governance and Oversight</w:t>
      </w:r>
    </w:p>
    <w:p w14:paraId="2D31CBB2"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Civilian oversight is particularly important given the political sensitivities surrounding autonomy</w:t>
      </w:r>
      <w:r>
        <w:rPr>
          <w:rFonts w:ascii="Times New Roman" w:hAnsi="Times New Roman" w:cs="Times New Roman"/>
          <w:kern w:val="0"/>
          <w:lang w:eastAsia="en-GB"/>
          <w14:ligatures w14:val="none"/>
        </w:rPr>
        <w:t xml:space="preserve"> </w:t>
      </w:r>
      <w:r w:rsidRPr="004042A2">
        <w:rPr>
          <w:rFonts w:ascii="Times New Roman" w:hAnsi="Times New Roman" w:cs="Times New Roman"/>
          <w:kern w:val="0"/>
          <w:lang w:eastAsia="en-GB"/>
          <w14:ligatures w14:val="none"/>
        </w:rPr>
        <w:t>and military neutrality</w:t>
      </w:r>
      <w:r>
        <w:rPr>
          <w:rStyle w:val="FootnoteReference"/>
          <w:rFonts w:ascii="Times New Roman" w:hAnsi="Times New Roman" w:cs="Times New Roman"/>
          <w:kern w:val="0"/>
          <w:lang w:eastAsia="en-GB"/>
          <w14:ligatures w14:val="none"/>
        </w:rPr>
        <w:footnoteReference w:id="56"/>
      </w:r>
      <w:r w:rsidRPr="004042A2">
        <w:rPr>
          <w:rFonts w:ascii="Times New Roman" w:hAnsi="Times New Roman" w:cs="Times New Roman"/>
          <w:kern w:val="0"/>
          <w:lang w:eastAsia="en-GB"/>
          <w14:ligatures w14:val="none"/>
        </w:rPr>
        <w:t xml:space="preserve">. </w:t>
      </w:r>
    </w:p>
    <w:p w14:paraId="6A602608"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59FEDDB" w14:textId="77777777" w:rsidR="005B2D7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Transparent governance strengthens public confidence that autonomous systems</w:t>
      </w:r>
      <w:r>
        <w:rPr>
          <w:rStyle w:val="FootnoteReference"/>
          <w:rFonts w:ascii="Times New Roman" w:hAnsi="Times New Roman" w:cs="Times New Roman"/>
          <w:kern w:val="0"/>
          <w:lang w:eastAsia="en-GB"/>
          <w14:ligatures w14:val="none"/>
        </w:rPr>
        <w:footnoteReference w:id="57"/>
      </w:r>
      <w:r w:rsidRPr="004042A2">
        <w:rPr>
          <w:rFonts w:ascii="Times New Roman" w:hAnsi="Times New Roman" w:cs="Times New Roman"/>
          <w:kern w:val="0"/>
          <w:lang w:eastAsia="en-GB"/>
          <w14:ligatures w14:val="none"/>
        </w:rPr>
        <w:t xml:space="preserve"> are enhancing national resilience rather than fundamentally altering Ireland's defence posture.</w:t>
      </w:r>
    </w:p>
    <w:p w14:paraId="6374A214"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C7AC9F6"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5DA29D09" w14:textId="77777777" w:rsidR="005B2D72" w:rsidRPr="004042A2" w:rsidRDefault="005B2D72" w:rsidP="005B2D72">
      <w:p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Sub Conclusion</w:t>
      </w:r>
    </w:p>
    <w:p w14:paraId="426F44BA"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41AC60F9"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0D10FC4A"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5FAB4F77" w14:textId="77777777" w:rsidR="005B2D72" w:rsidRPr="00E54252" w:rsidRDefault="005B2D72" w:rsidP="005B2D72">
      <w:pPr>
        <w:spacing w:after="0" w:line="360" w:lineRule="auto"/>
        <w:jc w:val="both"/>
        <w:rPr>
          <w:rFonts w:ascii="Times New Roman" w:hAnsi="Times New Roman" w:cs="Times New Roman"/>
          <w:b/>
          <w:bCs/>
          <w:kern w:val="0"/>
          <w:lang w:eastAsia="en-GB"/>
          <w14:ligatures w14:val="none"/>
        </w:rPr>
      </w:pPr>
      <w:r w:rsidRPr="00E54252">
        <w:rPr>
          <w:rFonts w:ascii="Times New Roman" w:hAnsi="Times New Roman" w:cs="Times New Roman"/>
          <w:b/>
          <w:bCs/>
          <w:kern w:val="0"/>
          <w:lang w:eastAsia="en-GB"/>
          <w14:ligatures w14:val="none"/>
        </w:rPr>
        <w:t>Challenges to Credible Integration.</w:t>
      </w:r>
    </w:p>
    <w:p w14:paraId="4A1464FE"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 xml:space="preserve">Nevertheless, significant constraints remain. </w:t>
      </w:r>
    </w:p>
    <w:p w14:paraId="0B73392C"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Recruitment and Retention</w:t>
      </w:r>
    </w:p>
    <w:p w14:paraId="5E64F8BE"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Chronic recruitment and retention difficulties continue to challenge Defence Forces modernisation</w:t>
      </w:r>
      <w:r w:rsidRPr="00E54252">
        <w:rPr>
          <w:rFonts w:ascii="Times New Roman" w:hAnsi="Times New Roman" w:cs="Times New Roman"/>
          <w:kern w:val="0"/>
          <w:vertAlign w:val="superscript"/>
          <w:lang w:eastAsia="en-GB"/>
          <w14:ligatures w14:val="none"/>
        </w:rPr>
        <w:footnoteReference w:id="58"/>
      </w:r>
      <w:r w:rsidRPr="00E54252">
        <w:rPr>
          <w:rFonts w:ascii="Times New Roman" w:hAnsi="Times New Roman" w:cs="Times New Roman"/>
          <w:kern w:val="0"/>
          <w:lang w:eastAsia="en-GB"/>
          <w14:ligatures w14:val="none"/>
        </w:rPr>
        <w:t xml:space="preserve">. </w:t>
      </w:r>
    </w:p>
    <w:p w14:paraId="62A76DDC"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Institutional Inertia</w:t>
      </w:r>
    </w:p>
    <w:p w14:paraId="4C2E6CC9"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Procurement processes are often slow and risk-averse, while sustained political commitment to increased defence expenditure cannot be assumed</w:t>
      </w:r>
      <w:r w:rsidRPr="00E54252">
        <w:rPr>
          <w:rFonts w:ascii="Times New Roman" w:hAnsi="Times New Roman" w:cs="Times New Roman"/>
          <w:kern w:val="0"/>
          <w:vertAlign w:val="superscript"/>
          <w:lang w:eastAsia="en-GB"/>
          <w14:ligatures w14:val="none"/>
        </w:rPr>
        <w:footnoteReference w:id="59"/>
      </w:r>
      <w:r w:rsidRPr="00E54252">
        <w:rPr>
          <w:rFonts w:ascii="Times New Roman" w:hAnsi="Times New Roman" w:cs="Times New Roman"/>
          <w:kern w:val="0"/>
          <w:lang w:eastAsia="en-GB"/>
          <w14:ligatures w14:val="none"/>
        </w:rPr>
        <w:t xml:space="preserve">. </w:t>
      </w:r>
    </w:p>
    <w:p w14:paraId="2C102905"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Ethical Concerns</w:t>
      </w:r>
    </w:p>
    <w:p w14:paraId="03028208"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Ethical concerns surrounding autonomous systems require careful policy development, particularly where lethal capabilities are considered</w:t>
      </w:r>
      <w:r w:rsidRPr="00E54252">
        <w:rPr>
          <w:rFonts w:ascii="Times New Roman" w:hAnsi="Times New Roman" w:cs="Times New Roman"/>
          <w:kern w:val="0"/>
          <w:vertAlign w:val="superscript"/>
          <w:lang w:eastAsia="en-GB"/>
          <w14:ligatures w14:val="none"/>
        </w:rPr>
        <w:footnoteReference w:id="60"/>
      </w:r>
      <w:r w:rsidRPr="00E54252">
        <w:rPr>
          <w:rFonts w:ascii="Times New Roman" w:hAnsi="Times New Roman" w:cs="Times New Roman"/>
          <w:kern w:val="0"/>
          <w:lang w:eastAsia="en-GB"/>
          <w14:ligatures w14:val="none"/>
        </w:rPr>
        <w:t xml:space="preserve">. </w:t>
      </w:r>
    </w:p>
    <w:p w14:paraId="12431EE3"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Industrial Capacity</w:t>
      </w:r>
    </w:p>
    <w:p w14:paraId="3404A3DD"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Ireland's relatively small industrial base may also limit domestic production without substantial collaboration with European partners</w:t>
      </w:r>
      <w:r w:rsidRPr="00E54252">
        <w:rPr>
          <w:rFonts w:ascii="Times New Roman" w:hAnsi="Times New Roman" w:cs="Times New Roman"/>
          <w:kern w:val="0"/>
          <w:vertAlign w:val="superscript"/>
          <w:lang w:eastAsia="en-GB"/>
          <w14:ligatures w14:val="none"/>
        </w:rPr>
        <w:footnoteReference w:id="61"/>
      </w:r>
      <w:r w:rsidRPr="00E54252">
        <w:rPr>
          <w:rFonts w:ascii="Times New Roman" w:hAnsi="Times New Roman" w:cs="Times New Roman"/>
          <w:kern w:val="0"/>
          <w:lang w:eastAsia="en-GB"/>
          <w14:ligatures w14:val="none"/>
        </w:rPr>
        <w:t xml:space="preserve">. </w:t>
      </w:r>
    </w:p>
    <w:p w14:paraId="310F2503"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2D0BA1C2"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324955C3" w14:textId="77777777" w:rsidR="005B2D72" w:rsidRPr="00E54252" w:rsidRDefault="005B2D72" w:rsidP="005B2D72">
      <w:p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Section Conclusion</w:t>
      </w:r>
    </w:p>
    <w:p w14:paraId="426BDBDA" w14:textId="77777777" w:rsidR="005B2D72" w:rsidRPr="007356BC" w:rsidRDefault="005B2D72" w:rsidP="005B2D72">
      <w:pPr>
        <w:spacing w:after="0" w:line="360" w:lineRule="auto"/>
        <w:jc w:val="both"/>
        <w:rPr>
          <w:rFonts w:ascii="Times New Roman" w:hAnsi="Times New Roman" w:cs="Times New Roman"/>
          <w:kern w:val="0"/>
          <w:highlight w:val="yellow"/>
          <w:lang w:eastAsia="en-GB"/>
          <w14:ligatures w14:val="none"/>
        </w:rPr>
      </w:pPr>
      <w:r w:rsidRPr="00E54252">
        <w:rPr>
          <w:rFonts w:ascii="Times New Roman" w:hAnsi="Times New Roman" w:cs="Times New Roman"/>
          <w:b/>
          <w:bCs/>
          <w:color w:val="FF0000"/>
          <w:kern w:val="0"/>
          <w:lang w:eastAsia="en-GB"/>
          <w14:ligatures w14:val="none"/>
        </w:rPr>
        <w:t>Ultimately, the credibility of UxS integration within Irish defence policy will not be determined by the sophistication of the technology itself but by the effectiveness of the institutions that adopt it.</w:t>
      </w:r>
      <w:r w:rsidRPr="00E54252">
        <w:rPr>
          <w:rFonts w:ascii="Times New Roman" w:hAnsi="Times New Roman" w:cs="Times New Roman"/>
          <w:color w:val="FF0000"/>
          <w:kern w:val="0"/>
          <w:lang w:eastAsia="en-GB"/>
          <w14:ligatures w14:val="none"/>
        </w:rPr>
        <w:t xml:space="preserve"> </w:t>
      </w:r>
      <w:r w:rsidRPr="00E54252">
        <w:rPr>
          <w:rFonts w:ascii="Times New Roman" w:hAnsi="Times New Roman" w:cs="Times New Roman"/>
          <w:color w:val="FFC000"/>
          <w:kern w:val="0"/>
          <w:lang w:eastAsia="en-GB"/>
          <w14:ligatures w14:val="none"/>
        </w:rPr>
        <w:t xml:space="preserve">Recognition of disruptive military change, coherent operational </w:t>
      </w:r>
      <w:r w:rsidRPr="00E54252">
        <w:rPr>
          <w:rFonts w:ascii="Times New Roman" w:hAnsi="Times New Roman" w:cs="Times New Roman"/>
          <w:color w:val="FFC000"/>
          <w:kern w:val="0"/>
          <w:lang w:eastAsia="en-GB"/>
          <w14:ligatures w14:val="none"/>
        </w:rPr>
        <w:lastRenderedPageBreak/>
        <w:t>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r w:rsidRPr="00A15F28">
        <w:rPr>
          <w:rFonts w:ascii="Times New Roman" w:hAnsi="Times New Roman" w:cs="Times New Roman"/>
          <w:b/>
          <w:bCs/>
          <w:kern w:val="0"/>
          <w:lang w:eastAsia="en-GB"/>
          <w14:ligatures w14:val="none"/>
        </w:rPr>
        <w:t xml:space="preserve"> </w:t>
      </w:r>
      <w:r w:rsidRPr="00E54252">
        <w:rPr>
          <w:rFonts w:ascii="Times New Roman" w:hAnsi="Times New Roman" w:cs="Times New Roman"/>
          <w:b/>
          <w:bCs/>
          <w:kern w:val="0"/>
          <w:lang w:eastAsia="en-GB"/>
          <w14:ligatures w14:val="none"/>
        </w:rPr>
        <w:t>Within Irish defence policy, a UxS enabled light infantry denial posture therefore occupies an important middle ground between symbolic defence and conventional deterrence.</w:t>
      </w:r>
      <w:r w:rsidRPr="00E54252">
        <w:rPr>
          <w:rFonts w:ascii="Times New Roman" w:hAnsi="Times New Roman" w:cs="Times New Roman"/>
          <w:kern w:val="0"/>
          <w:lang w:eastAsia="en-GB"/>
          <w14:ligatures w14:val="none"/>
        </w:rPr>
        <w:t xml:space="preserve"> </w:t>
      </w:r>
    </w:p>
    <w:p w14:paraId="3EDE1502"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68D8CD42" w14:textId="77777777" w:rsidR="005B2D72" w:rsidRDefault="005B2D72" w:rsidP="005B2D72"/>
    <w:p w14:paraId="6AB33CE5" w14:textId="77777777" w:rsidR="00F1387E" w:rsidRPr="00F1387E" w:rsidRDefault="00F1387E" w:rsidP="00F1387E"/>
    <w:p w14:paraId="79340989" w14:textId="77777777" w:rsidR="00F1387E" w:rsidRPr="00F1387E" w:rsidRDefault="00F1387E" w:rsidP="00F1387E">
      <w:pPr>
        <w:keepNext/>
        <w:keepLines/>
        <w:spacing w:before="160" w:after="80"/>
        <w:outlineLvl w:val="1"/>
        <w:rPr>
          <w:rFonts w:asciiTheme="majorHAnsi" w:eastAsiaTheme="majorEastAsia" w:hAnsiTheme="majorHAnsi" w:cstheme="majorBidi"/>
          <w:color w:val="0F4761" w:themeColor="accent1" w:themeShade="BF"/>
          <w:sz w:val="32"/>
          <w:szCs w:val="32"/>
        </w:rPr>
      </w:pPr>
      <w:r w:rsidRPr="00F1387E">
        <w:rPr>
          <w:rFonts w:asciiTheme="majorHAnsi" w:eastAsiaTheme="majorEastAsia" w:hAnsiTheme="majorHAnsi" w:cstheme="majorBidi"/>
          <w:color w:val="0F4761" w:themeColor="accent1" w:themeShade="BF"/>
          <w:sz w:val="32"/>
          <w:szCs w:val="32"/>
        </w:rPr>
        <w:t>Conclusion</w:t>
      </w:r>
    </w:p>
    <w:p w14:paraId="5C5EBFA2" w14:textId="77777777" w:rsidR="00F1387E" w:rsidRPr="00F1387E" w:rsidRDefault="00F1387E" w:rsidP="00F1387E">
      <w:r w:rsidRPr="00F1387E">
        <w: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42F6ECA3" w:rsidR="00A83B70" w:rsidRDefault="00E80E03" w:rsidP="005E2FA4">
      <w:r>
        <w:t>[]</w:t>
      </w:r>
    </w:p>
    <w:p w14:paraId="15E10228" w14:textId="77777777" w:rsidR="00A83B70" w:rsidRDefault="00A83B70">
      <w:r>
        <w:br w:type="page"/>
      </w:r>
    </w:p>
    <w:p w14:paraId="416E63C9" w14:textId="77777777" w:rsidR="005E2FA4" w:rsidRPr="005E2FA4" w:rsidRDefault="005E2FA4" w:rsidP="005E2FA4"/>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767C3" w14:textId="77777777" w:rsidR="008C4FDB" w:rsidRDefault="008C4FDB" w:rsidP="008F41DA">
      <w:pPr>
        <w:spacing w:after="0" w:line="240" w:lineRule="auto"/>
      </w:pPr>
      <w:r>
        <w:separator/>
      </w:r>
    </w:p>
  </w:endnote>
  <w:endnote w:type="continuationSeparator" w:id="0">
    <w:p w14:paraId="79BB65BB" w14:textId="77777777" w:rsidR="008C4FDB" w:rsidRDefault="008C4FDB"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37763" w14:textId="77777777" w:rsidR="008C4FDB" w:rsidRDefault="008C4FDB" w:rsidP="008F41DA">
      <w:pPr>
        <w:spacing w:after="0" w:line="240" w:lineRule="auto"/>
      </w:pPr>
      <w:r>
        <w:separator/>
      </w:r>
    </w:p>
  </w:footnote>
  <w:footnote w:type="continuationSeparator" w:id="0">
    <w:p w14:paraId="56B72FFA" w14:textId="77777777" w:rsidR="008C4FDB" w:rsidRDefault="008C4FDB"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77777777" w:rsidR="00BA458A" w:rsidRDefault="00BA458A" w:rsidP="00BA458A">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77777777" w:rsidR="00BA458A" w:rsidRPr="00542C4A" w:rsidRDefault="00BA458A" w:rsidP="00BA458A">
      <w:pPr>
        <w:pStyle w:val="FootnoteText"/>
      </w:pPr>
      <w:r>
        <w:rPr>
          <w:rStyle w:val="FootnoteReference"/>
        </w:rPr>
        <w:footnoteRef/>
      </w:r>
      <w:r>
        <w:t xml:space="preserve"> </w:t>
      </w:r>
      <w:r w:rsidRPr="0002433E">
        <w:t>O'Dea, W. (Minister for Defence). Contribution to Written Answers. Dáil Éireann Debates, Vol. 606, No. 2, 29 September 2005. Dublin: Houses of the Oireachtas, 2005. Available at: https://www.oireachtas.ie/en/debates/debate/dail/2005-09-29/37/ (accessed 24 June 2026).</w:t>
      </w:r>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60474D84" w14:textId="77777777" w:rsidR="005B2D72" w:rsidRDefault="005B2D72" w:rsidP="005B2D72">
      <w:pPr>
        <w:pStyle w:val="FootnoteText"/>
      </w:pPr>
      <w:r>
        <w:rPr>
          <w:rStyle w:val="FootnoteReference"/>
        </w:rPr>
        <w:footnoteRef/>
      </w:r>
      <w:r>
        <w:t xml:space="preserve"> Mick Ryan and Clint Hinote. ‘Uncrewed Systems and the Transformation of the U.S. Warfighting Capacity’. War on the Rocks. February 2024. </w:t>
      </w:r>
      <w:hyperlink r:id="rId23" w:history="1">
        <w:r w:rsidRPr="00045FE5">
          <w:rPr>
            <w:rStyle w:val="Hyperlink"/>
          </w:rPr>
          <w:t>https://warontherosks.com/uncrewed-systems-and-the-transformation-of-u-s-warfighting-capacity/</w:t>
        </w:r>
      </w:hyperlink>
      <w:r>
        <w:t xml:space="preserve">. Accessed 06 July 2026. </w:t>
      </w:r>
    </w:p>
  </w:footnote>
  <w:footnote w:id="25">
    <w:p w14:paraId="2A75BA6A" w14:textId="77777777" w:rsidR="005B2D72" w:rsidRPr="004042A2" w:rsidRDefault="005B2D72" w:rsidP="005B2D72">
      <w:pPr>
        <w:pStyle w:val="FootnoteText"/>
        <w:ind w:right="-1180"/>
        <w:rPr>
          <w:lang w:val="en-GB"/>
        </w:rPr>
      </w:pPr>
      <w:r>
        <w:rPr>
          <w:rStyle w:val="FootnoteReference"/>
        </w:rPr>
        <w:footnoteRef/>
      </w:r>
      <w:r>
        <w:t xml:space="preserve"> Barry Posen. ‘The Sources of Military Doctrine’. Cornell University Press. 1984.</w:t>
      </w:r>
      <w:hyperlink r:id="rId24" w:history="1">
        <w:r w:rsidRPr="003F4590">
          <w:rPr>
            <w:rStyle w:val="Hyperlink"/>
          </w:rPr>
          <w:t>https://www.jstor.org/stable/10.7591/j.ctt1287fp3</w:t>
        </w:r>
      </w:hyperlink>
      <w:r>
        <w:t>. Accessed on 18 July 2026.</w:t>
      </w:r>
    </w:p>
  </w:footnote>
  <w:footnote w:id="26">
    <w:p w14:paraId="017D38D9" w14:textId="77777777" w:rsidR="005B2D72" w:rsidRPr="000B2EA9" w:rsidRDefault="005B2D72" w:rsidP="005B2D72">
      <w:pPr>
        <w:pStyle w:val="FootnoteText"/>
        <w:rPr>
          <w:lang w:val="en-GB"/>
        </w:rPr>
      </w:pPr>
      <w:r>
        <w:rPr>
          <w:rStyle w:val="FootnoteReference"/>
        </w:rPr>
        <w:footnoteRef/>
      </w:r>
      <w:r>
        <w:t xml:space="preserve"> Eoin McNamara. ‘Ireland’s Defence Deficit’. RUSI. December 2022. </w:t>
      </w:r>
      <w:hyperlink r:id="rId25" w:history="1">
        <w:r w:rsidRPr="003F4590">
          <w:rPr>
            <w:rStyle w:val="Hyperlink"/>
          </w:rPr>
          <w:t>https://www.rusi.org/explore-our-research/publications/commentary/irelands-defence-deficit</w:t>
        </w:r>
      </w:hyperlink>
      <w:r>
        <w:t xml:space="preserve">. Accessed 14 July 2026. </w:t>
      </w:r>
    </w:p>
  </w:footnote>
  <w:footnote w:id="27">
    <w:p w14:paraId="3BFA831F" w14:textId="77777777" w:rsidR="005B2D72" w:rsidRPr="007A65FE" w:rsidRDefault="005B2D72" w:rsidP="005B2D72">
      <w:pPr>
        <w:pStyle w:val="FootnoteText"/>
      </w:pPr>
      <w:r>
        <w:rPr>
          <w:rStyle w:val="FootnoteReference"/>
        </w:rPr>
        <w:footnoteRef/>
      </w:r>
      <w:r>
        <w:t xml:space="preserve"> David Kirichenko. ‘Ukraine’s robot army will be crucial in 2026 but drones can’t replace infantry’. January 2026.</w:t>
      </w:r>
      <w:r w:rsidRPr="007A65FE">
        <w:t xml:space="preserve"> </w:t>
      </w:r>
      <w:hyperlink r:id="rId26" w:history="1">
        <w:r w:rsidRPr="003F4590">
          <w:rPr>
            <w:rStyle w:val="Hyperlink"/>
          </w:rPr>
          <w:t>https://www.atlanticcouncil.org/blogs/ukrainealert/ukraines-robot-army-will-be-crucial-in-2026-but-drones-cant-replace-infantry/</w:t>
        </w:r>
      </w:hyperlink>
      <w:r>
        <w:t>. Accessed 15 July 2026.</w:t>
      </w:r>
    </w:p>
  </w:footnote>
  <w:footnote w:id="28">
    <w:p w14:paraId="14850F23" w14:textId="77777777" w:rsidR="005B2D72" w:rsidRPr="00997051" w:rsidRDefault="005B2D72" w:rsidP="005B2D72">
      <w:pPr>
        <w:pStyle w:val="FootnoteText"/>
        <w:rPr>
          <w:lang w:val="en-GB"/>
        </w:rPr>
      </w:pPr>
      <w:r>
        <w:rPr>
          <w:rStyle w:val="FootnoteReference"/>
        </w:rPr>
        <w:footnoteRef/>
      </w:r>
      <w:r>
        <w:t xml:space="preserve"> Kyaw Jaw Sine Marmw. </w:t>
      </w:r>
      <w:r w:rsidRPr="00997051">
        <w:rPr>
          <w:lang w:val="en-GB"/>
        </w:rPr>
        <w:t>‘Tech Blitzkrieg: Drone Warfare and the Transformation of</w:t>
      </w:r>
      <w:r>
        <w:rPr>
          <w:lang w:val="en-GB"/>
        </w:rPr>
        <w:t xml:space="preserve"> Maneuver’. Modern Diplomacy. July 2026. </w:t>
      </w:r>
      <w:hyperlink r:id="rId27" w:history="1">
        <w:r w:rsidRPr="003F4590">
          <w:rPr>
            <w:rStyle w:val="Hyperlink"/>
            <w:lang w:val="en-GB"/>
          </w:rPr>
          <w:t>https://moderndiplomacy.eu/2026/07/16/tech-blitzkrieg-drone-warfare-and-the-transformation-of-maneuver/</w:t>
        </w:r>
      </w:hyperlink>
      <w:r>
        <w:rPr>
          <w:lang w:val="en-GB"/>
        </w:rPr>
        <w:t>. Accessed on 18 July 2026.</w:t>
      </w:r>
    </w:p>
  </w:footnote>
  <w:footnote w:id="29">
    <w:p w14:paraId="4FA26C9C" w14:textId="77777777" w:rsidR="005B2D72" w:rsidRDefault="005B2D72" w:rsidP="005B2D72">
      <w:pPr>
        <w:pStyle w:val="FootnoteText"/>
      </w:pPr>
      <w:r>
        <w:rPr>
          <w:rStyle w:val="FootnoteReference"/>
        </w:rPr>
        <w:footnoteRef/>
      </w:r>
      <w:r>
        <w:t xml:space="preserve"> Paul Franklin. ‘Defence Tech is no longer niche – it’s institutional’. Primary Markets. June 2026. </w:t>
      </w:r>
    </w:p>
    <w:p w14:paraId="252D6DAC" w14:textId="77777777" w:rsidR="005B2D72" w:rsidRPr="004042A2" w:rsidRDefault="005B2D72" w:rsidP="005B2D72">
      <w:pPr>
        <w:pStyle w:val="FootnoteText"/>
        <w:rPr>
          <w:lang w:val="en-GB"/>
        </w:rPr>
      </w:pPr>
      <w:hyperlink r:id="rId28" w:history="1">
        <w:r w:rsidRPr="003F4590">
          <w:rPr>
            <w:rStyle w:val="Hyperlink"/>
          </w:rPr>
          <w:t>https://www.primarymarkets.com/defence-tech-is-no-longer-niche-its-institutional/</w:t>
        </w:r>
      </w:hyperlink>
      <w:r>
        <w:t>. Accessed on 18 July 2026.</w:t>
      </w:r>
    </w:p>
  </w:footnote>
  <w:footnote w:id="30">
    <w:p w14:paraId="5AD52085" w14:textId="77777777" w:rsidR="005B2D72" w:rsidRPr="004042A2" w:rsidRDefault="005B2D72" w:rsidP="005B2D72">
      <w:pPr>
        <w:pStyle w:val="FootnoteText"/>
        <w:rPr>
          <w:lang w:val="en-GB"/>
        </w:rPr>
      </w:pPr>
      <w:r>
        <w:rPr>
          <w:rStyle w:val="FootnoteReference"/>
        </w:rPr>
        <w:footnoteRef/>
      </w:r>
      <w:r>
        <w:t xml:space="preserve"> Commission on the Defence Forces. ‘Report of the Commission on the Defence Forces’. February 2022. </w:t>
      </w:r>
      <w:hyperlink r:id="rId29" w:history="1">
        <w:r>
          <w:rPr>
            <w:rStyle w:val="Hyperlink"/>
          </w:rPr>
          <w:t>https://www.military.ie/media/0rfpwgrl/report-of-the-commission-on-defence-forces-1.pdf</w:t>
        </w:r>
      </w:hyperlink>
      <w:r>
        <w:t>. Accessed on 17 July 2026.</w:t>
      </w:r>
    </w:p>
  </w:footnote>
  <w:footnote w:id="31">
    <w:p w14:paraId="3D4D81A2" w14:textId="77777777" w:rsidR="005B2D72" w:rsidRPr="00F04CE8" w:rsidRDefault="005B2D72" w:rsidP="005B2D72">
      <w:r>
        <w:rPr>
          <w:rStyle w:val="FootnoteReference"/>
        </w:rPr>
        <w:footnoteRef/>
      </w:r>
      <w:r>
        <w:t xml:space="preserve"> </w:t>
      </w:r>
      <w:r w:rsidRPr="003012B8">
        <w:rPr>
          <w:sz w:val="20"/>
          <w:szCs w:val="20"/>
        </w:rPr>
        <w:t xml:space="preserve">NATO. “Innovation and technology adoption”. July 2026. </w:t>
      </w:r>
      <w:hyperlink r:id="rId30" w:tgtFrame="_blank" w:history="1">
        <w:r w:rsidRPr="003012B8">
          <w:rPr>
            <w:rStyle w:val="Hyperlink"/>
            <w:sz w:val="20"/>
            <w:szCs w:val="20"/>
          </w:rPr>
          <w:t>https://www.nato.int/en/what-we-do/deterrence-and-defence/emerging-and-disruptive-technologies</w:t>
        </w:r>
      </w:hyperlink>
      <w:r w:rsidRPr="003012B8">
        <w:rPr>
          <w:sz w:val="20"/>
          <w:szCs w:val="20"/>
        </w:rPr>
        <w:t>. Accessed 14 July 2026.</w:t>
      </w:r>
    </w:p>
  </w:footnote>
  <w:footnote w:id="32">
    <w:p w14:paraId="6172EC3B" w14:textId="77777777" w:rsidR="005B2D72" w:rsidRPr="004042A2" w:rsidRDefault="005B2D72" w:rsidP="005B2D72">
      <w:pPr>
        <w:pStyle w:val="FootnoteText"/>
        <w:rPr>
          <w:lang w:val="en-GB"/>
        </w:rPr>
      </w:pPr>
      <w:r>
        <w:rPr>
          <w:rStyle w:val="FootnoteReference"/>
        </w:rPr>
        <w:footnoteRef/>
      </w:r>
      <w:r>
        <w:t xml:space="preserve"> Applied Aeronautics. ‘How small affordable drones are revolutionizing defense technology’. Applied Aeronautics. March 2025. </w:t>
      </w:r>
      <w:hyperlink r:id="rId31" w:history="1">
        <w:r>
          <w:rPr>
            <w:rStyle w:val="Hyperlink"/>
          </w:rPr>
          <w:t>https://www.appliedaeronautics.com/post/how-small-affordable-drones-are-revolutionizing-defense-technology</w:t>
        </w:r>
      </w:hyperlink>
      <w:r>
        <w:t>. Accessed on 18 July 2026.</w:t>
      </w:r>
    </w:p>
  </w:footnote>
  <w:footnote w:id="33">
    <w:p w14:paraId="10DD7F1C" w14:textId="77777777" w:rsidR="005B2D72" w:rsidRPr="00EC67E2" w:rsidRDefault="005B2D72" w:rsidP="005B2D72">
      <w:pPr>
        <w:rPr>
          <w:sz w:val="20"/>
          <w:szCs w:val="20"/>
        </w:rPr>
      </w:pPr>
      <w:r>
        <w:rPr>
          <w:rStyle w:val="FootnoteReference"/>
        </w:rPr>
        <w:footnoteRef/>
      </w:r>
      <w:r>
        <w:t xml:space="preserve"> </w:t>
      </w:r>
      <w:r w:rsidRPr="00EC67E2">
        <w:rPr>
          <w:sz w:val="20"/>
          <w:szCs w:val="20"/>
        </w:rPr>
        <w:t xml:space="preserve">Robbe Du Pont. ‘The Politics of Drone Armament: A Content Analysis of Political Views on the Weaponisation of Military Drones in Belgium and the Netherlands. Ghent University. September 2025. </w:t>
      </w:r>
      <w:hyperlink r:id="rId32" w:history="1">
        <w:r w:rsidRPr="00EC67E2">
          <w:rPr>
            <w:rStyle w:val="Hyperlink"/>
            <w:sz w:val="20"/>
            <w:szCs w:val="20"/>
          </w:rPr>
          <w:t>https://www.ugent.be/ps/politiekewetenschappen/gies/en/research/publications/honours_paper/academic-year-2024-2025/the-politics-of-drone-armament</w:t>
        </w:r>
      </w:hyperlink>
      <w:r w:rsidRPr="00EC67E2">
        <w:rPr>
          <w:sz w:val="20"/>
          <w:szCs w:val="20"/>
        </w:rPr>
        <w:t>. Accessed 18 July 2026.</w:t>
      </w:r>
    </w:p>
  </w:footnote>
  <w:footnote w:id="34">
    <w:p w14:paraId="1C620953" w14:textId="77777777" w:rsidR="005B2D72" w:rsidRPr="004042A2" w:rsidRDefault="005B2D72" w:rsidP="005B2D72">
      <w:pPr>
        <w:pStyle w:val="FootnoteText"/>
        <w:rPr>
          <w:lang w:val="en-GB"/>
        </w:rPr>
      </w:pPr>
      <w:r w:rsidRPr="00EC67E2">
        <w:rPr>
          <w:rStyle w:val="FootnoteReference"/>
        </w:rPr>
        <w:footnoteRef/>
      </w:r>
      <w:r w:rsidRPr="00EC67E2">
        <w:t xml:space="preserve"> U.S. Joint</w:t>
      </w:r>
      <w:r w:rsidRPr="00EC67E2">
        <w:rPr>
          <w:lang w:val="en-GB"/>
        </w:rPr>
        <w:t xml:space="preserve"> Staff. ‘Joint Capabilities and Integration Development System Manual’. January 2018.  </w:t>
      </w:r>
      <w:hyperlink r:id="rId33" w:history="1">
        <w:r w:rsidRPr="00EC67E2">
          <w:rPr>
            <w:rStyle w:val="Hyperlink"/>
            <w:lang w:val="en-GB"/>
          </w:rPr>
          <w:t>https://www.acq.osd.mil/asda/jrac/docs/2018-jcids.pdf</w:t>
        </w:r>
      </w:hyperlink>
      <w:r w:rsidRPr="00EC67E2">
        <w:rPr>
          <w:lang w:val="en-GB"/>
        </w:rPr>
        <w:t>. Accessed 18 July 2026.</w:t>
      </w:r>
      <w:r>
        <w:rPr>
          <w:lang w:val="en-GB"/>
        </w:rPr>
        <w:t xml:space="preserve"> </w:t>
      </w:r>
    </w:p>
  </w:footnote>
  <w:footnote w:id="35">
    <w:p w14:paraId="780C78CF" w14:textId="77777777" w:rsidR="005B2D72" w:rsidRPr="009F4ACF" w:rsidRDefault="005B2D72" w:rsidP="005B2D72">
      <w:pPr>
        <w:pStyle w:val="FootnoteText"/>
        <w:rPr>
          <w:lang w:val="en-GB"/>
        </w:rPr>
      </w:pPr>
      <w:r>
        <w:rPr>
          <w:rStyle w:val="FootnoteReference"/>
        </w:rPr>
        <w:footnoteRef/>
      </w:r>
      <w:r w:rsidRPr="009F4ACF">
        <w:rPr>
          <w:lang w:val="de-DE"/>
        </w:rPr>
        <w:t xml:space="preserve"> Martin van der</w:t>
      </w:r>
      <w:r>
        <w:rPr>
          <w:lang w:val="de-DE"/>
        </w:rPr>
        <w:t xml:space="preserve"> Vorm. </w:t>
      </w:r>
      <w:r w:rsidRPr="009F4ACF">
        <w:rPr>
          <w:lang w:val="en-GB"/>
        </w:rPr>
        <w:t>‚The Crucible of War‘. N</w:t>
      </w:r>
      <w:r>
        <w:rPr>
          <w:lang w:val="en-GB"/>
        </w:rPr>
        <w:t xml:space="preserve">ovember 2021. </w:t>
      </w:r>
      <w:hyperlink r:id="rId34" w:history="1">
        <w:r w:rsidRPr="003F4590">
          <w:rPr>
            <w:rStyle w:val="Hyperlink"/>
            <w:lang w:val="en-GB"/>
          </w:rPr>
          <w:t>https://muse.jhu.edu/pub/419/article/797091</w:t>
        </w:r>
      </w:hyperlink>
      <w:r>
        <w:rPr>
          <w:lang w:val="en-GB"/>
        </w:rPr>
        <w:t>. Accessed 18 July 2026.</w:t>
      </w:r>
    </w:p>
  </w:footnote>
  <w:footnote w:id="36">
    <w:p w14:paraId="11839E3B" w14:textId="77777777" w:rsidR="005B2D72" w:rsidRPr="002916B1" w:rsidRDefault="005B2D72" w:rsidP="005B2D72">
      <w:pPr>
        <w:rPr>
          <w:sz w:val="20"/>
          <w:szCs w:val="20"/>
        </w:rPr>
      </w:pPr>
      <w:r w:rsidRPr="002916B1">
        <w:rPr>
          <w:rStyle w:val="FootnoteReference"/>
          <w:sz w:val="20"/>
          <w:szCs w:val="20"/>
        </w:rPr>
        <w:footnoteRef/>
      </w:r>
      <w:r w:rsidRPr="009F4ACF">
        <w:rPr>
          <w:sz w:val="20"/>
          <w:szCs w:val="20"/>
          <w:lang w:val="de-DE"/>
        </w:rPr>
        <w:t xml:space="preserve"> James Peterson. </w:t>
      </w:r>
      <w:r w:rsidRPr="002916B1">
        <w:rPr>
          <w:sz w:val="20"/>
          <w:szCs w:val="20"/>
        </w:rPr>
        <w:t xml:space="preserve">‘Transforming in Contact: The Army Needs an Unmanned Systems Command Now’. April 2026. </w:t>
      </w:r>
      <w:hyperlink r:id="rId35" w:history="1">
        <w:r w:rsidRPr="002916B1">
          <w:rPr>
            <w:rStyle w:val="Hyperlink"/>
            <w:sz w:val="20"/>
            <w:szCs w:val="20"/>
          </w:rPr>
          <w:t>https://smallwarsjournal.com/2026/04/14/transforming-in-contact-the-army-needs-an-unmanned-systems-command-now/</w:t>
        </w:r>
      </w:hyperlink>
      <w:r w:rsidRPr="002916B1">
        <w:rPr>
          <w:sz w:val="20"/>
          <w:szCs w:val="20"/>
        </w:rPr>
        <w:t>.Accessed 18 July 2026.</w:t>
      </w:r>
    </w:p>
  </w:footnote>
  <w:footnote w:id="37">
    <w:p w14:paraId="0159E8D2" w14:textId="77777777" w:rsidR="005B2D72" w:rsidRPr="00F0039E" w:rsidRDefault="005B2D72" w:rsidP="005B2D72">
      <w:pPr>
        <w:pStyle w:val="FootnoteText"/>
        <w:rPr>
          <w:lang w:val="en-GB"/>
        </w:rPr>
      </w:pPr>
      <w:r>
        <w:rPr>
          <w:rStyle w:val="FootnoteReference"/>
        </w:rPr>
        <w:footnoteRef/>
      </w:r>
      <w:r>
        <w:t xml:space="preserve"> Lt Col Reed Markham. ‘Integrating Drones isn’t Intuitive’. February 2024.  </w:t>
      </w:r>
      <w:hyperlink r:id="rId36" w:history="1">
        <w:r w:rsidRPr="003F4590">
          <w:rPr>
            <w:rStyle w:val="Hyperlink"/>
          </w:rPr>
          <w:t>https://www.lineofdeparture.army.mil/Journals/Infantry/Infantry-Fall-2024/Integrating-drones/</w:t>
        </w:r>
      </w:hyperlink>
      <w:r>
        <w:t>. Accessed 18 July 2026.</w:t>
      </w:r>
    </w:p>
  </w:footnote>
  <w:footnote w:id="38">
    <w:p w14:paraId="71457A48" w14:textId="77777777" w:rsidR="005B2D72" w:rsidRPr="004F6A1E" w:rsidRDefault="005B2D72" w:rsidP="005B2D72">
      <w:pPr>
        <w:pStyle w:val="FootnoteText"/>
        <w:rPr>
          <w:lang w:val="en-GB"/>
        </w:rPr>
      </w:pPr>
      <w:r>
        <w:rPr>
          <w:rStyle w:val="FootnoteReference"/>
        </w:rPr>
        <w:footnoteRef/>
      </w:r>
      <w:r>
        <w:t xml:space="preserve"> UK Strategic Command. ‘The Crucial Role of Wargaming in Defence’. November 2023. </w:t>
      </w:r>
      <w:hyperlink r:id="rId37" w:history="1">
        <w:r w:rsidRPr="003F4590">
          <w:rPr>
            <w:rStyle w:val="Hyperlink"/>
          </w:rPr>
          <w:t>https://www.gov.uk/government/news/the-crucial-role-of-wargaming-in-defence</w:t>
        </w:r>
      </w:hyperlink>
      <w:r>
        <w:t>. Accessed on 18 July 2026.</w:t>
      </w:r>
    </w:p>
  </w:footnote>
  <w:footnote w:id="39">
    <w:p w14:paraId="11710CA1" w14:textId="77777777" w:rsidR="005B2D72" w:rsidRPr="00790367" w:rsidRDefault="005B2D72" w:rsidP="005B2D72">
      <w:pPr>
        <w:pStyle w:val="FootnoteText"/>
        <w:rPr>
          <w:lang w:val="en-GB"/>
        </w:rPr>
      </w:pPr>
      <w:r>
        <w:rPr>
          <w:rStyle w:val="FootnoteReference"/>
        </w:rPr>
        <w:footnoteRef/>
      </w:r>
      <w:r w:rsidRPr="00790367">
        <w:rPr>
          <w:lang w:val="de-DE"/>
        </w:rPr>
        <w:t xml:space="preserve"> Paul Lushenko, Russell McGuire, Christopher G. Pernin, Sean M. Zeigler. </w:t>
      </w:r>
      <w:r w:rsidRPr="00790367">
        <w:rPr>
          <w:lang w:val="en-GB"/>
        </w:rPr>
        <w:t>‘Defencding U.S. Military Bases Against Drones? A Recent T</w:t>
      </w:r>
      <w:r>
        <w:rPr>
          <w:lang w:val="en-GB"/>
        </w:rPr>
        <w:t xml:space="preserve">abletop Exercise Explores How’. June 2025. </w:t>
      </w:r>
      <w:hyperlink r:id="rId38" w:history="1">
        <w:r w:rsidRPr="003F4590">
          <w:rPr>
            <w:rStyle w:val="Hyperlink"/>
            <w:lang w:val="en-GB"/>
          </w:rPr>
          <w:t>https://www.rand.org/pubs/commentary/2025/06/defending-us-military-bases-against-drones-a-recent.html</w:t>
        </w:r>
      </w:hyperlink>
      <w:r>
        <w:rPr>
          <w:lang w:val="en-GB"/>
        </w:rPr>
        <w:t>. Accessed on 18 July 2026.</w:t>
      </w:r>
    </w:p>
  </w:footnote>
  <w:footnote w:id="40">
    <w:p w14:paraId="38FE2DDE" w14:textId="77777777" w:rsidR="005B2D72" w:rsidRPr="00F0039E" w:rsidRDefault="005B2D72" w:rsidP="005B2D72">
      <w:pPr>
        <w:pStyle w:val="FootnoteText"/>
        <w:rPr>
          <w:lang w:val="en-GB"/>
        </w:rPr>
      </w:pPr>
      <w:r>
        <w:rPr>
          <w:rStyle w:val="FootnoteReference"/>
        </w:rPr>
        <w:footnoteRef/>
      </w:r>
      <w:r>
        <w:t xml:space="preserve"> National Academies of Sciences, Engineering and Medicine. ‘Key Challenges for Effective Testing and Evaluation Across Department of Defense Ranges: Proceedings of a Workshop’. 2021. </w:t>
      </w:r>
      <w:hyperlink r:id="rId39" w:anchor="12" w:history="1">
        <w:r w:rsidRPr="003F4590">
          <w:rPr>
            <w:rStyle w:val="Hyperlink"/>
          </w:rPr>
          <w:t>https://www.nationalacademies.org/read/26150/chapter/1#12</w:t>
        </w:r>
      </w:hyperlink>
      <w:r>
        <w:t xml:space="preserve">. Accessed on 18 July 2026. </w:t>
      </w:r>
    </w:p>
  </w:footnote>
  <w:footnote w:id="41">
    <w:p w14:paraId="0A326C07" w14:textId="77777777" w:rsidR="005B2D72" w:rsidRPr="00483961" w:rsidRDefault="005B2D72" w:rsidP="005B2D72">
      <w:pPr>
        <w:pStyle w:val="FootnoteText"/>
        <w:rPr>
          <w:lang w:val="en-GB"/>
        </w:rPr>
      </w:pPr>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hyperlink r:id="rId40" w:history="1">
        <w:r w:rsidRPr="003F4590">
          <w:rPr>
            <w:rStyle w:val="Hyperlink"/>
            <w:lang w:val="en-GB"/>
          </w:rPr>
          <w:t>https://ausa.org/articles/confidence-and-combat-power#</w:t>
        </w:r>
      </w:hyperlink>
      <w:r>
        <w:rPr>
          <w:lang w:val="en-GB"/>
        </w:rPr>
        <w:t>. Accessed on 16 July 2026.</w:t>
      </w:r>
    </w:p>
  </w:footnote>
  <w:footnote w:id="42">
    <w:p w14:paraId="4B66FBDE" w14:textId="77777777" w:rsidR="005B2D72" w:rsidRPr="00483961" w:rsidRDefault="005B2D72" w:rsidP="005B2D72">
      <w:pPr>
        <w:pStyle w:val="FootnoteText"/>
        <w:rPr>
          <w:lang w:val="en-GB"/>
        </w:rPr>
      </w:pPr>
      <w:r>
        <w:rPr>
          <w:rStyle w:val="FootnoteReference"/>
        </w:rPr>
        <w:footnoteRef/>
      </w:r>
      <w:r w:rsidRPr="00483961">
        <w:rPr>
          <w:lang w:val="en-GB"/>
        </w:rPr>
        <w:t xml:space="preserve"> </w:t>
      </w:r>
      <w:r>
        <w:rPr>
          <w:lang w:val="en-GB"/>
        </w:rPr>
        <w:t>Ibid.</w:t>
      </w:r>
    </w:p>
  </w:footnote>
  <w:footnote w:id="43">
    <w:p w14:paraId="48D95DBF" w14:textId="77777777" w:rsidR="005B2D72" w:rsidRPr="00F0039E" w:rsidRDefault="005B2D72" w:rsidP="005B2D72">
      <w:pPr>
        <w:pStyle w:val="FootnoteText"/>
        <w:rPr>
          <w:lang w:val="en-GB"/>
        </w:rPr>
      </w:pPr>
      <w:r>
        <w:rPr>
          <w:rStyle w:val="FootnoteReference"/>
        </w:rPr>
        <w:footnoteRef/>
      </w:r>
      <w:r>
        <w:t xml:space="preserve"> UK MOD. ‘Defence Experimentation for Force Development Handbook. January 2021. </w:t>
      </w:r>
      <w:hyperlink r:id="rId41" w:history="1">
        <w:r w:rsidRPr="003F4590">
          <w:rPr>
            <w:rStyle w:val="Hyperlink"/>
          </w:rPr>
          <w:t>https://assets.publishing.service.gov.uk/media/6014030be90e07626914df3c/20210121-DEFD_Handbook_Version_2-O.pdf</w:t>
        </w:r>
      </w:hyperlink>
      <w:r>
        <w:t>. Accessed on 16 July 2026.</w:t>
      </w:r>
    </w:p>
  </w:footnote>
  <w:footnote w:id="44">
    <w:p w14:paraId="55EE4A04" w14:textId="77777777" w:rsidR="005B2D72" w:rsidRPr="0083528C" w:rsidRDefault="005B2D72" w:rsidP="005B2D72">
      <w:pPr>
        <w:pStyle w:val="FootnoteText"/>
        <w:rPr>
          <w:lang w:val="en-GB"/>
        </w:rPr>
      </w:pPr>
      <w:r>
        <w:rPr>
          <w:rStyle w:val="FootnoteReference"/>
        </w:rPr>
        <w:footnoteRef/>
      </w:r>
      <w:r>
        <w:t xml:space="preserve"> </w:t>
      </w:r>
      <w:r w:rsidRPr="0083528C">
        <w:t xml:space="preserve">NATO. </w:t>
      </w:r>
      <w:r w:rsidRPr="0083528C">
        <w:rPr>
          <w:rFonts w:hint="cs"/>
        </w:rPr>
        <w:t>“</w:t>
      </w:r>
      <w:r w:rsidRPr="0083528C">
        <w:t>Innovation and technology adoption</w:t>
      </w:r>
      <w:r w:rsidRPr="0083528C">
        <w:rPr>
          <w:rFonts w:hint="cs"/>
        </w:rPr>
        <w:t>”</w:t>
      </w:r>
      <w:r w:rsidRPr="0083528C">
        <w:t xml:space="preserve">. July 2026. </w:t>
      </w:r>
      <w:hyperlink r:id="rId42" w:history="1">
        <w:r w:rsidRPr="003F4590">
          <w:rPr>
            <w:rStyle w:val="Hyperlink"/>
          </w:rPr>
          <w:t>https://www.nato.int/en/what-we-do/deterrence-and-defence/emerging-and-disruptive-technologies</w:t>
        </w:r>
      </w:hyperlink>
      <w:r w:rsidRPr="0083528C">
        <w:t>.</w:t>
      </w:r>
      <w:r>
        <w:t xml:space="preserve"> </w:t>
      </w:r>
      <w:r w:rsidRPr="0083528C">
        <w:t>Accessed 14 July 2026.</w:t>
      </w:r>
    </w:p>
  </w:footnote>
  <w:footnote w:id="45">
    <w:p w14:paraId="319A6F4B" w14:textId="77777777" w:rsidR="005B2D72" w:rsidRPr="00F0039E" w:rsidRDefault="005B2D72" w:rsidP="005B2D72">
      <w:pPr>
        <w:pStyle w:val="FootnoteText"/>
        <w:rPr>
          <w:lang w:val="en-GB"/>
        </w:rPr>
      </w:pPr>
      <w:r>
        <w:rPr>
          <w:rStyle w:val="FootnoteReference"/>
        </w:rPr>
        <w:footnoteRef/>
      </w:r>
      <w:r>
        <w:t xml:space="preserve"> Samuel Bendett and David Kirichenko. ‘Battlefield Drones and the Accelerating Autonomous Arms Race in Ukraine’. October 2025. </w:t>
      </w:r>
      <w:hyperlink r:id="rId43" w:history="1">
        <w:r w:rsidRPr="003F4590">
          <w:rPr>
            <w:rStyle w:val="Hyperlink"/>
          </w:rPr>
          <w:t>https://mwi.westpoint.edu/battlefield-drones-and-the-accelerating-autonomous-arms-race-in-ukraine/</w:t>
        </w:r>
      </w:hyperlink>
      <w:r>
        <w:t>. Accessed on 17 July 2026.</w:t>
      </w:r>
    </w:p>
  </w:footnote>
  <w:footnote w:id="46">
    <w:p w14:paraId="0CAC630C" w14:textId="77777777" w:rsidR="005B2D72" w:rsidRPr="00F0039E" w:rsidRDefault="005B2D72" w:rsidP="005B2D72">
      <w:pPr>
        <w:pStyle w:val="FootnoteText"/>
        <w:rPr>
          <w:lang w:val="en-GB"/>
        </w:rPr>
      </w:pPr>
      <w:r>
        <w:rPr>
          <w:rStyle w:val="FootnoteReference"/>
        </w:rPr>
        <w:footnoteRef/>
      </w:r>
      <w:r>
        <w:t xml:space="preserve"> </w:t>
      </w:r>
      <w:r w:rsidRPr="00701D86">
        <w:t xml:space="preserve">Capt Kaya I. Volger. ‘Modular Open Systems Approach: Impacts on Program Management Metrics’. Defence ARJ Volume 33. Winter 2026. </w:t>
      </w:r>
      <w:hyperlink r:id="rId44" w:history="1">
        <w:r w:rsidRPr="00701D86">
          <w:rPr>
            <w:rStyle w:val="Hyperlink"/>
          </w:rPr>
          <w:t>https://www.waru.edu/sites/default/files/2026-01/ARJ110%20Content%20111025%20REBRAND_PK_508_Article1.pdf</w:t>
        </w:r>
      </w:hyperlink>
      <w:r w:rsidRPr="00701D86">
        <w:t>. Accessed 18 July 2026.</w:t>
      </w:r>
      <w:r>
        <w:t xml:space="preserve"> </w:t>
      </w:r>
    </w:p>
  </w:footnote>
  <w:footnote w:id="47">
    <w:p w14:paraId="4C606BD2" w14:textId="77777777" w:rsidR="005B2D72" w:rsidRPr="00F0039E" w:rsidRDefault="005B2D72" w:rsidP="005B2D72">
      <w:pPr>
        <w:pStyle w:val="FootnoteText"/>
        <w:rPr>
          <w:lang w:val="en-GB"/>
        </w:rPr>
      </w:pPr>
      <w:r>
        <w:rPr>
          <w:rStyle w:val="FootnoteReference"/>
        </w:rPr>
        <w:footnoteRef/>
      </w:r>
      <w:r>
        <w:t xml:space="preserve"> Ibid.</w:t>
      </w:r>
    </w:p>
  </w:footnote>
  <w:footnote w:id="48">
    <w:p w14:paraId="2A15346D" w14:textId="77777777" w:rsidR="005B2D72" w:rsidRPr="006E5AF0" w:rsidRDefault="005B2D72" w:rsidP="005B2D72">
      <w:pPr>
        <w:pStyle w:val="FootnoteText"/>
        <w:rPr>
          <w:lang w:val="en-GB"/>
        </w:rPr>
      </w:pPr>
      <w:r>
        <w:rPr>
          <w:rStyle w:val="FootnoteReference"/>
        </w:rPr>
        <w:footnoteRef/>
      </w:r>
      <w:r>
        <w:t xml:space="preserve"> Cosmo Curtane and John Nagl. ‘How the United States is Learning from Drone Warfare in Ukraine’. Small Wars Journal. June 2026. </w:t>
      </w:r>
      <w:hyperlink r:id="rId45" w:history="1">
        <w:r w:rsidRPr="003F4590">
          <w:rPr>
            <w:rStyle w:val="Hyperlink"/>
          </w:rPr>
          <w:t>https://smallwarsjournal.com/2026/06/17/how-the-united-states-is-learning-from-drone-warfare-in-ukraine/</w:t>
        </w:r>
      </w:hyperlink>
      <w:r>
        <w:t>. Accessed 17 July 2026.</w:t>
      </w:r>
    </w:p>
  </w:footnote>
  <w:footnote w:id="49">
    <w:p w14:paraId="0A890AF9" w14:textId="77777777" w:rsidR="005B2D72" w:rsidRPr="002019AC" w:rsidRDefault="005B2D72" w:rsidP="005B2D72">
      <w:pPr>
        <w:pStyle w:val="FootnoteText"/>
        <w:rPr>
          <w:lang w:val="en-GB"/>
        </w:rPr>
      </w:pPr>
      <w:r>
        <w:rPr>
          <w:rStyle w:val="FootnoteReference"/>
        </w:rPr>
        <w:footnoteRef/>
      </w:r>
      <w:r>
        <w:t xml:space="preserve"> Vice Adm Lou Crenshaw (Ret.). ‘Military power begins with industrial stregth’. Defensescoop. February 2026. </w:t>
      </w:r>
      <w:hyperlink r:id="rId46" w:history="1">
        <w:r w:rsidRPr="003F4590">
          <w:rPr>
            <w:rStyle w:val="Hyperlink"/>
          </w:rPr>
          <w:t>https://defensescoop.com/2026/02/18/military-power-begins-with-industrial-strength/</w:t>
        </w:r>
      </w:hyperlink>
      <w:r>
        <w:t>. Accessed on 18 July 2026.</w:t>
      </w:r>
    </w:p>
  </w:footnote>
  <w:footnote w:id="50">
    <w:p w14:paraId="4676AFF9" w14:textId="77777777" w:rsidR="005B2D72" w:rsidRPr="00F0039E" w:rsidRDefault="005B2D72" w:rsidP="005B2D72">
      <w:pPr>
        <w:pStyle w:val="FootnoteText"/>
        <w:rPr>
          <w:lang w:val="en-GB"/>
        </w:rPr>
      </w:pPr>
      <w:r>
        <w:rPr>
          <w:rStyle w:val="FootnoteReference"/>
        </w:rPr>
        <w:footnoteRef/>
      </w:r>
      <w:r>
        <w:t xml:space="preserve"> Marium Halstian. ‘A First Point View: Examining Ukraine’s Drone Industry’. Georgetown Security Studies Review 2026. 2026.</w:t>
      </w:r>
      <w:r w:rsidRPr="00B91553">
        <w:t xml:space="preserve"> </w:t>
      </w:r>
      <w:hyperlink r:id="rId47" w:history="1">
        <w:r w:rsidRPr="003F4590">
          <w:rPr>
            <w:rStyle w:val="Hyperlink"/>
          </w:rPr>
          <w:t>https://gssr.georgetown.edu/the-forum/regions/eurasia/a-first-point-view-examining-ukraines-drone-industry/</w:t>
        </w:r>
      </w:hyperlink>
      <w:r>
        <w:t>. Accessed 18 July 2026.</w:t>
      </w:r>
    </w:p>
  </w:footnote>
  <w:footnote w:id="51">
    <w:p w14:paraId="5249C22A" w14:textId="77777777" w:rsidR="005B2D72" w:rsidRPr="00B91553" w:rsidRDefault="005B2D72" w:rsidP="005B2D72">
      <w:pPr>
        <w:pStyle w:val="FootnoteText"/>
        <w:rPr>
          <w:lang w:val="en-GB"/>
        </w:rPr>
      </w:pPr>
      <w:r>
        <w:rPr>
          <w:rStyle w:val="FootnoteReference"/>
        </w:rPr>
        <w:footnoteRef/>
      </w:r>
      <w:r>
        <w:t xml:space="preserve"> </w:t>
      </w:r>
      <w:r>
        <w:rPr>
          <w:lang w:val="en-GB"/>
        </w:rPr>
        <w:t>Ibid.</w:t>
      </w:r>
    </w:p>
  </w:footnote>
  <w:footnote w:id="52">
    <w:p w14:paraId="72AAB5DF" w14:textId="77777777" w:rsidR="005B2D72" w:rsidRPr="00F0039E" w:rsidRDefault="005B2D72" w:rsidP="005B2D72">
      <w:pPr>
        <w:pStyle w:val="FootnoteText"/>
        <w:rPr>
          <w:lang w:val="en-GB"/>
        </w:rPr>
      </w:pPr>
      <w:r>
        <w:rPr>
          <w:rStyle w:val="FootnoteReference"/>
        </w:rPr>
        <w:footnoteRef/>
      </w:r>
      <w:r>
        <w:t xml:space="preserve"> Center for Slavic, East European and Eurasian Studies. ‘Cheap Weapons, Expensive Consequences: How Ukraine is rewriting the rules of warfare dominance’. Ohio State University. June 2026. </w:t>
      </w:r>
      <w:hyperlink r:id="rId48" w:history="1">
        <w:r w:rsidRPr="003F4590">
          <w:rPr>
            <w:rStyle w:val="Hyperlink"/>
          </w:rPr>
          <w:t>https://slaviccenter.osu.edu/news/cheap-weapons-expensive-consequences-how-ukraine-rewriting-rules-warfare-dominance</w:t>
        </w:r>
      </w:hyperlink>
      <w:r>
        <w:t xml:space="preserve">. Accessed on 18 July 2026. </w:t>
      </w:r>
    </w:p>
  </w:footnote>
  <w:footnote w:id="53">
    <w:p w14:paraId="1A102C71" w14:textId="77777777" w:rsidR="005B2D72" w:rsidRPr="00F0039E" w:rsidRDefault="005B2D72" w:rsidP="005B2D72">
      <w:pPr>
        <w:pStyle w:val="FootnoteText"/>
        <w:rPr>
          <w:lang w:val="en-GB"/>
        </w:rPr>
      </w:pPr>
      <w:r>
        <w:rPr>
          <w:rStyle w:val="FootnoteReference"/>
        </w:rPr>
        <w:footnoteRef/>
      </w:r>
      <w:r>
        <w:t xml:space="preserve"> NATO. ‘Increasing defence Industry Production. NATO. July 2026. </w:t>
      </w:r>
      <w:hyperlink r:id="rId49" w:history="1">
        <w:r w:rsidRPr="003F4590">
          <w:rPr>
            <w:rStyle w:val="Hyperlink"/>
          </w:rPr>
          <w:t>https://www.nato.int/en/what-we-do/deterrence-and-defence/natos-role-in-defence-industry-production</w:t>
        </w:r>
      </w:hyperlink>
      <w:r>
        <w:t xml:space="preserve">. Accessed on 18 July 2026. </w:t>
      </w:r>
    </w:p>
  </w:footnote>
  <w:footnote w:id="54">
    <w:p w14:paraId="7985AB69" w14:textId="77777777" w:rsidR="005B2D72" w:rsidRPr="00F0039E" w:rsidRDefault="005B2D72" w:rsidP="005B2D72">
      <w:pPr>
        <w:pStyle w:val="FootnoteText"/>
        <w:rPr>
          <w:lang w:val="en-GB"/>
        </w:rPr>
      </w:pPr>
      <w:r>
        <w:rPr>
          <w:rStyle w:val="FootnoteReference"/>
        </w:rPr>
        <w:footnoteRef/>
      </w:r>
      <w:r>
        <w:t xml:space="preserve"> </w:t>
      </w:r>
    </w:p>
  </w:footnote>
  <w:footnote w:id="55">
    <w:p w14:paraId="180DDC79" w14:textId="77777777" w:rsidR="005B2D72" w:rsidRPr="00F0039E" w:rsidRDefault="005B2D72" w:rsidP="005B2D72">
      <w:pPr>
        <w:pStyle w:val="FootnoteText"/>
        <w:rPr>
          <w:lang w:val="en-GB"/>
        </w:rPr>
      </w:pPr>
      <w:r>
        <w:rPr>
          <w:rStyle w:val="FootnoteReference"/>
        </w:rPr>
        <w:footnoteRef/>
      </w:r>
      <w:r>
        <w:t xml:space="preserve"> </w:t>
      </w:r>
    </w:p>
  </w:footnote>
  <w:footnote w:id="56">
    <w:p w14:paraId="66CFD536" w14:textId="77777777" w:rsidR="005B2D72" w:rsidRPr="00F0039E" w:rsidRDefault="005B2D72" w:rsidP="005B2D72">
      <w:pPr>
        <w:pStyle w:val="FootnoteText"/>
        <w:rPr>
          <w:lang w:val="en-GB"/>
        </w:rPr>
      </w:pPr>
      <w:r>
        <w:rPr>
          <w:rStyle w:val="FootnoteReference"/>
        </w:rPr>
        <w:footnoteRef/>
      </w:r>
      <w:r>
        <w:t xml:space="preserve"> </w:t>
      </w:r>
    </w:p>
  </w:footnote>
  <w:footnote w:id="57">
    <w:p w14:paraId="4E336EDA" w14:textId="77777777" w:rsidR="005B2D72" w:rsidRPr="00F0039E" w:rsidRDefault="005B2D72" w:rsidP="005B2D72">
      <w:pPr>
        <w:pStyle w:val="FootnoteText"/>
        <w:rPr>
          <w:lang w:val="en-GB"/>
        </w:rPr>
      </w:pPr>
      <w:r>
        <w:rPr>
          <w:rStyle w:val="FootnoteReference"/>
        </w:rPr>
        <w:footnoteRef/>
      </w:r>
      <w:r>
        <w:t xml:space="preserve"> </w:t>
      </w:r>
    </w:p>
  </w:footnote>
  <w:footnote w:id="58">
    <w:p w14:paraId="2630932A" w14:textId="77777777" w:rsidR="005B2D72" w:rsidRPr="004A26EF" w:rsidRDefault="005B2D72" w:rsidP="005B2D72">
      <w:pPr>
        <w:pStyle w:val="FootnoteText"/>
        <w:rPr>
          <w:lang w:val="en-GB"/>
        </w:rPr>
      </w:pPr>
      <w:r>
        <w:rPr>
          <w:rStyle w:val="FootnoteReference"/>
        </w:rPr>
        <w:footnoteRef/>
      </w:r>
      <w:r>
        <w:t xml:space="preserve"> </w:t>
      </w:r>
    </w:p>
  </w:footnote>
  <w:footnote w:id="59">
    <w:p w14:paraId="308A704D" w14:textId="77777777" w:rsidR="005B2D72" w:rsidRPr="004A26EF" w:rsidRDefault="005B2D72" w:rsidP="005B2D72">
      <w:pPr>
        <w:pStyle w:val="FootnoteText"/>
        <w:rPr>
          <w:lang w:val="en-GB"/>
        </w:rPr>
      </w:pPr>
      <w:r>
        <w:rPr>
          <w:rStyle w:val="FootnoteReference"/>
        </w:rPr>
        <w:footnoteRef/>
      </w:r>
      <w:r>
        <w:t xml:space="preserve"> </w:t>
      </w:r>
    </w:p>
  </w:footnote>
  <w:footnote w:id="60">
    <w:p w14:paraId="4A02FCBC" w14:textId="77777777" w:rsidR="005B2D72" w:rsidRPr="004A26EF" w:rsidRDefault="005B2D72" w:rsidP="005B2D72">
      <w:pPr>
        <w:pStyle w:val="FootnoteText"/>
        <w:rPr>
          <w:lang w:val="en-GB"/>
        </w:rPr>
      </w:pPr>
      <w:r>
        <w:rPr>
          <w:rStyle w:val="FootnoteReference"/>
        </w:rPr>
        <w:footnoteRef/>
      </w:r>
      <w:r>
        <w:t xml:space="preserve"> </w:t>
      </w:r>
    </w:p>
  </w:footnote>
  <w:footnote w:id="61">
    <w:p w14:paraId="6FA68C10" w14:textId="77777777" w:rsidR="005B2D72" w:rsidRPr="004A26EF" w:rsidRDefault="005B2D72" w:rsidP="005B2D72">
      <w:pPr>
        <w:pStyle w:val="FootnoteText"/>
        <w:rPr>
          <w:lang w:val="en-GB"/>
        </w:rPr>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514C"/>
    <w:rsid w:val="00107A60"/>
    <w:rsid w:val="00126E0F"/>
    <w:rsid w:val="00127BF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77CD9"/>
    <w:rsid w:val="002822C2"/>
    <w:rsid w:val="00287A7E"/>
    <w:rsid w:val="00292EE9"/>
    <w:rsid w:val="002C4F0D"/>
    <w:rsid w:val="002D603F"/>
    <w:rsid w:val="002E0EF9"/>
    <w:rsid w:val="002F0568"/>
    <w:rsid w:val="002F4644"/>
    <w:rsid w:val="0030344C"/>
    <w:rsid w:val="00327715"/>
    <w:rsid w:val="00332E1F"/>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2D72"/>
    <w:rsid w:val="005B47FC"/>
    <w:rsid w:val="005C4B5D"/>
    <w:rsid w:val="005D62BA"/>
    <w:rsid w:val="005D6A14"/>
    <w:rsid w:val="005E1FD3"/>
    <w:rsid w:val="005E2FA4"/>
    <w:rsid w:val="005F0279"/>
    <w:rsid w:val="00602AC4"/>
    <w:rsid w:val="0060431C"/>
    <w:rsid w:val="0060740A"/>
    <w:rsid w:val="006077C5"/>
    <w:rsid w:val="00617010"/>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15DE9"/>
    <w:rsid w:val="008278AC"/>
    <w:rsid w:val="00833C45"/>
    <w:rsid w:val="00841CA6"/>
    <w:rsid w:val="00847D59"/>
    <w:rsid w:val="00856A81"/>
    <w:rsid w:val="0087131C"/>
    <w:rsid w:val="00880436"/>
    <w:rsid w:val="008906B6"/>
    <w:rsid w:val="008A10CC"/>
    <w:rsid w:val="008A2BAF"/>
    <w:rsid w:val="008A3F4A"/>
    <w:rsid w:val="008C4FDB"/>
    <w:rsid w:val="008D1071"/>
    <w:rsid w:val="008D790E"/>
    <w:rsid w:val="008E0498"/>
    <w:rsid w:val="008E24F7"/>
    <w:rsid w:val="008E628C"/>
    <w:rsid w:val="008F1E30"/>
    <w:rsid w:val="008F41DA"/>
    <w:rsid w:val="00904C8E"/>
    <w:rsid w:val="009145A4"/>
    <w:rsid w:val="00917666"/>
    <w:rsid w:val="00925E2F"/>
    <w:rsid w:val="009305B9"/>
    <w:rsid w:val="00946825"/>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83B70"/>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A458A"/>
    <w:rsid w:val="00BB2886"/>
    <w:rsid w:val="00BB3343"/>
    <w:rsid w:val="00BB3526"/>
    <w:rsid w:val="00BC252E"/>
    <w:rsid w:val="00BC4646"/>
    <w:rsid w:val="00BE2246"/>
    <w:rsid w:val="00BF065B"/>
    <w:rsid w:val="00BF4B6D"/>
    <w:rsid w:val="00BF56D1"/>
    <w:rsid w:val="00C12DA0"/>
    <w:rsid w:val="00C13EBD"/>
    <w:rsid w:val="00C24B2F"/>
    <w:rsid w:val="00C31025"/>
    <w:rsid w:val="00C376F0"/>
    <w:rsid w:val="00C40892"/>
    <w:rsid w:val="00C446BB"/>
    <w:rsid w:val="00C50339"/>
    <w:rsid w:val="00C57783"/>
    <w:rsid w:val="00C74C84"/>
    <w:rsid w:val="00C76E0E"/>
    <w:rsid w:val="00C770C3"/>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1387E"/>
    <w:rsid w:val="00F318C3"/>
    <w:rsid w:val="00F47AB0"/>
    <w:rsid w:val="00F553E9"/>
    <w:rsid w:val="00F92358"/>
    <w:rsid w:val="00F979A6"/>
    <w:rsid w:val="00F97F87"/>
    <w:rsid w:val="00FA2700"/>
    <w:rsid w:val="00FA51DA"/>
    <w:rsid w:val="00FA5A9C"/>
    <w:rsid w:val="00FA5FF6"/>
    <w:rsid w:val="00FB05F1"/>
    <w:rsid w:val="00FC4FEA"/>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semiHidden/>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semiHidden/>
    <w:rsid w:val="00F1387E"/>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26" Type="http://schemas.openxmlformats.org/officeDocument/2006/relationships/hyperlink" Target="https://www.atlanticcouncil.org/blogs/ukrainealert/ukraines-robot-army-will-be-crucial-in-2026-but-drones-cant-replace-infantry/" TargetMode="External"/><Relationship Id="rId39" Type="http://schemas.openxmlformats.org/officeDocument/2006/relationships/hyperlink" Target="https://www.nationalacademies.org/read/26150/chapter/1" TargetMode="External"/><Relationship Id="rId21" Type="http://schemas.openxmlformats.org/officeDocument/2006/relationships/hyperlink" Target="https://static.rusi.org/mass-precision-strike-final.pdf" TargetMode="External"/><Relationship Id="rId34" Type="http://schemas.openxmlformats.org/officeDocument/2006/relationships/hyperlink" Target="https://muse.jhu.edu/pub/419/article/797091" TargetMode="External"/><Relationship Id="rId42" Type="http://schemas.openxmlformats.org/officeDocument/2006/relationships/hyperlink" Target="https://www.nato.int/en/what-we-do/deterrence-and-defence/emerging-and-disruptive-technologies" TargetMode="External"/><Relationship Id="rId47" Type="http://schemas.openxmlformats.org/officeDocument/2006/relationships/hyperlink" Target="https://gssr.georgetown.edu/the-forum/regions/eurasia/a-first-point-view-examining-ukraines-drone-industry/" TargetMode="External"/><Relationship Id="rId7" Type="http://schemas.openxmlformats.org/officeDocument/2006/relationships/hyperlink" Target="https://www.oireachtas.ie/en/debates/debate/dail/2024-05-02/32/"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9" Type="http://schemas.openxmlformats.org/officeDocument/2006/relationships/hyperlink" Target="https://www.military.ie/media/0rfpwgrl/report-of-the-commission-on-defence-forces-1.pdf" TargetMode="External"/><Relationship Id="rId11" Type="http://schemas.openxmlformats.org/officeDocument/2006/relationships/hyperlink" Target="https://www.thejournal.ie/new-apc-vehicles-maybe-coming-from-france-6623112-Feb2025/" TargetMode="External"/><Relationship Id="rId24" Type="http://schemas.openxmlformats.org/officeDocument/2006/relationships/hyperlink" Target="https://www.jstor.org/stable/10.7591/j.ctt1287fp3" TargetMode="External"/><Relationship Id="rId32" Type="http://schemas.openxmlformats.org/officeDocument/2006/relationships/hyperlink" Target="https://www.ugent.be/ps/politiekewetenschappen/gies/en/research/publications/honours_paper/academic-year-2024-2025/the-politics-of-drone-armament" TargetMode="External"/><Relationship Id="rId37" Type="http://schemas.openxmlformats.org/officeDocument/2006/relationships/hyperlink" Target="https://www.gov.uk/government/news/the-crucial-role-of-wargaming-in-defence" TargetMode="External"/><Relationship Id="rId40" Type="http://schemas.openxmlformats.org/officeDocument/2006/relationships/hyperlink" Target="https://ausa.org/articles/confidence-and-combat-power" TargetMode="External"/><Relationship Id="rId45" Type="http://schemas.openxmlformats.org/officeDocument/2006/relationships/hyperlink" Target="https://smallwarsjournal.com/2026/06/17/how-the-united-states-is-learning-from-drone-warfare-in-ukraine/"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23" Type="http://schemas.openxmlformats.org/officeDocument/2006/relationships/hyperlink" Target="https://warontherosks.com/uncrewed-systems-and-the-transformation-of-u-s-warfighting-capacity/" TargetMode="External"/><Relationship Id="rId28" Type="http://schemas.openxmlformats.org/officeDocument/2006/relationships/hyperlink" Target="https://www.primarymarkets.com/defence-tech-is-no-longer-niche-its-institutional/" TargetMode="External"/><Relationship Id="rId36" Type="http://schemas.openxmlformats.org/officeDocument/2006/relationships/hyperlink" Target="https://www.lineofdeparture.army.mil/Journals/Infantry/Infantry-Fall-2024/Integrating-drones/" TargetMode="External"/><Relationship Id="rId49" Type="http://schemas.openxmlformats.org/officeDocument/2006/relationships/hyperlink" Target="https://www.nato.int/en/what-we-do/deterrence-and-defence/natos-role-in-defence-industry-production"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31" Type="http://schemas.openxmlformats.org/officeDocument/2006/relationships/hyperlink" Target="https://www.appliedaeronautics.com/post/how-small-affordable-drones-are-revolutionizing-defense-technology" TargetMode="External"/><Relationship Id="rId44" Type="http://schemas.openxmlformats.org/officeDocument/2006/relationships/hyperlink" Target="https://www.waru.edu/sites/default/files/2026-01/ARJ110%20Content%20111025%20REBRAND_PK_508_Article1.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 Id="rId27" Type="http://schemas.openxmlformats.org/officeDocument/2006/relationships/hyperlink" Target="https://moderndiplomacy.eu/2026/07/16/tech-blitzkrieg-drone-warfare-and-the-transformation-of-maneuver/" TargetMode="External"/><Relationship Id="rId30" Type="http://schemas.openxmlformats.org/officeDocument/2006/relationships/hyperlink" Target="https://www.nato.int/en/what-we-do/deterrence-and-defence/emerging-and-disruptive-technologies" TargetMode="External"/><Relationship Id="rId35" Type="http://schemas.openxmlformats.org/officeDocument/2006/relationships/hyperlink" Target="https://smallwarsjournal.com/2026/04/14/transforming-in-contact-the-army-needs-an-unmanned-systems-command-now/" TargetMode="External"/><Relationship Id="rId43" Type="http://schemas.openxmlformats.org/officeDocument/2006/relationships/hyperlink" Target="https://mwi.westpoint.edu/battlefield-drones-and-the-accelerating-autonomous-arms-race-in-ukraine/" TargetMode="External"/><Relationship Id="rId48" Type="http://schemas.openxmlformats.org/officeDocument/2006/relationships/hyperlink" Target="https://slaviccenter.osu.edu/news/cheap-weapons-expensive-consequences-how-ukraine-rewriting-rules-warfare-dominance" TargetMode="External"/><Relationship Id="rId8" Type="http://schemas.openxmlformats.org/officeDocument/2006/relationships/hyperlink" Target="https://www.jstor.org/stable/2538981" TargetMode="External"/><Relationship Id="rId3" Type="http://schemas.openxmlformats.org/officeDocument/2006/relationships/hyperlink" Target="https://doi-org.may.idm.oclc.org/10.1080/03071847.2022.2058601"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5" Type="http://schemas.openxmlformats.org/officeDocument/2006/relationships/hyperlink" Target="https://www.rusi.org/explore-our-research/publications/commentary/irelands-defence-deficit" TargetMode="External"/><Relationship Id="rId33" Type="http://schemas.openxmlformats.org/officeDocument/2006/relationships/hyperlink" Target="https://www.acq.osd.mil/asda/jrac/docs/2018-jcids.pdf" TargetMode="External"/><Relationship Id="rId38" Type="http://schemas.openxmlformats.org/officeDocument/2006/relationships/hyperlink" Target="https://www.rand.org/pubs/commentary/2025/06/defending-us-military-bases-against-drones-a-recent.html" TargetMode="External"/><Relationship Id="rId46" Type="http://schemas.openxmlformats.org/officeDocument/2006/relationships/hyperlink" Target="https://defensescoop.com/2026/02/18/military-power-begins-with-industrial-strength/" TargetMode="External"/><Relationship Id="rId20" Type="http://schemas.openxmlformats.org/officeDocument/2006/relationships/hyperlink" Target="https://www.jstor.org/stable/2538780" TargetMode="External"/><Relationship Id="rId41" Type="http://schemas.openxmlformats.org/officeDocument/2006/relationships/hyperlink" Target="https://assets.publishing.service.gov.uk/media/6014030be90e07626914df3c/20210121-DEFD_Handbook_Version_2-O.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15</Pages>
  <Words>2981</Words>
  <Characters>16995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23</cp:revision>
  <dcterms:created xsi:type="dcterms:W3CDTF">2026-06-23T08:56:00Z</dcterms:created>
  <dcterms:modified xsi:type="dcterms:W3CDTF">2026-07-19T10:03:00Z</dcterms:modified>
</cp:coreProperties>
</file>