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the political ownership Ireland's policy void withholds</w:t>
      </w:r>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OB: the abstract is only draft… let’s see where your stuff brings us. It would be best if it jumps from mine..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68375779" w14:textId="77777777" w:rsidR="00BA458A" w:rsidRDefault="00BA458A" w:rsidP="00BA458A">
      <w:pPr>
        <w:pStyle w:val="Heading2"/>
      </w:pPr>
      <w:r>
        <w:lastRenderedPageBreak/>
        <w:t>ADAM 1947 WORDS</w:t>
      </w:r>
    </w:p>
    <w:p w14:paraId="2E23BB70" w14:textId="77777777" w:rsidR="00BA458A" w:rsidRDefault="00BA458A" w:rsidP="00BA458A">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footnoteReference w:id="1"/>
      </w:r>
      <w:r w:rsidRPr="004C3B35">
        <w:rPr>
          <w:rFonts w:asciiTheme="minorHAnsi" w:eastAsiaTheme="minorHAnsi" w:hAnsiTheme="minorHAnsi" w:cstheme="minorBidi"/>
          <w:color w:val="auto"/>
          <w:sz w:val="24"/>
          <w:szCs w:val="24"/>
        </w:rPr>
        <w:t xml:space="preserve"> Cheap sensors and democratised precision strike have collapsed the interval between being seen and being hit, changing what movement costs</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footnoteReference w:id="2"/>
      </w:r>
      <w:r w:rsidRPr="004C3B35">
        <w:rPr>
          <w:rFonts w:asciiTheme="minorHAnsi" w:eastAsiaTheme="minorHAnsi" w:hAnsiTheme="minorHAnsi" w:cstheme="minorBidi"/>
          <w:color w:val="auto"/>
          <w:sz w:val="24"/>
          <w:szCs w:val="24"/>
        </w:rPr>
        <w:t xml:space="preserve"> </w:t>
      </w:r>
      <w:r w:rsidRPr="00D65BB3">
        <w:rPr>
          <w:rFonts w:asciiTheme="minorHAnsi" w:eastAsiaTheme="minorHAnsi" w:hAnsiTheme="minorHAnsi" w:cstheme="minorBidi"/>
          <w:color w:val="auto"/>
          <w:sz w:val="24"/>
          <w:szCs w:val="24"/>
        </w:rPr>
        <w:t>Scholars divide between those who</w:t>
      </w:r>
      <w:r>
        <w:rPr>
          <w:rFonts w:asciiTheme="minorHAnsi" w:eastAsiaTheme="minorHAnsi" w:hAnsiTheme="minorHAnsi" w:cstheme="minorBidi"/>
          <w:color w:val="auto"/>
          <w:sz w:val="24"/>
          <w:szCs w:val="24"/>
        </w:rPr>
        <w:t xml:space="preserve"> ask whether </w:t>
      </w:r>
      <w:r w:rsidRPr="00D65BB3">
        <w:rPr>
          <w:rFonts w:asciiTheme="minorHAnsi" w:eastAsiaTheme="minorHAnsi" w:hAnsiTheme="minorHAnsi" w:cstheme="minorBidi"/>
          <w:color w:val="auto"/>
          <w:sz w:val="24"/>
          <w:szCs w:val="24"/>
        </w:rPr>
        <w:t>manoeuvre is “dead”</w:t>
      </w:r>
      <w:r>
        <w:rPr>
          <w:rStyle w:val="EndnoteReference"/>
          <w:rFonts w:asciiTheme="minorHAnsi" w:eastAsiaTheme="minorHAnsi" w:hAnsiTheme="minorHAnsi" w:cstheme="minorBidi"/>
          <w:color w:val="auto"/>
          <w:sz w:val="24"/>
          <w:szCs w:val="24"/>
        </w:rPr>
        <w:footnoteReference w:id="3"/>
      </w:r>
      <w:r>
        <w:rPr>
          <w:rFonts w:asciiTheme="minorHAnsi" w:eastAsiaTheme="minorHAnsi" w:hAnsiTheme="minorHAnsi" w:cstheme="minorBidi"/>
          <w:color w:val="auto"/>
          <w:sz w:val="24"/>
          <w:szCs w:val="24"/>
        </w:rPr>
        <w:t xml:space="preserve"> and </w:t>
      </w:r>
      <w:r w:rsidRPr="00D65BB3">
        <w:rPr>
          <w:rFonts w:asciiTheme="minorHAnsi" w:eastAsiaTheme="minorHAnsi" w:hAnsiTheme="minorHAnsi" w:cstheme="minorBidi"/>
          <w:color w:val="auto"/>
          <w:sz w:val="24"/>
          <w:szCs w:val="24"/>
        </w:rPr>
        <w:t>those who argue that it must adapt to survive</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footnoteReference w:id="4"/>
      </w:r>
      <w:r>
        <w:rPr>
          <w:rFonts w:asciiTheme="minorHAnsi" w:eastAsiaTheme="minorHAnsi" w:hAnsiTheme="minorHAnsi" w:cstheme="minorBidi"/>
          <w:color w:val="auto"/>
          <w:sz w:val="24"/>
          <w:szCs w:val="24"/>
        </w:rPr>
        <w:t xml:space="preserve"> </w:t>
      </w:r>
      <w:r w:rsidRPr="005F7AFB">
        <w:rPr>
          <w:rFonts w:asciiTheme="minorHAnsi" w:eastAsiaTheme="minorHAnsi" w:hAnsiTheme="minorHAnsi" w:cstheme="minorBidi"/>
          <w:color w:val="auto"/>
          <w:sz w:val="24"/>
          <w:szCs w:val="24"/>
        </w:rPr>
        <w:t xml:space="preserve">What is clear is that its price has risen sharply: manoeuvre survives only in the windows that sensing, concealment, electronic warfare and fires can briefly open. </w:t>
      </w:r>
      <w:r w:rsidRPr="004C3B35">
        <w:rPr>
          <w:rFonts w:asciiTheme="minorHAnsi" w:eastAsiaTheme="minorHAnsi" w:hAnsiTheme="minorHAnsi" w:cstheme="minorBidi"/>
          <w:color w:val="auto"/>
          <w:sz w:val="24"/>
          <w:szCs w:val="24"/>
        </w:rPr>
        <w:t>For Ireland, the question is whether a small force can turn that exposure problem into defensive cost.</w:t>
      </w:r>
    </w:p>
    <w:p w14:paraId="2BDA828B" w14:textId="77777777" w:rsidR="00BA458A" w:rsidRDefault="00BA458A" w:rsidP="00BA458A">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Pr>
          <w:rStyle w:val="EndnoteReference"/>
          <w:rFonts w:asciiTheme="minorHAnsi" w:eastAsiaTheme="minorHAnsi" w:hAnsiTheme="minorHAnsi" w:cstheme="minorBidi"/>
          <w:color w:val="auto"/>
          <w:sz w:val="24"/>
          <w:szCs w:val="24"/>
        </w:rPr>
        <w:footnoteReference w:id="5"/>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Pr>
          <w:rStyle w:val="EndnoteReference"/>
          <w:rFonts w:asciiTheme="minorHAnsi" w:eastAsiaTheme="minorHAnsi" w:hAnsiTheme="minorHAnsi" w:cstheme="minorBidi"/>
          <w:color w:val="auto"/>
          <w:sz w:val="24"/>
          <w:szCs w:val="24"/>
        </w:rPr>
        <w:footnoteReference w:id="6"/>
      </w:r>
      <w:r>
        <w:rPr>
          <w:rFonts w:asciiTheme="minorHAnsi" w:eastAsiaTheme="minorHAnsi" w:hAnsiTheme="minorHAnsi" w:cstheme="minorBidi"/>
          <w:color w:val="auto"/>
          <w:sz w:val="24"/>
          <w:szCs w:val="24"/>
        </w:rPr>
        <w:t xml:space="preserve"> — 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The military is tasked to “</w:t>
      </w:r>
      <w:r w:rsidRPr="000E53A4">
        <w:rPr>
          <w:rFonts w:asciiTheme="minorHAnsi" w:eastAsiaTheme="minorHAnsi" w:hAnsiTheme="minorHAnsi" w:cstheme="minorBidi"/>
          <w:color w:val="auto"/>
          <w:sz w:val="24"/>
          <w:szCs w:val="24"/>
        </w:rPr>
        <w:t>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78CED394" w14:textId="77777777" w:rsidR="00BA458A" w:rsidRDefault="00BA458A" w:rsidP="00BA458A">
      <w:pPr>
        <w:pStyle w:val="Heading2"/>
      </w:pPr>
      <w:r w:rsidRPr="007F74B6">
        <w:rPr>
          <w:rFonts w:asciiTheme="minorHAnsi" w:eastAsiaTheme="minorHAnsi" w:hAnsiTheme="minorHAnsi" w:cstheme="minorBidi"/>
          <w:color w:val="auto"/>
          <w:sz w:val="24"/>
          <w:szCs w:val="24"/>
        </w:rPr>
        <w:t>Territorial defence is no longer implausible. It remains politically constrained</w:t>
      </w:r>
      <w:r>
        <w:rPr>
          <w:rStyle w:val="FootnoteReference"/>
          <w:rFonts w:asciiTheme="minorHAnsi" w:eastAsiaTheme="minorHAnsi" w:hAnsiTheme="minorHAnsi" w:cstheme="minorBidi"/>
          <w:color w:val="auto"/>
          <w:sz w:val="24"/>
          <w:szCs w:val="24"/>
        </w:rPr>
        <w:footnoteReference w:id="7"/>
      </w:r>
      <w:r w:rsidRPr="007F74B6">
        <w:rPr>
          <w:rFonts w:asciiTheme="minorHAnsi" w:eastAsiaTheme="minorHAnsi" w:hAnsiTheme="minorHAnsi" w:cstheme="minorBidi"/>
          <w:color w:val="auto"/>
          <w:sz w:val="24"/>
          <w:szCs w:val="24"/>
        </w:rPr>
        <w:t xml:space="preserve"> and under-resourced, but force design cannot assume Europe’s post-1945 “long peace”</w:t>
      </w:r>
      <w:r>
        <w:rPr>
          <w:rStyle w:val="EndnoteReference"/>
          <w:rFonts w:asciiTheme="minorHAnsi" w:eastAsiaTheme="minorHAnsi" w:hAnsiTheme="minorHAnsi" w:cstheme="minorBidi"/>
          <w:color w:val="auto"/>
          <w:sz w:val="24"/>
          <w:szCs w:val="24"/>
        </w:rPr>
        <w:footnoteReference w:id="8"/>
      </w:r>
      <w:r w:rsidRPr="007F74B6">
        <w:rPr>
          <w:rFonts w:asciiTheme="minorHAnsi" w:eastAsiaTheme="minorHAnsi" w:hAnsiTheme="minorHAnsi" w:cstheme="minorBidi"/>
          <w:color w:val="auto"/>
          <w:sz w:val="24"/>
          <w:szCs w:val="24"/>
        </w:rPr>
        <w:t xml:space="preserve"> will continue indefinitely</w:t>
      </w:r>
      <w:r w:rsidRPr="00CA53E2">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The dispute over </w:t>
      </w:r>
      <w:r w:rsidRPr="00B46909">
        <w:rPr>
          <w:rFonts w:asciiTheme="minorHAnsi" w:eastAsiaTheme="minorHAnsi" w:hAnsiTheme="minorHAnsi" w:cstheme="minorBidi"/>
          <w:color w:val="auto"/>
          <w:sz w:val="24"/>
          <w:szCs w:val="24"/>
        </w:rPr>
        <w:t>Greenland</w:t>
      </w:r>
      <w:r>
        <w:rPr>
          <w:rStyle w:val="EndnoteReference"/>
          <w:rFonts w:asciiTheme="minorHAnsi" w:eastAsiaTheme="minorHAnsi" w:hAnsiTheme="minorHAnsi" w:cstheme="minorBidi"/>
          <w:color w:val="auto"/>
          <w:sz w:val="24"/>
          <w:szCs w:val="24"/>
        </w:rPr>
        <w:footnoteReference w:id="9"/>
      </w:r>
      <w:r w:rsidRPr="00B46909">
        <w:rPr>
          <w:rFonts w:asciiTheme="minorHAnsi" w:eastAsiaTheme="minorHAnsi" w:hAnsiTheme="minorHAnsi" w:cstheme="minorBidi"/>
          <w:color w:val="auto"/>
          <w:sz w:val="24"/>
          <w:szCs w:val="24"/>
        </w:rPr>
        <w:t xml:space="preserve"> and Denmark’s response</w:t>
      </w:r>
      <w:r>
        <w:rPr>
          <w:rStyle w:val="EndnoteReference"/>
          <w:rFonts w:asciiTheme="minorHAnsi" w:eastAsiaTheme="minorHAnsi" w:hAnsiTheme="minorHAnsi" w:cstheme="minorBidi"/>
          <w:color w:val="auto"/>
          <w:sz w:val="24"/>
          <w:szCs w:val="24"/>
        </w:rPr>
        <w:footnoteReference w:id="10"/>
      </w:r>
      <w:r w:rsidRPr="00B46909">
        <w:rPr>
          <w:rFonts w:asciiTheme="minorHAnsi" w:eastAsiaTheme="minorHAnsi" w:hAnsiTheme="minorHAnsi" w:cstheme="minorBidi"/>
          <w:color w:val="auto"/>
          <w:sz w:val="24"/>
          <w:szCs w:val="24"/>
        </w:rPr>
        <w:t xml:space="preserve">  </w:t>
      </w:r>
      <w:r w:rsidRPr="00530028">
        <w:rPr>
          <w:rFonts w:asciiTheme="minorHAnsi" w:eastAsiaTheme="minorHAnsi" w:hAnsiTheme="minorHAnsi" w:cstheme="minorBidi"/>
          <w:color w:val="auto"/>
          <w:sz w:val="24"/>
          <w:szCs w:val="24"/>
        </w:rPr>
        <w:t xml:space="preserve">show how quickly strategically marginal scenarios can become </w:t>
      </w:r>
      <w:r>
        <w:rPr>
          <w:rFonts w:asciiTheme="minorHAnsi" w:eastAsiaTheme="minorHAnsi" w:hAnsiTheme="minorHAnsi" w:cstheme="minorBidi"/>
          <w:color w:val="auto"/>
          <w:sz w:val="24"/>
          <w:szCs w:val="24"/>
        </w:rPr>
        <w:t>real.</w:t>
      </w:r>
      <w:r w:rsidRPr="00A5525D">
        <w:t xml:space="preserve"> </w:t>
      </w:r>
      <w:r w:rsidRPr="00A5525D">
        <w:rPr>
          <w:rFonts w:asciiTheme="minorHAnsi" w:eastAsiaTheme="minorHAnsi" w:hAnsiTheme="minorHAnsi" w:cstheme="minorBidi"/>
          <w:color w:val="auto"/>
          <w:sz w:val="24"/>
          <w:szCs w:val="24"/>
        </w:rPr>
        <w:t xml:space="preserve">Threat perception is a poor guide to future risk. Without UxS adaptation, Ireland risks preserving yesterday’s force without a credible theory of victory for </w:t>
      </w:r>
      <w:r>
        <w:rPr>
          <w:rFonts w:asciiTheme="minorHAnsi" w:eastAsiaTheme="minorHAnsi" w:hAnsiTheme="minorHAnsi" w:cstheme="minorBidi"/>
          <w:color w:val="auto"/>
          <w:sz w:val="24"/>
          <w:szCs w:val="24"/>
        </w:rPr>
        <w:t>future conflict</w:t>
      </w:r>
      <w:r w:rsidRPr="00A5525D">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BD22DF">
        <w:rPr>
          <w:rFonts w:asciiTheme="minorHAnsi" w:eastAsiaTheme="minorHAnsi" w:hAnsiTheme="minorHAnsi" w:cstheme="minorBidi"/>
          <w:color w:val="auto"/>
          <w:sz w:val="24"/>
          <w:szCs w:val="24"/>
        </w:rPr>
        <w:t>Any force arriving by sea or air must be contested on land; that task falls primarily to light infantry.</w:t>
      </w:r>
      <w:r w:rsidRPr="00BF065B">
        <w:rPr>
          <w:rFonts w:asciiTheme="minorHAnsi" w:eastAsiaTheme="minorHAnsi" w:hAnsiTheme="minorHAnsi" w:cstheme="minorBidi"/>
          <w:color w:val="auto"/>
          <w:sz w:val="24"/>
          <w:szCs w:val="24"/>
        </w:rPr>
        <w:t xml:space="preserve"> That makes the section</w:t>
      </w:r>
      <w:r>
        <w:rPr>
          <w:rFonts w:asciiTheme="minorHAnsi" w:eastAsiaTheme="minorHAnsi" w:hAnsiTheme="minorHAnsi" w:cstheme="minorBidi"/>
          <w:color w:val="auto"/>
          <w:sz w:val="24"/>
          <w:szCs w:val="24"/>
        </w:rPr>
        <w:t xml:space="preserve"> the</w:t>
      </w:r>
      <w:r w:rsidRPr="00BF065B">
        <w:rPr>
          <w:rFonts w:asciiTheme="minorHAnsi" w:eastAsiaTheme="minorHAnsi" w:hAnsiTheme="minorHAnsi" w:cstheme="minorBidi"/>
          <w:color w:val="auto"/>
          <w:sz w:val="24"/>
          <w:szCs w:val="24"/>
        </w:rPr>
        <w:t xml:space="preserve"> critical unit of analysis. </w:t>
      </w:r>
    </w:p>
    <w:p w14:paraId="3197C0BD" w14:textId="77777777" w:rsidR="00BA458A" w:rsidRDefault="00BA458A" w:rsidP="00BA458A">
      <w:r>
        <w:t>A force design problem exists because</w:t>
      </w:r>
      <w:r w:rsidRPr="00174027">
        <w:t xml:space="preserve"> structure </w:t>
      </w:r>
      <w:r>
        <w:t xml:space="preserve">is being </w:t>
      </w:r>
      <w:r w:rsidRPr="00174027">
        <w:t>overtaken by the threat.</w:t>
      </w:r>
      <w:r>
        <w:t xml:space="preserve"> </w:t>
      </w:r>
      <w:r w:rsidRPr="00803FC3">
        <w:t>Capability is sometimes reduced to equipment</w:t>
      </w:r>
      <w:r>
        <w:t>. It</w:t>
      </w:r>
      <w:r w:rsidRPr="00803FC3">
        <w:t xml:space="preserve"> is better understood as the synthesis </w:t>
      </w:r>
      <w:r w:rsidRPr="00803FC3">
        <w:lastRenderedPageBreak/>
        <w:t>described by DOTMLPF-I</w:t>
      </w:r>
      <w:r>
        <w:t>.</w:t>
      </w:r>
      <w:r>
        <w:rPr>
          <w:rStyle w:val="EndnoteReference"/>
        </w:rPr>
        <w:footnoteReference w:id="11"/>
      </w:r>
      <w:r w:rsidRPr="00174027">
        <w:t xml:space="preserve"> </w:t>
      </w:r>
      <w:r>
        <w:t>O</w:t>
      </w:r>
      <w:r w:rsidRPr="00803FC3">
        <w:t>n that basis</w:t>
      </w:r>
      <w:r>
        <w:t>,</w:t>
      </w:r>
      <w:r w:rsidRPr="00803FC3">
        <w:t xml:space="preserve"> the section fails against nearly every line. Its doctrine remains that of a foot-mobil</w:t>
      </w:r>
      <w:r w:rsidRPr="000504B3">
        <w:t xml:space="preserve">e light infantry section, never reconciled with </w:t>
      </w:r>
      <w:r>
        <w:t>the APC</w:t>
      </w:r>
      <w:r w:rsidRPr="00803FC3">
        <w:t>.</w:t>
      </w:r>
      <w:r w:rsidRPr="00277853">
        <w:rPr>
          <w:rStyle w:val="EndnoteReference"/>
        </w:rPr>
        <w:t xml:space="preserve"> </w:t>
      </w:r>
      <w:r>
        <w:rPr>
          <w:rStyle w:val="EndnoteReference"/>
        </w:rPr>
        <w:footnoteReference w:id="12"/>
      </w:r>
      <w:r w:rsidRPr="00803FC3">
        <w:t xml:space="preserve"> Its organisation may now be rebuilt around vehicle capacity,</w:t>
      </w:r>
      <w:r>
        <w:rPr>
          <w:rStyle w:val="EndnoteReference"/>
        </w:rPr>
        <w:footnoteReference w:id="13"/>
      </w:r>
      <w:r w:rsidRPr="008762BE">
        <w:rPr>
          <w:rStyle w:val="FootnoteReference"/>
        </w:rPr>
        <w:t xml:space="preserve"> </w:t>
      </w:r>
      <w:r w:rsidRPr="00803FC3">
        <w:t xml:space="preserve">on </w:t>
      </w:r>
      <w:r>
        <w:t>the constraint</w:t>
      </w:r>
      <w:r w:rsidRPr="00803FC3">
        <w:t xml:space="preserve"> that one section must fit one carrier</w:t>
      </w:r>
      <w:r>
        <w:t xml:space="preserve">. </w:t>
      </w:r>
      <w:r w:rsidRPr="00803FC3">
        <w:t>It</w:t>
      </w:r>
      <w:r>
        <w:t xml:space="preserve"> should</w:t>
      </w:r>
      <w:r w:rsidRPr="00803FC3">
        <w:t xml:space="preserve"> not bind light infantry, which </w:t>
      </w:r>
      <w:r>
        <w:t>can move</w:t>
      </w:r>
      <w:r w:rsidRPr="00803FC3">
        <w:t xml:space="preserve"> on foot or in soft-skin vehicles, increasingly all-terrain </w:t>
      </w:r>
      <w:r>
        <w:t xml:space="preserve">vehicles </w:t>
      </w:r>
      <w:r w:rsidRPr="00803FC3">
        <w:t>such as the ULTV.</w:t>
      </w:r>
      <w:r>
        <w:rPr>
          <w:rStyle w:val="EndnoteReference"/>
        </w:rPr>
        <w:footnoteReference w:id="14"/>
      </w:r>
      <w:r w:rsidRPr="00803FC3">
        <w:rPr>
          <w:rStyle w:val="FootnoteReference"/>
        </w:rPr>
        <w:t xml:space="preserve"> </w:t>
      </w:r>
      <w:r>
        <w:rPr>
          <w:rStyle w:val="FootnoteReference"/>
        </w:rPr>
        <w:t xml:space="preserve"> </w:t>
      </w:r>
      <w:r>
        <w:t>I</w:t>
      </w:r>
      <w:r w:rsidRPr="00227DF4">
        <w:t>t</w:t>
      </w:r>
      <w:r>
        <w:t xml:space="preserve"> still trains 20</w:t>
      </w:r>
      <w:r w:rsidRPr="00D427C5">
        <w:rPr>
          <w:vertAlign w:val="superscript"/>
        </w:rPr>
        <w:t>th</w:t>
      </w:r>
      <w:r>
        <w:t xml:space="preserve"> century </w:t>
      </w:r>
      <w:r w:rsidRPr="00227DF4">
        <w:t xml:space="preserve">conventional </w:t>
      </w:r>
      <w:r>
        <w:t>tactics</w:t>
      </w:r>
      <w:r w:rsidRPr="00227DF4">
        <w:t xml:space="preserve"> and </w:t>
      </w:r>
      <w:r>
        <w:t xml:space="preserve">for </w:t>
      </w:r>
      <w:r w:rsidRPr="00227DF4">
        <w:t xml:space="preserve">the peace-support tasks of the decades since. </w:t>
      </w:r>
      <w:r w:rsidRPr="007B7BC3">
        <w:t>It neglects</w:t>
      </w:r>
      <w:r>
        <w:t xml:space="preserve"> dispersion, </w:t>
      </w:r>
      <w:r w:rsidRPr="007B7BC3">
        <w:t>“infobesity”</w:t>
      </w:r>
      <w:r w:rsidRPr="00277853">
        <w:rPr>
          <w:rStyle w:val="EndnoteReference"/>
        </w:rPr>
        <w:t xml:space="preserve"> </w:t>
      </w:r>
      <w:r>
        <w:rPr>
          <w:rStyle w:val="EndnoteReference"/>
        </w:rPr>
        <w:footnoteReference w:id="15"/>
      </w:r>
      <w:r w:rsidRPr="007B7BC3">
        <w:t xml:space="preserve">  — the cognitive burden of sensor-rich combat</w:t>
      </w:r>
      <w:r>
        <w:t xml:space="preserve"> </w:t>
      </w:r>
      <w:r w:rsidRPr="007B7BC3">
        <w:t>—</w:t>
      </w:r>
      <w:r>
        <w:t xml:space="preserve"> </w:t>
      </w:r>
      <w:r w:rsidRPr="00227DF4">
        <w:t>and</w:t>
      </w:r>
      <w:r>
        <w:t xml:space="preserve"> the</w:t>
      </w:r>
      <w:r w:rsidRPr="00227DF4">
        <w:t xml:space="preserve"> exposure of a section that can be found and struck on a checkpoint or logistics convoy as readily as in battle, without higher-echelon cover. </w:t>
      </w:r>
      <w:r w:rsidRPr="003C060B">
        <w:t>Its materiel</w:t>
      </w:r>
      <w:r>
        <w:t xml:space="preserve"> largely</w:t>
      </w:r>
      <w:r w:rsidRPr="003C060B">
        <w:t xml:space="preserve"> reflects a Cold War mentality. Its leadership is not configured for mission command under persistent observation. </w:t>
      </w:r>
      <w:r>
        <w:t>It fields</w:t>
      </w:r>
      <w:r w:rsidRPr="003C060B">
        <w:t xml:space="preserve"> too few soldiers to carry the cognitive load, operate the new systems and remain cohesive once dispersed. Adding drones changes none of that. </w:t>
      </w:r>
    </w:p>
    <w:p w14:paraId="25C9E2C3" w14:textId="77777777" w:rsidR="00BA458A" w:rsidRPr="00B47134" w:rsidRDefault="00BA458A" w:rsidP="00BA458A">
      <w:r w:rsidRPr="00B47134">
        <w:lastRenderedPageBreak/>
        <w:t>These are not uniquely Irish problems</w:t>
      </w:r>
      <w:r>
        <w:t xml:space="preserve"> and </w:t>
      </w:r>
      <w:r w:rsidRPr="00B47134">
        <w:t xml:space="preserve">are being reconsidered elsewhere. French </w:t>
      </w:r>
      <w:r>
        <w:t>r</w:t>
      </w:r>
      <w:r w:rsidRPr="00B47134">
        <w:t xml:space="preserve">eform shows one mechanised </w:t>
      </w:r>
      <w:r>
        <w:t>solution</w:t>
      </w:r>
      <w:r w:rsidRPr="00B47134">
        <w:t xml:space="preserve">: the vehicle acts as a mission-configurable “weapons store”, </w:t>
      </w:r>
      <w:r>
        <w:t xml:space="preserve">UAS is held at the platoon, </w:t>
      </w:r>
      <w:r w:rsidRPr="00B47134">
        <w:t xml:space="preserve">anti-armour is </w:t>
      </w:r>
      <w:r>
        <w:t>decentralised while</w:t>
      </w:r>
      <w:r w:rsidRPr="00B47134">
        <w:t xml:space="preserve"> heavier UAS, EW and robotic remain </w:t>
      </w:r>
      <w:r>
        <w:t>separate</w:t>
      </w:r>
      <w:r w:rsidRPr="00B47134">
        <w:t>.</w:t>
      </w:r>
      <w:r>
        <w:rPr>
          <w:rStyle w:val="EndnoteReference"/>
        </w:rPr>
        <w:footnoteReference w:id="16"/>
      </w:r>
      <w:r>
        <w:t xml:space="preserve"> </w:t>
      </w:r>
      <w:r w:rsidRPr="00A72C99">
        <w:t>For a mechanised force, that is coherent</w:t>
      </w:r>
      <w:r>
        <w:t>.</w:t>
      </w:r>
      <w:r w:rsidRPr="00A72C99">
        <w:t xml:space="preserve"> For Irish light</w:t>
      </w:r>
      <w:r>
        <w:t xml:space="preserve"> and mechanised</w:t>
      </w:r>
      <w:r w:rsidRPr="00A72C99">
        <w:t xml:space="preserve"> infantry, it</w:t>
      </w:r>
      <w:r>
        <w:t xml:space="preserve"> may not suffice</w:t>
      </w:r>
      <w:r w:rsidRPr="00A72C99">
        <w:t xml:space="preserve">. </w:t>
      </w:r>
      <w:r w:rsidRPr="00B47134">
        <w:t xml:space="preserve">The British Army’s experimental </w:t>
      </w:r>
      <w:r w:rsidRPr="00294FE3">
        <w:rPr>
          <w:i/>
          <w:iCs/>
        </w:rPr>
        <w:t>urban-optimised</w:t>
      </w:r>
      <w:r>
        <w:t xml:space="preserve"> </w:t>
      </w:r>
      <w:r w:rsidRPr="00B47134">
        <w:t xml:space="preserve">Phalanx Platoon </w:t>
      </w:r>
      <w:r>
        <w:t>C</w:t>
      </w:r>
      <w:r w:rsidRPr="00B47134">
        <w:t>oncept</w:t>
      </w:r>
      <w:r>
        <w:rPr>
          <w:rStyle w:val="EndnoteReference"/>
        </w:rPr>
        <w:footnoteReference w:id="17"/>
      </w:r>
      <w:r w:rsidRPr="00B47134">
        <w:t xml:space="preserve"> points in the same direction. Yet adaptation remains uneven. Exercises such as </w:t>
      </w:r>
      <w:r w:rsidRPr="00F92358">
        <w:rPr>
          <w:i/>
          <w:iCs/>
        </w:rPr>
        <w:t>Gévaudan 26</w:t>
      </w:r>
      <w:r w:rsidRPr="003C060B">
        <w:t xml:space="preserve"> </w:t>
      </w:r>
      <w:r>
        <w:t xml:space="preserve">and </w:t>
      </w:r>
      <w:r w:rsidRPr="00F92358">
        <w:rPr>
          <w:i/>
          <w:iCs/>
        </w:rPr>
        <w:t>Hedgehog</w:t>
      </w:r>
      <w:r>
        <w:rPr>
          <w:rStyle w:val="EndnoteReference"/>
          <w:i/>
          <w:iCs/>
        </w:rPr>
        <w:footnoteReference w:id="18"/>
      </w:r>
      <w:r>
        <w:t xml:space="preserve"> </w:t>
      </w:r>
      <w:r w:rsidRPr="00B47134">
        <w:t xml:space="preserve">suggest that integrating drones is easier than adapting </w:t>
      </w:r>
      <w:r>
        <w:t>to the implications of</w:t>
      </w:r>
      <w:r w:rsidRPr="00B47134">
        <w:t xml:space="preserve"> persistent observation. The challenge is </w:t>
      </w:r>
      <w:r>
        <w:t>to redesign</w:t>
      </w:r>
      <w:r w:rsidRPr="00B47134">
        <w:t xml:space="preserve"> the infantry section around the</w:t>
      </w:r>
      <w:r>
        <w:t xml:space="preserve"> modern battlespace</w:t>
      </w:r>
      <w:r w:rsidRPr="00B47134">
        <w:t>.</w:t>
      </w:r>
      <w:r>
        <w:rPr>
          <w:rStyle w:val="EndnoteReference"/>
        </w:rPr>
        <w:footnoteReference w:id="19"/>
      </w:r>
      <w:r>
        <w:t xml:space="preserve"> </w:t>
      </w:r>
    </w:p>
    <w:p w14:paraId="4D0D0CFC" w14:textId="77777777" w:rsidR="00BA458A" w:rsidRPr="00262708" w:rsidRDefault="00BA458A" w:rsidP="00BA458A">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Pr="00D37663">
        <w:rPr>
          <w:rFonts w:asciiTheme="minorHAnsi" w:eastAsiaTheme="minorHAnsi" w:hAnsiTheme="minorHAnsi" w:cstheme="minorBidi"/>
          <w:color w:val="auto"/>
          <w:sz w:val="24"/>
          <w:szCs w:val="24"/>
        </w:rPr>
        <w:t>Low-cost uncrewed systems disturb that arithmetic, a shift which</w:t>
      </w:r>
      <w:r>
        <w:rPr>
          <w:rFonts w:asciiTheme="minorHAnsi" w:eastAsiaTheme="minorHAnsi" w:hAnsiTheme="minorHAnsi" w:cstheme="minorBidi"/>
          <w:color w:val="auto"/>
          <w:sz w:val="24"/>
          <w:szCs w:val="24"/>
        </w:rPr>
        <w:t xml:space="preserve"> the Lanchester Force Equations</w:t>
      </w:r>
      <w:r>
        <w:rPr>
          <w:rStyle w:val="EndnoteReference"/>
          <w:rFonts w:asciiTheme="minorHAnsi" w:eastAsiaTheme="minorHAnsi" w:hAnsiTheme="minorHAnsi" w:cstheme="minorBidi"/>
          <w:color w:val="auto"/>
          <w:sz w:val="24"/>
          <w:szCs w:val="24"/>
        </w:rPr>
        <w:footnoteReference w:id="20"/>
      </w:r>
      <w:r>
        <w:rPr>
          <w:rFonts w:asciiTheme="minorHAnsi" w:eastAsiaTheme="minorHAnsi" w:hAnsiTheme="minorHAnsi" w:cstheme="minorBidi"/>
          <w:color w:val="auto"/>
          <w:sz w:val="24"/>
          <w:szCs w:val="24"/>
        </w:rPr>
        <w:t xml:space="preserve"> and the 3:1 heuristic</w:t>
      </w:r>
      <w:r>
        <w:rPr>
          <w:rStyle w:val="EndnoteReference"/>
          <w:rFonts w:asciiTheme="minorHAnsi" w:eastAsiaTheme="minorHAnsi" w:hAnsiTheme="minorHAnsi" w:cstheme="minorBidi"/>
          <w:color w:val="auto"/>
          <w:sz w:val="24"/>
          <w:szCs w:val="24"/>
        </w:rPr>
        <w:footnoteReference w:id="21"/>
      </w:r>
      <w:r w:rsidRPr="00C03858">
        <w:rPr>
          <w:rFonts w:asciiTheme="minorHAnsi" w:eastAsiaTheme="minorHAnsi" w:hAnsiTheme="minorHAnsi" w:cstheme="minorBidi"/>
          <w:color w:val="auto"/>
          <w:sz w:val="24"/>
          <w:szCs w:val="24"/>
        </w:rPr>
        <w:t xml:space="preserve"> </w:t>
      </w:r>
      <w:r w:rsidRPr="00D37663">
        <w:rPr>
          <w:rFonts w:asciiTheme="minorHAnsi" w:eastAsiaTheme="minorHAnsi" w:hAnsiTheme="minorHAnsi" w:cstheme="minorBidi"/>
          <w:color w:val="auto"/>
          <w:sz w:val="24"/>
          <w:szCs w:val="24"/>
        </w:rPr>
        <w:t>help frame but cannot fully capture.</w:t>
      </w:r>
      <w:r>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t>
      </w:r>
    </w:p>
    <w:p w14:paraId="08B7F797" w14:textId="77777777" w:rsidR="00BA458A" w:rsidRDefault="00BA458A" w:rsidP="00BA458A">
      <w:r>
        <w:fldChar w:fldCharType="begin"/>
      </w:r>
      <w:r>
        <w:instrText xml:space="preserve"> REF _Ref233053446 \h </w:instrText>
      </w:r>
      <w:r>
        <w:fldChar w:fldCharType="separate"/>
      </w:r>
      <w:r>
        <w:t xml:space="preserve">Table </w:t>
      </w:r>
      <w:r>
        <w:rPr>
          <w:noProof/>
        </w:rPr>
        <w:t>1</w:t>
      </w:r>
      <w:r>
        <w:fldChar w:fldCharType="end"/>
      </w:r>
      <w:r w:rsidRPr="001E7AE7">
        <w:t xml:space="preserve"> </w:t>
      </w:r>
      <w:r w:rsidRPr="00656D8B">
        <w:t>shows that FPV-OWADs cannot be dismissed as cheap substitutes for Javelin.</w:t>
      </w:r>
      <w:r>
        <w:rPr>
          <w:rStyle w:val="EndnoteReference"/>
        </w:rPr>
        <w:footnoteReference w:id="22"/>
      </w:r>
      <w:r>
        <w:t xml:space="preserve"> D</w:t>
      </w:r>
      <w:r w:rsidRPr="00656D8B">
        <w:t xml:space="preserve">efeating an armoured company costs roughly €1.13 million in Javelins, compared with </w:t>
      </w:r>
      <w:r w:rsidRPr="00656D8B">
        <w:lastRenderedPageBreak/>
        <w:t xml:space="preserve">under €85,000 in FPV-OWADs </w:t>
      </w:r>
      <w:r>
        <w:t xml:space="preserve">— </w:t>
      </w:r>
      <w:r w:rsidRPr="00656D8B">
        <w:t xml:space="preserve">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Pr="007A6FF0">
        <w:t>but they can immobilise it for follow-on fires and reach more than an order of magnitude further.</w:t>
      </w:r>
      <w:r w:rsidRPr="00656D8B">
        <w:t xml:space="preserve"> The direction is unambiguous: FPV-OWADs change the defensive arithmetic and can no longer be ignored</w:t>
      </w:r>
      <w:r>
        <w:t xml:space="preserve">. </w:t>
      </w:r>
    </w:p>
    <w:p w14:paraId="14A21FBE" w14:textId="77777777" w:rsidR="00BA458A" w:rsidRDefault="00BA458A" w:rsidP="00BA458A">
      <w:pPr>
        <w:keepNext/>
        <w:jc w:val="center"/>
      </w:pPr>
      <w:r w:rsidRPr="006B25D9">
        <w:rPr>
          <w:noProof/>
        </w:rPr>
        <w:drawing>
          <wp:inline distT="0" distB="0" distL="0" distR="0" wp14:anchorId="658643E7" wp14:editId="6AE7CF34">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2AA8853B" w14:textId="77777777" w:rsidR="00BA458A" w:rsidRPr="00E05D57" w:rsidRDefault="00BA458A" w:rsidP="00BA458A">
      <w:pPr>
        <w:pStyle w:val="Caption"/>
        <w:jc w:val="center"/>
      </w:pPr>
      <w:bookmarkStart w:id="0" w:name="_Ref233053446"/>
      <w:r>
        <w:t xml:space="preserve">Table </w:t>
      </w:r>
      <w:fldSimple w:instr=" SEQ Table \* ARABIC ">
        <w:r>
          <w:rPr>
            <w:noProof/>
          </w:rPr>
          <w:t>1</w:t>
        </w:r>
      </w:fldSimple>
      <w:bookmarkEnd w:id="0"/>
      <w:r>
        <w:t xml:space="preserve">. </w:t>
      </w:r>
      <w:r w:rsidRPr="002C4F0D">
        <w:t>Comparative Anti-Armour Cost-Imposition Model</w:t>
      </w:r>
      <w:r w:rsidRPr="00F1368C">
        <w:t>: ATGMs versus FPV-OWADs and Loitering-OWADs</w:t>
      </w:r>
    </w:p>
    <w:p w14:paraId="1E0BEDAB" w14:textId="77777777" w:rsidR="00BA458A" w:rsidRPr="00701614" w:rsidRDefault="00BA458A" w:rsidP="00BA458A">
      <w:r w:rsidRPr="00542C4A">
        <w:t>Ireland has long approached territorial defence through efficiency and restraint, not sustained increases in defence spending.</w:t>
      </w:r>
      <w:r>
        <w:rPr>
          <w:rStyle w:val="EndnoteReference"/>
        </w:rPr>
        <w:footnoteReference w:id="23"/>
      </w:r>
      <w:r>
        <w:t xml:space="preserve"> </w:t>
      </w:r>
      <w:r w:rsidRPr="00701614">
        <w:t xml:space="preserve">UxS change what that premise can buy: if </w:t>
      </w:r>
      <w:r w:rsidRPr="00701614">
        <w:lastRenderedPageBreak/>
        <w:t>cheap precision systems can make lodgement, movement and sustainment costly, the constraint shifts from money to organisation.</w:t>
      </w:r>
      <w:r>
        <w:t xml:space="preserve"> </w:t>
      </w:r>
      <w:r w:rsidRPr="00701614">
        <w:t>Deterrence-by-denial here means one thing: making an attacker doubt that victory will be quick or cheap. A defender need not win. They need only impose enough delay, attrition and uncertainty that the operation’s price climbs past what the aggressor is willing to pay.</w:t>
      </w:r>
    </w:p>
    <w:p w14:paraId="4AA98CAA" w14:textId="77777777" w:rsidR="00BA458A" w:rsidRPr="00701614" w:rsidRDefault="00BA458A" w:rsidP="00BA458A">
      <w:r w:rsidRPr="00701614">
        <w:t xml:space="preserve">The pace of change is uncertain and programmes are mid-stream, but that is not a reason to stand still. Vehicle capacity matters: it shapes lift, sustainment, command and mobility. But the threat should come first for light infantry. Light infantry </w:t>
      </w:r>
      <w:r>
        <w:t>may</w:t>
      </w:r>
      <w:r w:rsidRPr="00701614">
        <w:t xml:space="preserve"> not need armour. It can move on foot or in commercial 4x4s already in service. A survivable light section is not waiting on a vehicle programme. It is available now, held back by a constraint borrowed from another kind of infantry.</w:t>
      </w:r>
    </w:p>
    <w:p w14:paraId="1A23F59E" w14:textId="77777777" w:rsidR="00BA458A" w:rsidRDefault="00BA458A">
      <w:pPr>
        <w:rPr>
          <w:rFonts w:asciiTheme="majorHAnsi" w:eastAsiaTheme="majorEastAsia" w:hAnsiTheme="majorHAnsi" w:cstheme="majorBidi"/>
          <w:color w:val="0F4761" w:themeColor="accent1" w:themeShade="BF"/>
          <w:sz w:val="32"/>
          <w:szCs w:val="32"/>
        </w:rPr>
      </w:pPr>
      <w:r>
        <w:br w:type="page"/>
      </w:r>
    </w:p>
    <w:p w14:paraId="4DF60F31" w14:textId="0201CD0C" w:rsidR="00CB2FEB" w:rsidRDefault="00CB2FEB" w:rsidP="005E2FA4">
      <w:pPr>
        <w:pStyle w:val="Heading2"/>
      </w:pPr>
      <w:r>
        <w:lastRenderedPageBreak/>
        <w:t>Main Body – OB</w:t>
      </w:r>
    </w:p>
    <w:p w14:paraId="52537D6E" w14:textId="77777777" w:rsidR="00F1387E" w:rsidRPr="00F1387E" w:rsidRDefault="00F1387E" w:rsidP="00F1387E">
      <w:pPr>
        <w:keepNext/>
        <w:keepLines/>
        <w:spacing w:before="160" w:after="80"/>
        <w:outlineLvl w:val="1"/>
        <w:rPr>
          <w:rFonts w:asciiTheme="majorHAnsi" w:eastAsiaTheme="majorEastAsia" w:hAnsiTheme="majorHAnsi" w:cstheme="majorBidi"/>
          <w:color w:val="0F4761" w:themeColor="accent1" w:themeShade="BF"/>
          <w:sz w:val="32"/>
          <w:szCs w:val="32"/>
        </w:rPr>
      </w:pPr>
      <w:r w:rsidRPr="00F1387E">
        <w:rPr>
          <w:rFonts w:asciiTheme="majorHAnsi" w:eastAsiaTheme="majorEastAsia" w:hAnsiTheme="majorHAnsi" w:cstheme="majorBidi"/>
          <w:color w:val="0F4761" w:themeColor="accent1" w:themeShade="BF"/>
          <w:sz w:val="32"/>
          <w:szCs w:val="32"/>
        </w:rPr>
        <w:t>Main Body – OB</w:t>
      </w:r>
    </w:p>
    <w:p w14:paraId="67FFC4F1" w14:textId="77777777" w:rsidR="00F1387E" w:rsidRPr="00F1387E" w:rsidRDefault="00F1387E" w:rsidP="00F1387E">
      <w:pPr>
        <w:rPr>
          <w:rFonts w:ascii="Times New Roman" w:hAnsi="Times New Roman" w:cs="Times New Roman"/>
          <w:b/>
          <w:bCs/>
          <w:lang w:val="en-GB"/>
        </w:rPr>
      </w:pPr>
      <w:r w:rsidRPr="00F1387E">
        <w:rPr>
          <w:rFonts w:ascii="Times New Roman" w:hAnsi="Times New Roman" w:cs="Times New Roman"/>
          <w:b/>
          <w:bCs/>
          <w:lang w:val="en-GB"/>
        </w:rPr>
        <w:t>From Tactical Innovation to Credible Defence Policy: Integrating Uncrewed Systems into Irish Military Capability</w:t>
      </w:r>
    </w:p>
    <w:p w14:paraId="5A33458A" w14:textId="77777777" w:rsidR="00F1387E" w:rsidRPr="00F1387E" w:rsidRDefault="00F1387E" w:rsidP="00F1387E">
      <w:pPr>
        <w:rPr>
          <w:rFonts w:ascii="Times New Roman" w:hAnsi="Times New Roman" w:cs="Times New Roman"/>
          <w:b/>
          <w:bCs/>
          <w:lang w:val="en-GB"/>
        </w:rPr>
      </w:pPr>
    </w:p>
    <w:p w14:paraId="7BFF9FDD"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commentRangeStart w:id="1"/>
      <w:r w:rsidRPr="00F1387E">
        <w:rPr>
          <w:rFonts w:ascii="Times New Roman" w:hAnsi="Times New Roman" w:cs="Times New Roman"/>
          <w:kern w:val="0"/>
          <w:lang w:val="en-GB" w:eastAsia="en-GB"/>
          <w14:ligatures w14:val="none"/>
        </w:rPr>
        <w:t xml:space="preserve">The rapid proliferation of uncrewed systems (UxS) has fundamentally altered the character of contemporary warfare. From the battlefields of Ukraine to maritime security operations in the Red Sea, inexpensive and increasingly autonomous platforms have demonstrated an ability to challenge technologically superior forces, provide persistent surveillance, and impose disproportionate costs on adversaries. For small states with limited defence budgets, these developments present an opportunity to rethink conventional approaches to military capability. For Ireland in particular, UxS enabled light infantry and maritime denial capabilities offer a realistic means of enhancing deterrence without abandoning the principles of military neutrality or requiring prohibitively expensive conventional force structures. However, tactical utility alone is insufficient to justify major defence investment. </w:t>
      </w:r>
      <w:commentRangeEnd w:id="1"/>
      <w:r w:rsidRPr="00F1387E">
        <w:rPr>
          <w:rStyle w:val="CommentReference"/>
          <w:rFonts w:ascii="Times New Roman" w:hAnsi="Times New Roman" w:cs="Times New Roman"/>
          <w:kern w:val="0"/>
          <w:sz w:val="24"/>
          <w:szCs w:val="24"/>
          <w:lang w:val="en-GB" w:eastAsia="en-GB"/>
          <w14:ligatures w14:val="none"/>
        </w:rPr>
        <w:commentReference w:id="1"/>
      </w:r>
    </w:p>
    <w:p w14:paraId="18A4CE3C"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p>
    <w:p w14:paraId="05888B79"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commentRangeStart w:id="2"/>
      <w:r w:rsidRPr="00F1387E">
        <w:rPr>
          <w:rFonts w:ascii="Times New Roman" w:hAnsi="Times New Roman" w:cs="Times New Roman"/>
          <w:kern w:val="0"/>
          <w:lang w:val="en-GB" w:eastAsia="en-GB"/>
          <w14:ligatures w14:val="none"/>
        </w:rPr>
        <w:t>To become credible Irish defence policy, the argument for UxS integration must evolve from an attractive battlefield concept into an institutionalised capability embedded within national defence planning, supported by doctrine, exercised in practice, sustained by industry, and legitimised through political leadership.</w:t>
      </w:r>
      <w:commentRangeEnd w:id="2"/>
      <w:r w:rsidRPr="00F1387E">
        <w:rPr>
          <w:rStyle w:val="CommentReference"/>
          <w:rFonts w:ascii="Times New Roman" w:hAnsi="Times New Roman" w:cs="Times New Roman"/>
          <w:kern w:val="0"/>
          <w:sz w:val="24"/>
          <w:szCs w:val="24"/>
          <w:lang w:val="en-GB" w:eastAsia="en-GB"/>
          <w14:ligatures w14:val="none"/>
        </w:rPr>
        <w:commentReference w:id="2"/>
      </w:r>
    </w:p>
    <w:p w14:paraId="625B52DC"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p>
    <w:p w14:paraId="64869AB6" w14:textId="77777777" w:rsidR="00F1387E" w:rsidRPr="00F1387E" w:rsidRDefault="00F1387E" w:rsidP="00F1387E">
      <w:pPr>
        <w:spacing w:after="0" w:line="360" w:lineRule="auto"/>
        <w:jc w:val="both"/>
        <w:rPr>
          <w:rFonts w:ascii="Times New Roman" w:hAnsi="Times New Roman" w:cs="Times New Roman"/>
          <w:b/>
          <w:bCs/>
          <w:kern w:val="0"/>
          <w:lang w:val="en-GB" w:eastAsia="en-GB"/>
          <w14:ligatures w14:val="none"/>
        </w:rPr>
      </w:pPr>
      <w:r w:rsidRPr="00F1387E">
        <w:rPr>
          <w:rFonts w:ascii="Times New Roman" w:hAnsi="Times New Roman" w:cs="Times New Roman"/>
          <w:b/>
          <w:bCs/>
          <w:kern w:val="0"/>
          <w:lang w:val="en-GB" w:eastAsia="en-GB"/>
          <w14:ligatures w14:val="none"/>
        </w:rPr>
        <w:t>Recognition at the Senior and Political Level.</w:t>
      </w:r>
    </w:p>
    <w:p w14:paraId="1AEA1B53"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r w:rsidRPr="00F1387E">
        <w:rPr>
          <w:rFonts w:ascii="Times New Roman" w:hAnsi="Times New Roman" w:cs="Times New Roman"/>
          <w:kern w:val="0"/>
          <w:lang w:val="en-GB" w:eastAsia="en-GB"/>
          <w14:ligatures w14:val="none"/>
        </w:rPr>
        <w:t xml:space="preserve">The first requirement is recognition at both the senior military and political levels that UxS represent a disruptive shift in military affairs </w:t>
      </w:r>
      <w:r w:rsidRPr="00F1387E">
        <w:rPr>
          <w:rFonts w:ascii="Times New Roman" w:hAnsi="Times New Roman" w:cs="Times New Roman"/>
          <w:kern w:val="0"/>
          <w:vertAlign w:val="superscript"/>
          <w:lang w:val="en-GB" w:eastAsia="en-GB"/>
          <w14:ligatures w14:val="none"/>
        </w:rPr>
        <w:footnoteReference w:id="24"/>
      </w:r>
      <w:r w:rsidRPr="00F1387E">
        <w:rPr>
          <w:rFonts w:ascii="Times New Roman" w:hAnsi="Times New Roman" w:cs="Times New Roman"/>
          <w:kern w:val="0"/>
          <w:lang w:val="en-GB" w:eastAsia="en-GB"/>
          <w14:ligatures w14:val="none"/>
        </w:rPr>
        <w:t xml:space="preserve"> rather than simply another technological enhancement. Historically, military organisations have often struggled to recognise discontinuous technological change, preferring to adapt existing structures rather than fundamentally reconsider them. Yet recent conflicts demonstrate that uncrewed systems are altering the relationship between mass, precision, persistence and survivability. For Ireland, whose Defence Forces face significant personnel shortages and resource constraints, UxS </w:t>
      </w:r>
      <w:r w:rsidRPr="00F1387E">
        <w:rPr>
          <w:rFonts w:ascii="Times New Roman" w:hAnsi="Times New Roman" w:cs="Times New Roman"/>
          <w:kern w:val="0"/>
          <w:lang w:val="en-GB" w:eastAsia="en-GB"/>
          <w14:ligatures w14:val="none"/>
        </w:rPr>
        <w:lastRenderedPageBreak/>
        <w:t>provide an opportunity to multiply the effectiveness of limited manpower. This requires political acknowledgement that investment in autonomous and remotely operated systems is not a niche procurement decision but a strategic adaptation to a changing security environment. Such recognition would align with the recommendations of the Commission on the Defence Forces, which identified technological transformation, digitalisation and enhanced surveillance capabilities as essential components of future force development. Framing UxS as part of a broader military revolution elevates the discussion beyond procurement towards strategic reform.</w:t>
      </w:r>
    </w:p>
    <w:p w14:paraId="22270583"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p>
    <w:p w14:paraId="4E0B3B92" w14:textId="77777777" w:rsidR="00F1387E" w:rsidRPr="00F1387E" w:rsidRDefault="00F1387E" w:rsidP="00F1387E">
      <w:pPr>
        <w:spacing w:after="0" w:line="360" w:lineRule="auto"/>
        <w:jc w:val="both"/>
        <w:rPr>
          <w:rFonts w:ascii="Times New Roman" w:hAnsi="Times New Roman" w:cs="Times New Roman"/>
          <w:b/>
          <w:bCs/>
          <w:kern w:val="0"/>
          <w:lang w:val="en-GB" w:eastAsia="en-GB"/>
          <w14:ligatures w14:val="none"/>
        </w:rPr>
      </w:pPr>
      <w:r w:rsidRPr="00F1387E">
        <w:rPr>
          <w:rFonts w:ascii="Times New Roman" w:hAnsi="Times New Roman" w:cs="Times New Roman"/>
          <w:b/>
          <w:bCs/>
          <w:kern w:val="0"/>
          <w:lang w:val="en-GB" w:eastAsia="en-GB"/>
          <w14:ligatures w14:val="none"/>
        </w:rPr>
        <w:t>The Production of a Guiding Vision.</w:t>
      </w:r>
    </w:p>
    <w:p w14:paraId="1FF926BC"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r w:rsidRPr="00F1387E">
        <w:rPr>
          <w:rFonts w:ascii="Times New Roman" w:hAnsi="Times New Roman" w:cs="Times New Roman"/>
          <w:kern w:val="0"/>
          <w:lang w:val="en-GB" w:eastAsia="en-GB"/>
          <w14:ligatures w14:val="none"/>
        </w:rPr>
        <w:t>Political recognition must then be translated into a guiding vision. Military innovation succeeds when technological adoption is driven by coherent operational concepts rather than the availability of new equipment. Ireland therefore requires an operational concept that defines how UxS contribute to national defence objectives across land, maritime and air domains. Such a concept should emphasise persistent surveillance, intelligence collection, force protection and denial operations rather than offensive power projection. For light infantry, this means integrating reconnaissance drones, loitering munitions where politically acceptable, autonomous logistics platforms and electronic warfare systems into dispersed defensive operations. At sea, unmanned surface and underwater vehicles could strengthen maritime domain awareness and contribute to protecting critical underwater infrastructure within Ireland's extensive Exclusive Economic Zone. Supporting doctrine would provide common procedures, command relationships and tactical principles, ensuring that UxS become an integral part of operations rather than isolated specialist capabilities. Doctrine also ensures interoperability with European partners and NATO members during peace support, humanitarian assistance and maritime security operations while remaining entirely compatible with Ireland's policy of military neutrality.</w:t>
      </w:r>
    </w:p>
    <w:p w14:paraId="344FB3D8"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p>
    <w:p w14:paraId="70B32C20" w14:textId="77777777" w:rsidR="00F1387E" w:rsidRPr="00F1387E" w:rsidRDefault="00F1387E" w:rsidP="00F1387E">
      <w:pPr>
        <w:spacing w:after="0" w:line="360" w:lineRule="auto"/>
        <w:jc w:val="both"/>
        <w:rPr>
          <w:rFonts w:ascii="Times New Roman" w:hAnsi="Times New Roman" w:cs="Times New Roman"/>
          <w:b/>
          <w:bCs/>
          <w:kern w:val="0"/>
          <w:lang w:val="en-GB" w:eastAsia="en-GB"/>
          <w14:ligatures w14:val="none"/>
        </w:rPr>
      </w:pPr>
      <w:r w:rsidRPr="00F1387E">
        <w:rPr>
          <w:rFonts w:ascii="Times New Roman" w:hAnsi="Times New Roman" w:cs="Times New Roman"/>
          <w:b/>
          <w:bCs/>
          <w:kern w:val="0"/>
          <w:lang w:val="en-GB" w:eastAsia="en-GB"/>
          <w14:ligatures w14:val="none"/>
        </w:rPr>
        <w:t>The Industrialisation of Change.</w:t>
      </w:r>
    </w:p>
    <w:p w14:paraId="24B0AC7B"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r w:rsidRPr="00F1387E">
        <w:rPr>
          <w:rFonts w:ascii="Times New Roman" w:hAnsi="Times New Roman" w:cs="Times New Roman"/>
          <w:kern w:val="0"/>
          <w:lang w:val="en-GB" w:eastAsia="en-GB"/>
          <w14:ligatures w14:val="none"/>
        </w:rPr>
        <w:t xml:space="preserve">The third requirement is institutionalisation. Military innovation becomes credible only when organisations adapt themselves to sustain it. Creating dedicated UxS career pathways would signal that these capabilities are enduring rather than experimental. This requires recruiting and retaining personnel with expertise in robotics, artificial intelligence, software engineering and electronic warfare while integrating these specialists with operational commanders rather than separating technical and tactical functions. Modern uncrewed systems demand </w:t>
      </w:r>
      <w:r w:rsidRPr="00F1387E">
        <w:rPr>
          <w:rFonts w:ascii="Times New Roman" w:hAnsi="Times New Roman" w:cs="Times New Roman"/>
          <w:kern w:val="0"/>
          <w:lang w:val="en-GB" w:eastAsia="en-GB"/>
          <w14:ligatures w14:val="none"/>
        </w:rPr>
        <w:lastRenderedPageBreak/>
        <w:t>multidisciplinary teams where technicians, intelligence analysts and combat leaders work collaboratively. Professional military education should therefore incorporate autonomous systems, human-machine teaming and counter-UxS operations throughout career progression. Institutional change also requires adapting procurement organisations, maintenance structures and training establishments to support rapid technological iteration rather than the traditionally slow acquisition cycles associated with major defence platforms.</w:t>
      </w:r>
    </w:p>
    <w:p w14:paraId="28D5B10B"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p>
    <w:p w14:paraId="28F5BBFA" w14:textId="77777777" w:rsidR="00F1387E" w:rsidRPr="00F1387E" w:rsidRDefault="00F1387E" w:rsidP="00F1387E">
      <w:pPr>
        <w:spacing w:after="0" w:line="360" w:lineRule="auto"/>
        <w:jc w:val="both"/>
        <w:rPr>
          <w:rFonts w:ascii="Times New Roman" w:hAnsi="Times New Roman" w:cs="Times New Roman"/>
          <w:b/>
          <w:bCs/>
          <w:kern w:val="0"/>
          <w:lang w:val="en-GB" w:eastAsia="en-GB"/>
          <w14:ligatures w14:val="none"/>
        </w:rPr>
      </w:pPr>
      <w:r w:rsidRPr="00F1387E">
        <w:rPr>
          <w:rFonts w:ascii="Times New Roman" w:hAnsi="Times New Roman" w:cs="Times New Roman"/>
          <w:b/>
          <w:bCs/>
          <w:kern w:val="0"/>
          <w:lang w:val="en-GB" w:eastAsia="en-GB"/>
          <w14:ligatures w14:val="none"/>
        </w:rPr>
        <w:t>Experimentation, Wargaming, Training.</w:t>
      </w:r>
    </w:p>
    <w:p w14:paraId="76393C82"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r w:rsidRPr="00F1387E">
        <w:rPr>
          <w:rFonts w:ascii="Times New Roman" w:hAnsi="Times New Roman" w:cs="Times New Roman"/>
          <w:kern w:val="0"/>
          <w:lang w:val="en-GB" w:eastAsia="en-GB"/>
          <w14:ligatures w14:val="none"/>
        </w:rPr>
        <w:t>The decisive stage in transforming a tactical concept into credible policy is experimentation through wargaming, training, exercising and evaluation. New ideas acquire legitimacy only when repeatedly tested against realistic operational problems. Wargaming allows commanders to explore how UxS enabled light infantry denial operations would respond to likely threats against Irish territory or critical infrastructure. These conceptual insights should inform progressively more demanding field exercises where unmanned systems operate alongside conventional forces under realistic conditions. Lessons identified during experimentation must directly inform doctrinal refinement, force structure and procurement decisions. As tactics become standardised and personnel gain operational confidence, UxS integration transitions from innovation to normal military practice. Importantly, this iterative process provides political leaders with demonstrable evidence that investment in autonomous systems generates measurable improvements in operational effectiveness. Rather than relying upon theoretical arguments, Defence can point to validated concepts, tested doctrine and exercised capability as justification for continued investment.</w:t>
      </w:r>
    </w:p>
    <w:p w14:paraId="0CD34D80"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p>
    <w:p w14:paraId="2150EE29" w14:textId="77777777" w:rsidR="00F1387E" w:rsidRPr="00F1387E" w:rsidRDefault="00F1387E" w:rsidP="00F1387E">
      <w:pPr>
        <w:spacing w:after="0" w:line="360" w:lineRule="auto"/>
        <w:jc w:val="both"/>
        <w:rPr>
          <w:rFonts w:ascii="Times New Roman" w:hAnsi="Times New Roman" w:cs="Times New Roman"/>
          <w:b/>
          <w:bCs/>
          <w:kern w:val="0"/>
          <w:lang w:val="en-GB" w:eastAsia="en-GB"/>
          <w14:ligatures w14:val="none"/>
        </w:rPr>
      </w:pPr>
      <w:r w:rsidRPr="00F1387E">
        <w:rPr>
          <w:rFonts w:ascii="Times New Roman" w:hAnsi="Times New Roman" w:cs="Times New Roman"/>
          <w:b/>
          <w:bCs/>
          <w:kern w:val="0"/>
          <w:lang w:val="en-GB" w:eastAsia="en-GB"/>
          <w14:ligatures w14:val="none"/>
        </w:rPr>
        <w:t>Technological Adaption.</w:t>
      </w:r>
    </w:p>
    <w:p w14:paraId="38CD5963"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r w:rsidRPr="00F1387E">
        <w:rPr>
          <w:rFonts w:ascii="Times New Roman" w:hAnsi="Times New Roman" w:cs="Times New Roman"/>
          <w:kern w:val="0"/>
          <w:lang w:val="en-GB" w:eastAsia="en-GB"/>
          <w14:ligatures w14:val="none"/>
        </w:rPr>
        <w:t xml:space="preserve">Maintaining credibility also requires continuous technological adaptation. One of the defining characteristics of contemporary uncrewed warfare is the exceptionally rapid pace of innovation. Commercial drone technologies evolve within months rather than decades, while electronic warfare continuously drives adaptation in communications, autonomy and survivability. Ireland cannot therefore view UxS procurement as a once-off acquisition programme. Instead, defence planning must establish mechanisms for continual capability development through spiral acquisition, modular architectures and regular technology insertion. Open systems allowing rapid integration of new sensors, communications and software will reduce obsolescence while enabling adaptation to emerging threats. Such an </w:t>
      </w:r>
      <w:r w:rsidRPr="00F1387E">
        <w:rPr>
          <w:rFonts w:ascii="Times New Roman" w:hAnsi="Times New Roman" w:cs="Times New Roman"/>
          <w:kern w:val="0"/>
          <w:lang w:val="en-GB" w:eastAsia="en-GB"/>
          <w14:ligatures w14:val="none"/>
        </w:rPr>
        <w:lastRenderedPageBreak/>
        <w:t>approach better reflects the innovation cycles of civilian technology industries and ensures that Defence Forces capabilities remain operationally relevant despite constrained budgets.</w:t>
      </w:r>
    </w:p>
    <w:p w14:paraId="38EAF12C"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p>
    <w:p w14:paraId="28330665" w14:textId="77777777" w:rsidR="00F1387E" w:rsidRPr="00F1387E" w:rsidRDefault="00F1387E" w:rsidP="00F1387E">
      <w:pPr>
        <w:spacing w:after="0" w:line="360" w:lineRule="auto"/>
        <w:jc w:val="both"/>
        <w:rPr>
          <w:rFonts w:ascii="Times New Roman" w:hAnsi="Times New Roman" w:cs="Times New Roman"/>
          <w:b/>
          <w:bCs/>
          <w:kern w:val="0"/>
          <w:lang w:val="en-GB" w:eastAsia="en-GB"/>
          <w14:ligatures w14:val="none"/>
        </w:rPr>
      </w:pPr>
    </w:p>
    <w:p w14:paraId="48890943" w14:textId="77777777" w:rsidR="00F1387E" w:rsidRPr="00F1387E" w:rsidRDefault="00F1387E" w:rsidP="00F1387E">
      <w:pPr>
        <w:spacing w:after="0" w:line="360" w:lineRule="auto"/>
        <w:jc w:val="both"/>
        <w:rPr>
          <w:rFonts w:ascii="Times New Roman" w:hAnsi="Times New Roman" w:cs="Times New Roman"/>
          <w:b/>
          <w:bCs/>
          <w:kern w:val="0"/>
          <w:lang w:val="en-GB" w:eastAsia="en-GB"/>
          <w14:ligatures w14:val="none"/>
        </w:rPr>
      </w:pPr>
      <w:r w:rsidRPr="00F1387E">
        <w:rPr>
          <w:rFonts w:ascii="Times New Roman" w:hAnsi="Times New Roman" w:cs="Times New Roman"/>
          <w:b/>
          <w:bCs/>
          <w:kern w:val="0"/>
          <w:lang w:val="en-GB" w:eastAsia="en-GB"/>
          <w14:ligatures w14:val="none"/>
        </w:rPr>
        <w:t>Industrial Engagement.</w:t>
      </w:r>
    </w:p>
    <w:p w14:paraId="4C352E80"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r w:rsidRPr="00F1387E">
        <w:rPr>
          <w:rFonts w:ascii="Times New Roman" w:hAnsi="Times New Roman" w:cs="Times New Roman"/>
          <w:kern w:val="0"/>
          <w:lang w:val="en-GB" w:eastAsia="en-GB"/>
          <w14:ligatures w14:val="none"/>
        </w:rPr>
        <w:t>Industrial engagement forms another essential pillar of credible policy. Effective military capability depends not only upon equipment quality but also upon the capacity to produce, maintain and replace systems at sufficient scale. The Ukraine conflict has demonstrated that affordable mass frequently outweighs exquisite capability when attrition is high. Ireland should therefore strengthen partnerships between the Defence Forces, indigenous defence and technology companies, universities and research institutions to establish sustainable domestic capability in autonomous systems. Indigenous production enhances strategic resilience, reduces dependence on overseas suppliers and creates opportunities for innovation within Ireland's expanding technology sector. Collaboration with European defence initiatives can further support industrial development while reinforcing wider European security cooperation. Such partnerships transform defence expenditure from a purely consumptive cost into an investment supporting national innovation and industrial capacity.</w:t>
      </w:r>
    </w:p>
    <w:p w14:paraId="2F45B234"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p>
    <w:p w14:paraId="1FD2363B" w14:textId="77777777" w:rsidR="00F1387E" w:rsidRPr="00F1387E" w:rsidRDefault="00F1387E" w:rsidP="00F1387E">
      <w:pPr>
        <w:spacing w:after="0" w:line="360" w:lineRule="auto"/>
        <w:jc w:val="both"/>
        <w:rPr>
          <w:rFonts w:ascii="Times New Roman" w:hAnsi="Times New Roman" w:cs="Times New Roman"/>
          <w:b/>
          <w:bCs/>
          <w:kern w:val="0"/>
          <w:lang w:val="en-GB" w:eastAsia="en-GB"/>
          <w14:ligatures w14:val="none"/>
        </w:rPr>
      </w:pPr>
      <w:r w:rsidRPr="00F1387E">
        <w:rPr>
          <w:rFonts w:ascii="Times New Roman" w:hAnsi="Times New Roman" w:cs="Times New Roman"/>
          <w:b/>
          <w:bCs/>
          <w:kern w:val="0"/>
          <w:lang w:val="en-GB" w:eastAsia="en-GB"/>
          <w14:ligatures w14:val="none"/>
        </w:rPr>
        <w:t>The Multi-Stakeholder Approach.</w:t>
      </w:r>
    </w:p>
    <w:p w14:paraId="5E7737E5"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r w:rsidRPr="00F1387E">
        <w:rPr>
          <w:rFonts w:ascii="Times New Roman" w:hAnsi="Times New Roman" w:cs="Times New Roman"/>
          <w:kern w:val="0"/>
          <w:lang w:val="en-GB" w:eastAsia="en-GB"/>
          <w14:ligatures w14:val="none"/>
        </w:rPr>
        <w:t>Finally, successful UxS integration requires a genuinely multi-stakeholder approach. Defence transformation cannot occur solely within military institutions. Political leadership, government departments, academia, industry and regulatory authorities must all contribute to capability development. Such collaboration avoids organisational silos while ensuring that ethical, legal, financial and operational considerations develop together. Civilian oversight is particularly important given the political sensitivities surrounding autonomy, artificial intelligence and military neutrality. Transparent governance strengthens public confidence that autonomous systems are enhancing national resilience rather than fundamentally altering Ireland's defence posture. Equally, engagement with emergency services, the Coast Guard and other state agencies creates opportunities for dual-use capability, allowing investments in surveillance and autonomous technologies to contribute to disaster response, search and rescue and maritime security alongside military tasks.</w:t>
      </w:r>
    </w:p>
    <w:p w14:paraId="1EA82A74"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p>
    <w:p w14:paraId="34716AF3" w14:textId="77777777" w:rsidR="00F1387E" w:rsidRPr="00F1387E" w:rsidRDefault="00F1387E" w:rsidP="00F1387E">
      <w:pPr>
        <w:spacing w:after="0" w:line="360" w:lineRule="auto"/>
        <w:jc w:val="both"/>
        <w:rPr>
          <w:rFonts w:ascii="Times New Roman" w:hAnsi="Times New Roman" w:cs="Times New Roman"/>
          <w:b/>
          <w:bCs/>
          <w:kern w:val="0"/>
          <w:lang w:val="en-GB" w:eastAsia="en-GB"/>
          <w14:ligatures w14:val="none"/>
        </w:rPr>
      </w:pPr>
      <w:r w:rsidRPr="00F1387E">
        <w:rPr>
          <w:rFonts w:ascii="Times New Roman" w:hAnsi="Times New Roman" w:cs="Times New Roman"/>
          <w:b/>
          <w:bCs/>
          <w:kern w:val="0"/>
          <w:lang w:val="en-GB" w:eastAsia="en-GB"/>
          <w14:ligatures w14:val="none"/>
        </w:rPr>
        <w:t>Engaging with Partners.</w:t>
      </w:r>
    </w:p>
    <w:p w14:paraId="7E20B8B3"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r w:rsidRPr="00F1387E">
        <w:rPr>
          <w:rFonts w:ascii="Times New Roman" w:hAnsi="Times New Roman" w:cs="Times New Roman"/>
          <w:kern w:val="0"/>
          <w:lang w:val="en-GB" w:eastAsia="en-GB"/>
          <w14:ligatures w14:val="none"/>
        </w:rPr>
        <w:lastRenderedPageBreak/>
        <w:t>Within Irish defence policy, a UxS enabled light infantry denial posture therefore occupies an important middle ground between symbolic defence and conventional deterrence. It neither seeks offensive expeditionary capability nor attempts to replicate the force structures of larger European militaries. Instead, it exploits Ireland's geographical advantages, supports territorial surveillance, complicates hostile military activity and increases the costs of coercion while remaining consistent with military neutrality. Practical interoperability with European Union partners and NATO members is enhanced through common communications, doctrine and operating procedures rather than alliance membership itself. The resulting force would be capable of contributing meaningfully to domestic security, maritime surveillance and international peace support operations while remaining firmly grounded in Irish strategic culture.</w:t>
      </w:r>
    </w:p>
    <w:p w14:paraId="485AB5B8"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p>
    <w:p w14:paraId="5AFA3613" w14:textId="77777777" w:rsidR="00F1387E" w:rsidRPr="00F1387E" w:rsidRDefault="00F1387E" w:rsidP="00F1387E">
      <w:pPr>
        <w:spacing w:after="0" w:line="360" w:lineRule="auto"/>
        <w:jc w:val="both"/>
        <w:rPr>
          <w:rFonts w:ascii="Times New Roman" w:hAnsi="Times New Roman" w:cs="Times New Roman"/>
          <w:b/>
          <w:bCs/>
          <w:kern w:val="0"/>
          <w:lang w:val="en-GB" w:eastAsia="en-GB"/>
          <w14:ligatures w14:val="none"/>
        </w:rPr>
      </w:pPr>
      <w:r w:rsidRPr="00F1387E">
        <w:rPr>
          <w:rFonts w:ascii="Times New Roman" w:hAnsi="Times New Roman" w:cs="Times New Roman"/>
          <w:b/>
          <w:bCs/>
          <w:kern w:val="0"/>
          <w:lang w:val="en-GB" w:eastAsia="en-GB"/>
          <w14:ligatures w14:val="none"/>
        </w:rPr>
        <w:t>Challenges to Credible Integration.</w:t>
      </w:r>
    </w:p>
    <w:p w14:paraId="4BF955C3"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r w:rsidRPr="00F1387E">
        <w:rPr>
          <w:rFonts w:ascii="Times New Roman" w:hAnsi="Times New Roman" w:cs="Times New Roman"/>
          <w:kern w:val="0"/>
          <w:lang w:val="en-GB" w:eastAsia="en-GB"/>
          <w14:ligatures w14:val="none"/>
        </w:rPr>
        <w:t>Nevertheless, significant constraints remain. Chronic recruitment and retention difficulties continue to challenge Defence Forces modernisation. Procurement processes are often slow and risk-averse, while sustained political commitment to increased defence expenditure cannot be assumed. Ethical concerns surrounding autonomous systems require careful policy development, particularly where lethal capabilities are considered. Ireland's relatively small industrial base may also limit domestic production without substantial collaboration with European partners. Finally, organisational culture frequently favours incremental adaptation over disruptive change, making institutional resistance an enduring obstacle to transformation.</w:t>
      </w:r>
    </w:p>
    <w:p w14:paraId="375BF208"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p>
    <w:p w14:paraId="5D60EEBA" w14:textId="77777777" w:rsidR="00F1387E" w:rsidRPr="00F1387E" w:rsidRDefault="00F1387E" w:rsidP="00F1387E">
      <w:pPr>
        <w:spacing w:after="0" w:line="360" w:lineRule="auto"/>
        <w:jc w:val="both"/>
        <w:rPr>
          <w:rFonts w:ascii="Times New Roman" w:hAnsi="Times New Roman" w:cs="Times New Roman"/>
          <w:kern w:val="0"/>
          <w:lang w:val="en-GB" w:eastAsia="en-GB"/>
          <w14:ligatures w14:val="none"/>
        </w:rPr>
      </w:pPr>
      <w:commentRangeStart w:id="3"/>
      <w:r w:rsidRPr="00F1387E">
        <w:rPr>
          <w:rFonts w:ascii="Times New Roman" w:hAnsi="Times New Roman" w:cs="Times New Roman"/>
          <w:b/>
          <w:bCs/>
          <w:color w:val="FF0000"/>
          <w:kern w:val="0"/>
          <w:lang w:val="en-GB" w:eastAsia="en-GB"/>
          <w14:ligatures w14:val="none"/>
        </w:rPr>
        <w:t>Ultimately, the credibility of UxS integration within Irish defence policy will not be determined by the sophistication of the technology itself but by the effectiveness of the institutions that adopt it.</w:t>
      </w:r>
      <w:r w:rsidRPr="00F1387E">
        <w:rPr>
          <w:rFonts w:ascii="Times New Roman" w:hAnsi="Times New Roman" w:cs="Times New Roman"/>
          <w:color w:val="FF0000"/>
          <w:kern w:val="0"/>
          <w:lang w:val="en-GB" w:eastAsia="en-GB"/>
          <w14:ligatures w14:val="none"/>
        </w:rPr>
        <w:t xml:space="preserve"> </w:t>
      </w:r>
      <w:commentRangeEnd w:id="3"/>
      <w:r w:rsidRPr="00F1387E">
        <w:rPr>
          <w:rStyle w:val="CommentReference"/>
          <w:rFonts w:ascii="Times New Roman" w:hAnsi="Times New Roman" w:cs="Times New Roman"/>
          <w:kern w:val="0"/>
          <w:sz w:val="24"/>
          <w:szCs w:val="24"/>
          <w:lang w:val="en-GB" w:eastAsia="en-GB"/>
          <w14:ligatures w14:val="none"/>
        </w:rPr>
        <w:commentReference w:id="3"/>
      </w:r>
      <w:r w:rsidRPr="00F1387E">
        <w:rPr>
          <w:rFonts w:ascii="Times New Roman" w:hAnsi="Times New Roman" w:cs="Times New Roman"/>
          <w:kern w:val="0"/>
          <w:lang w:val="en-GB" w:eastAsia="en-GB"/>
          <w14:ligatures w14:val="none"/>
        </w:rPr>
        <w:t>Recognition of disruptive military change, coherent operational concepts, institutional reform, rigorous experimentation, continuous technological adaptation, industrial partnership and multi-stakeholder governance together provide the pathway from tactical innovation to enduring capability. By following this process, Ireland can develop a defence posture that is affordable, credible and aligned with its strategic objectives, demonstrating that UxS-enabled denial is not merely an attractive tactical concept but a realistic and sustainable foundation for future Irish defence policy.</w:t>
      </w:r>
    </w:p>
    <w:p w14:paraId="6AB33CE5" w14:textId="77777777" w:rsidR="00F1387E" w:rsidRPr="00F1387E" w:rsidRDefault="00F1387E" w:rsidP="00F1387E"/>
    <w:p w14:paraId="79340989" w14:textId="77777777" w:rsidR="00F1387E" w:rsidRPr="00F1387E" w:rsidRDefault="00F1387E" w:rsidP="00F1387E">
      <w:pPr>
        <w:keepNext/>
        <w:keepLines/>
        <w:spacing w:before="160" w:after="80"/>
        <w:outlineLvl w:val="1"/>
        <w:rPr>
          <w:rFonts w:asciiTheme="majorHAnsi" w:eastAsiaTheme="majorEastAsia" w:hAnsiTheme="majorHAnsi" w:cstheme="majorBidi"/>
          <w:color w:val="0F4761" w:themeColor="accent1" w:themeShade="BF"/>
          <w:sz w:val="32"/>
          <w:szCs w:val="32"/>
        </w:rPr>
      </w:pPr>
      <w:r w:rsidRPr="00F1387E">
        <w:rPr>
          <w:rFonts w:asciiTheme="majorHAnsi" w:eastAsiaTheme="majorEastAsia" w:hAnsiTheme="majorHAnsi" w:cstheme="majorBidi"/>
          <w:color w:val="0F4761" w:themeColor="accent1" w:themeShade="BF"/>
          <w:sz w:val="32"/>
          <w:szCs w:val="32"/>
        </w:rPr>
        <w:lastRenderedPageBreak/>
        <w:t>Conclusion</w:t>
      </w:r>
    </w:p>
    <w:p w14:paraId="5C5EBFA2" w14:textId="77777777" w:rsidR="00F1387E" w:rsidRPr="00F1387E" w:rsidRDefault="00F1387E" w:rsidP="00F1387E">
      <w:r w:rsidRPr="00F1387E">
        <w: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42F6ECA3" w:rsidR="00A83B70" w:rsidRDefault="00E80E03" w:rsidP="005E2FA4">
      <w:r>
        <w:t>[]</w:t>
      </w:r>
    </w:p>
    <w:p w14:paraId="15E10228" w14:textId="77777777" w:rsidR="00A83B70" w:rsidRDefault="00A83B70">
      <w:r>
        <w:br w:type="page"/>
      </w:r>
    </w:p>
    <w:p w14:paraId="416E63C9" w14:textId="77777777" w:rsidR="005E2FA4" w:rsidRPr="005E2FA4" w:rsidRDefault="005E2FA4" w:rsidP="005E2FA4"/>
    <w:sectPr w:rsidR="005E2FA4" w:rsidRPr="005E2FA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Eoin O'Brien" w:date="2026-07-06T16:35:00Z" w:initials="EO">
    <w:p w14:paraId="39EA9539" w14:textId="77777777" w:rsidR="00F1387E" w:rsidRDefault="00F1387E">
      <w:pPr>
        <w:pStyle w:val="CommentText"/>
      </w:pPr>
      <w:r>
        <w:rPr>
          <w:rStyle w:val="CommentReference"/>
        </w:rPr>
        <w:annotationRef/>
      </w:r>
      <w:r>
        <w:t>This must link better</w:t>
      </w:r>
    </w:p>
  </w:comment>
  <w:comment w:id="2" w:author="Eoin O'Brien" w:date="2026-07-06T16:35:00Z" w:initials="EO">
    <w:p w14:paraId="776B90B5" w14:textId="77777777" w:rsidR="00F1387E" w:rsidRDefault="00F1387E">
      <w:pPr>
        <w:pStyle w:val="CommentText"/>
      </w:pPr>
      <w:r>
        <w:rPr>
          <w:rStyle w:val="CommentReference"/>
        </w:rPr>
        <w:annotationRef/>
      </w:r>
      <w:r>
        <w:t xml:space="preserve">This is the core argument </w:t>
      </w:r>
    </w:p>
  </w:comment>
  <w:comment w:id="3" w:author="Eoin O'Brien" w:date="2026-07-06T17:10:00Z" w:initials="EO">
    <w:p w14:paraId="749B6A42" w14:textId="77777777" w:rsidR="00F1387E" w:rsidRDefault="00F1387E">
      <w:pPr>
        <w:pStyle w:val="CommentText"/>
      </w:pPr>
      <w:r>
        <w:rPr>
          <w:rStyle w:val="CommentReference"/>
        </w:rPr>
        <w:annotationRef/>
      </w:r>
      <w:r>
        <w:t>This is my concluding statement. The technology isn’t the important part, the procurement, adoption and adaption culture is what make it a credible defence policy.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EA9539" w15:done="0"/>
  <w15:commentEx w15:paraId="776B90B5" w15:done="0"/>
  <w15:commentEx w15:paraId="749B6A4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DDAB5F" w16cex:dateUtc="2026-07-06T15:35:00Z"/>
  <w16cex:commentExtensible w16cex:durableId="19B9777A" w16cex:dateUtc="2026-07-06T15:35:00Z"/>
  <w16cex:commentExtensible w16cex:durableId="5FF9CA22" w16cex:dateUtc="2026-07-06T16: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EA9539" w16cid:durableId="7BDDAB5F"/>
  <w16cid:commentId w16cid:paraId="776B90B5" w16cid:durableId="19B9777A"/>
  <w16cid:commentId w16cid:paraId="749B6A42" w16cid:durableId="5FF9CA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2D662" w14:textId="77777777" w:rsidR="00277CD9" w:rsidRDefault="00277CD9" w:rsidP="008F41DA">
      <w:pPr>
        <w:spacing w:after="0" w:line="240" w:lineRule="auto"/>
      </w:pPr>
      <w:r>
        <w:separator/>
      </w:r>
    </w:p>
  </w:endnote>
  <w:endnote w:type="continuationSeparator" w:id="0">
    <w:p w14:paraId="2E4C70C5" w14:textId="77777777" w:rsidR="00277CD9" w:rsidRDefault="00277CD9"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F28C3" w14:textId="77777777" w:rsidR="00277CD9" w:rsidRDefault="00277CD9" w:rsidP="008F41DA">
      <w:pPr>
        <w:spacing w:after="0" w:line="240" w:lineRule="auto"/>
      </w:pPr>
      <w:r>
        <w:separator/>
      </w:r>
    </w:p>
  </w:footnote>
  <w:footnote w:type="continuationSeparator" w:id="0">
    <w:p w14:paraId="7DDABF15" w14:textId="77777777" w:rsidR="00277CD9" w:rsidRDefault="00277CD9" w:rsidP="008F41DA">
      <w:pPr>
        <w:spacing w:after="0" w:line="240" w:lineRule="auto"/>
      </w:pPr>
      <w:r>
        <w:continuationSeparator/>
      </w:r>
    </w:p>
  </w:footnote>
  <w:footnote w:id="1">
    <w:p w14:paraId="5A04F95F" w14:textId="77777777" w:rsidR="00BA458A" w:rsidRDefault="00BA458A" w:rsidP="00BA458A">
      <w:pPr>
        <w:pStyle w:val="FootnoteText"/>
      </w:pPr>
      <w:r>
        <w:rPr>
          <w:rStyle w:val="FootnoteReference"/>
        </w:rPr>
        <w:footnoteRef/>
      </w:r>
      <w:r>
        <w:t xml:space="preserve"> </w:t>
      </w:r>
      <w:r w:rsidRPr="007561E8">
        <w:t xml:space="preserve">Watling, J. and Bronk, J. </w:t>
      </w:r>
      <w:r w:rsidRPr="007561E8">
        <w:rPr>
          <w:i/>
          <w:iCs/>
        </w:rPr>
        <w:t>Protecting the Force from Uncrewed Aerial Systems</w:t>
      </w:r>
      <w:r w:rsidRPr="007561E8">
        <w:t xml:space="preserve">. London: Royal United Services Institute for Defence and Security Studies, 2024. Available at: </w:t>
      </w:r>
      <w:hyperlink r:id="rId1" w:tgtFrame="_new" w:history="1">
        <w:r w:rsidRPr="007561E8">
          <w:rPr>
            <w:rStyle w:val="Hyperlink"/>
          </w:rPr>
          <w:t>https://static.rusi.org/protecting-the-force-from-uncrewed-uas.pdf</w:t>
        </w:r>
      </w:hyperlink>
      <w:r w:rsidRPr="007561E8">
        <w:t xml:space="preserve"> (accessed 11 December 2025).</w:t>
      </w:r>
    </w:p>
  </w:footnote>
  <w:footnote w:id="2">
    <w:p w14:paraId="0BDF988B" w14:textId="77777777" w:rsidR="00BA458A" w:rsidRDefault="00BA458A" w:rsidP="00BA458A">
      <w:pPr>
        <w:pStyle w:val="FootnoteText"/>
      </w:pPr>
      <w:r>
        <w:rPr>
          <w:rStyle w:val="FootnoteReference"/>
        </w:rPr>
        <w:footnoteRef/>
      </w:r>
      <w:r>
        <w:t xml:space="preserve"> </w:t>
      </w:r>
      <w:r w:rsidRPr="00CA43AC">
        <w:t xml:space="preserve">Molloy, O. </w:t>
      </w:r>
      <w:r w:rsidRPr="00CA43AC">
        <w:rPr>
          <w:i/>
          <w:iCs/>
        </w:rPr>
        <w:t>Drones in Modern Warfare: Lessons Learnt from the War in Ukraine</w:t>
      </w:r>
      <w:r w:rsidRPr="00CA43AC">
        <w:t xml:space="preserve">. Australian Army Occasional Paper, no. 29. Canberra: Australian Army Research Centre, 2024, p. 17. DOI: 10.61451/267513. Available at: </w:t>
      </w:r>
      <w:hyperlink r:id="rId2" w:history="1">
        <w:r w:rsidRPr="00CA43AC">
          <w:rPr>
            <w:rStyle w:val="Hyperlink"/>
          </w:rPr>
          <w:t>https://researchcentre.army.gov.au/sites/default/files/241104-Occasional-Paper-29-Lessons-Learnt-from-Ukraine.pdf.pdf</w:t>
        </w:r>
      </w:hyperlink>
      <w:r w:rsidRPr="00CA43AC">
        <w:t xml:space="preserve"> (accessed 2 November 2025).</w:t>
      </w:r>
    </w:p>
  </w:footnote>
  <w:footnote w:id="3">
    <w:p w14:paraId="1BEBB69C" w14:textId="77777777" w:rsidR="00BA458A" w:rsidRDefault="00BA458A" w:rsidP="00BA458A">
      <w:pPr>
        <w:pStyle w:val="FootnoteText"/>
      </w:pPr>
      <w:r>
        <w:rPr>
          <w:rStyle w:val="FootnoteReference"/>
        </w:rPr>
        <w:footnoteRef/>
      </w:r>
      <w:r>
        <w:t xml:space="preserve"> </w:t>
      </w:r>
      <w:r w:rsidRPr="00663508">
        <w:t xml:space="preserve">Fox, A. C. </w:t>
      </w:r>
      <w:r w:rsidRPr="00663508">
        <w:rPr>
          <w:i/>
          <w:iCs/>
        </w:rPr>
        <w:t>Manoeuvre Is Dead? Understanding the Conditions and Components of Warfighting</w:t>
      </w:r>
      <w:r w:rsidRPr="00663508">
        <w:t xml:space="preserve">. </w:t>
      </w:r>
      <w:r w:rsidRPr="00663508">
        <w:rPr>
          <w:i/>
          <w:iCs/>
        </w:rPr>
        <w:t>The RUSI Journal</w:t>
      </w:r>
      <w:r w:rsidRPr="00663508">
        <w:t xml:space="preserve">, 166(6–7), 2021, pp. 10–18. Available at: </w:t>
      </w:r>
      <w:hyperlink r:id="rId3" w:tgtFrame="_new" w:history="1">
        <w:r w:rsidRPr="00663508">
          <w:rPr>
            <w:rStyle w:val="Hyperlink"/>
          </w:rPr>
          <w:t>https://doi-org.may.idm.oclc.org/10.1080/03071847.2022.2058601</w:t>
        </w:r>
      </w:hyperlink>
      <w:r w:rsidRPr="00663508">
        <w:t xml:space="preserve"> (accessed 17 February 2026).</w:t>
      </w:r>
    </w:p>
  </w:footnote>
  <w:footnote w:id="4">
    <w:p w14:paraId="3CC9354C" w14:textId="77777777" w:rsidR="00BA458A" w:rsidRDefault="00BA458A" w:rsidP="00BA458A">
      <w:pPr>
        <w:pStyle w:val="FootnoteText"/>
      </w:pPr>
      <w:r>
        <w:rPr>
          <w:rStyle w:val="FootnoteReference"/>
        </w:rPr>
        <w:footnoteRef/>
      </w:r>
      <w:r>
        <w:t xml:space="preserve"> </w:t>
      </w:r>
      <w:r w:rsidRPr="008F12D3">
        <w:t xml:space="preserve">Cornish, P. </w:t>
      </w:r>
      <w:r w:rsidRPr="008F12D3">
        <w:rPr>
          <w:i/>
          <w:iCs/>
        </w:rPr>
        <w:t>SDR Threats Series: Styles and Themes of Contemporary Warfare</w:t>
      </w:r>
      <w:r w:rsidRPr="008F12D3">
        <w:t xml:space="preserve">. </w:t>
      </w:r>
      <w:r w:rsidRPr="008F12D3">
        <w:rPr>
          <w:i/>
          <w:iCs/>
        </w:rPr>
        <w:t>This Means War</w:t>
      </w:r>
      <w:r w:rsidRPr="008F12D3">
        <w:t xml:space="preserve"> podcast, interview by P. Roberts, 2024. Available at: </w:t>
      </w:r>
      <w:hyperlink r:id="rId4" w:tgtFrame="_new" w:history="1">
        <w:r w:rsidRPr="008F12D3">
          <w:rPr>
            <w:rStyle w:val="Hyperlink"/>
          </w:rPr>
          <w:t>https://podcasts.apple.com/gb/podcast/sdr-threats-series-styles-and-themes-of/id1629454648?i=1000675880639</w:t>
        </w:r>
      </w:hyperlink>
      <w:r w:rsidRPr="008F12D3">
        <w:t xml:space="preserve"> (accessed 10 February 2026)</w:t>
      </w:r>
      <w:r>
        <w:t xml:space="preserve">; </w:t>
      </w:r>
      <w:r w:rsidRPr="00BF1C5A">
        <w:t xml:space="preserve">Revels, W. and Uribe, E. </w:t>
      </w:r>
      <w:r w:rsidRPr="00BF1C5A">
        <w:rPr>
          <w:i/>
          <w:iCs/>
        </w:rPr>
        <w:t>Drones Won't Save Us: Learning the Wrong Lessons from Ukraine Will Cost the US Army Its Edge in Maneuver Warfare</w:t>
      </w:r>
      <w:r w:rsidRPr="00BF1C5A">
        <w:t xml:space="preserve">. </w:t>
      </w:r>
      <w:r w:rsidRPr="00BF1C5A">
        <w:rPr>
          <w:i/>
          <w:iCs/>
        </w:rPr>
        <w:t>Modern War Institute at West Point</w:t>
      </w:r>
      <w:r w:rsidRPr="00BF1C5A">
        <w:t xml:space="preserve">, 11 May 2025. Available at: </w:t>
      </w:r>
      <w:hyperlink r:id="rId5" w:history="1">
        <w:r w:rsidRPr="00BF1C5A">
          <w:rPr>
            <w:rStyle w:val="Hyperlink"/>
          </w:rPr>
          <w:t>https://mwi.westpoint.edu/drones-wont-save-us-learning-the-wrong-lessons-from-ukraine-will-cost-the-us-army-its-edge-in-maneuver-warfare/</w:t>
        </w:r>
      </w:hyperlink>
      <w:r w:rsidRPr="00BF1C5A">
        <w:t xml:space="preserve"> (accessed 12 February 2026)</w:t>
      </w:r>
      <w:r>
        <w:t xml:space="preserve">; </w:t>
      </w:r>
      <w:r w:rsidRPr="008F12D3">
        <w:t xml:space="preserve">Watling, J. and Danylyuk, O. V. </w:t>
      </w:r>
      <w:r w:rsidRPr="008F12D3">
        <w:rPr>
          <w:i/>
          <w:iCs/>
        </w:rPr>
        <w:t>Preliminary Lessons from Ukraine's Offensive Operations, 2022–23</w:t>
      </w:r>
      <w:r w:rsidRPr="008F12D3">
        <w:t xml:space="preserve">. London: Royal United Services Institute for Defence and Security Studies, 2024. Available at: </w:t>
      </w:r>
      <w:hyperlink r:id="rId6" w:tgtFrame="_new" w:history="1">
        <w:r w:rsidRPr="008F12D3">
          <w:rPr>
            <w:rStyle w:val="Hyperlink"/>
          </w:rPr>
          <w:t>https://static.rusi.org/lessons-learned-ukraine-offensive-2022-23.pdf</w:t>
        </w:r>
      </w:hyperlink>
      <w:r w:rsidRPr="008F12D3">
        <w:t xml:space="preserve"> (accessed 11 December 2025).</w:t>
      </w:r>
    </w:p>
  </w:footnote>
  <w:footnote w:id="5">
    <w:p w14:paraId="0E0E680C" w14:textId="77777777" w:rsidR="00BA458A" w:rsidRDefault="00BA458A" w:rsidP="00BA458A">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6">
    <w:p w14:paraId="59BA5A1E" w14:textId="77777777" w:rsidR="00BA458A" w:rsidRDefault="00BA458A" w:rsidP="00BA458A">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7">
    <w:p w14:paraId="5D200EDB" w14:textId="77777777" w:rsidR="00BA458A" w:rsidRDefault="00BA458A" w:rsidP="00BA458A">
      <w:pPr>
        <w:pStyle w:val="FootnoteText"/>
      </w:pPr>
      <w:r>
        <w:rPr>
          <w:rStyle w:val="FootnoteReference"/>
        </w:rPr>
        <w:footnoteRef/>
      </w:r>
      <w:r>
        <w:t xml:space="preserve"> </w:t>
      </w:r>
      <w:r w:rsidRPr="007E32B8">
        <w:t xml:space="preserve">Connolly, C. Contribution to </w:t>
      </w:r>
      <w:r w:rsidRPr="007E32B8">
        <w:rPr>
          <w:i/>
          <w:iCs/>
        </w:rPr>
        <w:t>Defence (Amendment) Bill 2024: Second Stage</w:t>
      </w:r>
      <w:r w:rsidRPr="007E32B8">
        <w:t xml:space="preserve">. </w:t>
      </w:r>
      <w:r w:rsidRPr="007E32B8">
        <w:rPr>
          <w:i/>
          <w:iCs/>
        </w:rPr>
        <w:t>Dáil Éireann Debates</w:t>
      </w:r>
      <w:r w:rsidRPr="007E32B8">
        <w:t xml:space="preserve">, Vol. 1053, No. 4, 2 May 2024. Available at: </w:t>
      </w:r>
      <w:hyperlink r:id="rId7" w:history="1">
        <w:r w:rsidRPr="00A2651C">
          <w:rPr>
            <w:rStyle w:val="Hyperlink"/>
          </w:rPr>
          <w:t>https://www.oireachtas.ie/en/debates/debate/dail/2024-05-02/32/</w:t>
        </w:r>
      </w:hyperlink>
      <w:r>
        <w:t xml:space="preserve"> </w:t>
      </w:r>
      <w:r w:rsidRPr="007E32B8">
        <w:t xml:space="preserve"> (accessed 24 June 2026).</w:t>
      </w:r>
    </w:p>
  </w:footnote>
  <w:footnote w:id="8">
    <w:p w14:paraId="31E6DF38" w14:textId="77777777" w:rsidR="00BA458A" w:rsidRDefault="00BA458A" w:rsidP="00BA458A">
      <w:pPr>
        <w:pStyle w:val="FootnoteText"/>
      </w:pPr>
      <w:r>
        <w:rPr>
          <w:rStyle w:val="FootnoteReference"/>
        </w:rPr>
        <w:footnoteRef/>
      </w:r>
      <w:r>
        <w:t xml:space="preserve"> </w:t>
      </w:r>
      <w:r w:rsidRPr="007F74B6">
        <w:t xml:space="preserve">Mearsheimer, J. J. </w:t>
      </w:r>
      <w:r w:rsidRPr="007F74B6">
        <w:rPr>
          <w:i/>
          <w:iCs/>
        </w:rPr>
        <w:t>Back to the Future: Instability in Europe After the Cold War</w:t>
      </w:r>
      <w:r w:rsidRPr="007F74B6">
        <w:t xml:space="preserve">. </w:t>
      </w:r>
      <w:r w:rsidRPr="007F74B6">
        <w:rPr>
          <w:i/>
          <w:iCs/>
        </w:rPr>
        <w:t>International Security</w:t>
      </w:r>
      <w:r w:rsidRPr="007F74B6">
        <w:t xml:space="preserve">, 15(1), 1990, pp. 5–56. Available at: </w:t>
      </w:r>
      <w:hyperlink r:id="rId8" w:history="1">
        <w:r w:rsidRPr="007F74B6">
          <w:rPr>
            <w:rStyle w:val="Hyperlink"/>
          </w:rPr>
          <w:t>https://www.jstor.org/stable/2538981</w:t>
        </w:r>
      </w:hyperlink>
      <w:r w:rsidRPr="007F74B6">
        <w:t xml:space="preserve"> (accessed 29 November 2025).</w:t>
      </w:r>
    </w:p>
  </w:footnote>
  <w:footnote w:id="9">
    <w:p w14:paraId="010E4442" w14:textId="77777777" w:rsidR="00BA458A" w:rsidRDefault="00BA458A" w:rsidP="00BA458A">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10">
    <w:p w14:paraId="1B5D5472" w14:textId="77777777" w:rsidR="00BA458A" w:rsidRPr="006860C6" w:rsidRDefault="00BA458A" w:rsidP="00BA458A">
      <w:pPr>
        <w:pStyle w:val="FootnoteText"/>
        <w:rPr>
          <w:rStyle w:val="Hyperlink"/>
        </w:rPr>
      </w:pPr>
      <w:r>
        <w:rPr>
          <w:rStyle w:val="FootnoteReference"/>
        </w:rPr>
        <w:footnoteRef/>
      </w:r>
      <w:r>
        <w:t xml:space="preserve"> Statsministeriet (2026). Fællesudtalelse om Grønland [online]. Available at: </w:t>
      </w:r>
      <w:r>
        <w:fldChar w:fldCharType="begin"/>
      </w:r>
      <w:r>
        <w:instrText>HYPERLINK "https://stm.dk/media/qo2dyzxy/erklaering-gl.pdf"</w:instrText>
      </w:r>
      <w:r>
        <w:fldChar w:fldCharType="separate"/>
      </w:r>
      <w:r w:rsidRPr="006860C6">
        <w:rPr>
          <w:rStyle w:val="Hyperlink"/>
        </w:rPr>
        <w:t>https://s</w:t>
      </w:r>
    </w:p>
    <w:p w14:paraId="667D634B" w14:textId="77777777" w:rsidR="00BA458A" w:rsidRDefault="00BA458A" w:rsidP="00BA458A">
      <w:pPr>
        <w:pStyle w:val="FootnoteText"/>
      </w:pPr>
      <w:r w:rsidRPr="006860C6">
        <w:rPr>
          <w:rStyle w:val="Hyperlink"/>
        </w:rPr>
        <w:t>tm.dk/media/qo2dyzxy/erklaering-gl.pdf</w:t>
      </w:r>
      <w:r>
        <w:fldChar w:fldCharType="end"/>
      </w:r>
      <w:r>
        <w:t xml:space="preserve"> (accessed 1 April 2026).</w:t>
      </w:r>
    </w:p>
  </w:footnote>
  <w:footnote w:id="11">
    <w:p w14:paraId="73571D55" w14:textId="77777777" w:rsidR="00BA458A" w:rsidRDefault="00BA458A" w:rsidP="00BA458A">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9" w:history="1">
        <w:r w:rsidRPr="00370942">
          <w:rPr>
            <w:rStyle w:val="Hyperlink"/>
          </w:rPr>
          <w:t>https://eda.europa.eu/docs/default-source/eda-publications/2023-eu-capability-development-priorities.pdf</w:t>
        </w:r>
      </w:hyperlink>
      <w:r w:rsidRPr="00370942">
        <w:t xml:space="preserve"> (accessed 22 June 2026)</w:t>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10" w:history="1">
        <w:r w:rsidRPr="0045714A">
          <w:rPr>
            <w:rStyle w:val="Hyperlink"/>
          </w:rPr>
          <w:t>https://www.act.nato.int/wp-content/uploads/2023/05/NATO-ACT-CDE-Handbook_A_Concept_Developers_Toolbox.pdf</w:t>
        </w:r>
      </w:hyperlink>
      <w:r w:rsidRPr="0045714A">
        <w:t xml:space="preserve"> (accessed 22 June 2026).</w:t>
      </w:r>
    </w:p>
  </w:footnote>
  <w:footnote w:id="12">
    <w:p w14:paraId="700D2962" w14:textId="77777777" w:rsidR="00BA458A" w:rsidRDefault="00BA458A" w:rsidP="00BA458A">
      <w:pPr>
        <w:pStyle w:val="FootnoteText"/>
      </w:pPr>
      <w:r>
        <w:rPr>
          <w:rStyle w:val="FootnoteReference"/>
        </w:rPr>
        <w:footnoteRef/>
      </w:r>
      <w:r>
        <w:t xml:space="preserve"> TM 201</w:t>
      </w:r>
    </w:p>
  </w:footnote>
  <w:footnote w:id="13">
    <w:p w14:paraId="43F976D5" w14:textId="77777777" w:rsidR="00BA458A" w:rsidRDefault="00BA458A" w:rsidP="00BA458A">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1" w:tgtFrame="_new" w:history="1">
        <w:r w:rsidRPr="003E5AA4">
          <w:rPr>
            <w:rStyle w:val="Hyperlink"/>
          </w:rPr>
          <w:t>https://www.thejournal.ie/new-apc-vehicles-maybe-coming-from-france-6623112-Feb2025/</w:t>
        </w:r>
      </w:hyperlink>
      <w:r w:rsidRPr="003E5AA4">
        <w:t xml:space="preserve"> (accessed 24 February 2026).</w:t>
      </w:r>
    </w:p>
  </w:footnote>
  <w:footnote w:id="14">
    <w:p w14:paraId="5450A850" w14:textId="77777777" w:rsidR="00BA458A" w:rsidRDefault="00BA458A" w:rsidP="00BA458A">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12" w:history="1">
        <w:r w:rsidRPr="002F0568">
          <w:rPr>
            <w:rStyle w:val="Hyperlink"/>
          </w:rPr>
          <w:t>https://www.mca-marines.org/wp-content/uploads/23-The-Ultra-Light.pdf</w:t>
        </w:r>
      </w:hyperlink>
      <w:r w:rsidRPr="002F0568">
        <w:t xml:space="preserve"> (accessed 21 June 2026).</w:t>
      </w:r>
    </w:p>
  </w:footnote>
  <w:footnote w:id="15">
    <w:p w14:paraId="3555E439" w14:textId="77777777" w:rsidR="00BA458A" w:rsidRDefault="00BA458A" w:rsidP="00BA458A">
      <w:pPr>
        <w:pStyle w:val="FootnoteText"/>
      </w:pPr>
      <w:r>
        <w:rPr>
          <w:rStyle w:val="FootnoteReference"/>
        </w:rPr>
        <w:footnoteRef/>
      </w:r>
      <w:r>
        <w:t xml:space="preserve"> </w:t>
      </w:r>
      <w:r w:rsidRPr="001470B3">
        <w:t xml:space="preserve">Néron-Bancel, P. and Garnier, G. </w:t>
      </w:r>
      <w:r w:rsidRPr="001470B3">
        <w:rPr>
          <w:i/>
          <w:iCs/>
        </w:rPr>
        <w:t>At the Other Side of the Hill: The Benefits and False Promises of Battlefield Transparency</w:t>
      </w:r>
      <w:r w:rsidRPr="001470B3">
        <w:t xml:space="preserve">. Paris: Institut français des relations internationales (IFRI), 27 May 2024, p. 45. Available at: </w:t>
      </w:r>
      <w:hyperlink r:id="rId13" w:tgtFrame="_new" w:history="1">
        <w:r w:rsidRPr="001470B3">
          <w:rPr>
            <w:rStyle w:val="Hyperlink"/>
          </w:rPr>
          <w:t>https://www.ifri.org/en/studies/other-side-hill-benefits-and-false-promises-battlefield-transparency</w:t>
        </w:r>
      </w:hyperlink>
      <w:r w:rsidRPr="001470B3">
        <w:t xml:space="preserve"> (accessed 17 March 2026).</w:t>
      </w:r>
    </w:p>
  </w:footnote>
  <w:footnote w:id="16">
    <w:p w14:paraId="3B212C69" w14:textId="77777777" w:rsidR="00BA458A" w:rsidRDefault="00BA458A" w:rsidP="00BA458A">
      <w:pPr>
        <w:pStyle w:val="FootnoteText"/>
      </w:pPr>
      <w:r>
        <w:rPr>
          <w:rStyle w:val="FootnoteReference"/>
        </w:rPr>
        <w:footnoteRef/>
      </w:r>
      <w:r>
        <w:t xml:space="preserve"> </w:t>
      </w:r>
      <w:r w:rsidRPr="008E0498">
        <w:t>Joret, G. “What Specialization of the Infantry in Armored Combat Operations?”, Fantassins, no. 52, Spring–Summer 2024, pp. 125–130, pp. 129–130; Bouffard, J. “The Infantry Regiment Model 2030”, Fantassins, no. 52, Spring–Summer 2024, pp. 15–20, p. 18.</w:t>
      </w:r>
    </w:p>
  </w:footnote>
  <w:footnote w:id="17">
    <w:p w14:paraId="02B1797C" w14:textId="77777777" w:rsidR="00BA458A" w:rsidRDefault="00BA458A" w:rsidP="00BA458A">
      <w:pPr>
        <w:pStyle w:val="FootnoteText"/>
      </w:pPr>
      <w:r>
        <w:rPr>
          <w:rStyle w:val="FootnoteReference"/>
        </w:rPr>
        <w:foot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14" w:history="1">
        <w:r w:rsidRPr="00B47134">
          <w:rPr>
            <w:rStyle w:val="Hyperlink"/>
          </w:rPr>
          <w:t>https://www.gov.uk/government/news/british-army-experiments-with-dstl-study-on-urban-combat</w:t>
        </w:r>
      </w:hyperlink>
      <w:r w:rsidRPr="00B47134">
        <w:t xml:space="preserve"> (accessed 22 June 2026)</w:t>
      </w:r>
      <w:r>
        <w:t xml:space="preserve">; </w:t>
      </w:r>
      <w:r w:rsidRPr="00B47134">
        <w:t xml:space="preserve">Spencer, J. </w:t>
      </w:r>
      <w:r w:rsidRPr="00B47134">
        <w:rPr>
          <w:i/>
          <w:iCs/>
        </w:rPr>
        <w:t>Creating a Unit Optimized for Urban Warfare</w:t>
      </w:r>
      <w:r w:rsidRPr="00B47134">
        <w:t xml:space="preserve">. </w:t>
      </w:r>
      <w:r w:rsidRPr="00B47134">
        <w:rPr>
          <w:i/>
          <w:iCs/>
        </w:rPr>
        <w:t>Modern War Institute at West Point</w:t>
      </w:r>
      <w:r w:rsidRPr="00B47134">
        <w:t xml:space="preserve">, 18 August 2023. Available at: </w:t>
      </w:r>
      <w:hyperlink r:id="rId15" w:history="1">
        <w:r w:rsidRPr="00B47134">
          <w:rPr>
            <w:rStyle w:val="Hyperlink"/>
          </w:rPr>
          <w:t>https://mwi.westpoint.edu/creating-a-unit-optimized-for-urban-warfare/</w:t>
        </w:r>
      </w:hyperlink>
      <w:r w:rsidRPr="00B47134">
        <w:t xml:space="preserve"> (accessed 22 June 2026).</w:t>
      </w:r>
    </w:p>
  </w:footnote>
  <w:footnote w:id="18">
    <w:p w14:paraId="6D8E4C81" w14:textId="77777777" w:rsidR="00BA458A" w:rsidRDefault="00BA458A" w:rsidP="00BA458A">
      <w:pPr>
        <w:pStyle w:val="FootnoteText"/>
      </w:pPr>
      <w:r>
        <w:rPr>
          <w:rStyle w:val="FootnoteReference"/>
        </w:rPr>
        <w:footnoteRef/>
      </w:r>
      <w:r>
        <w:t xml:space="preserve"> </w:t>
      </w:r>
      <w:r w:rsidRPr="002405F1">
        <w:t xml:space="preserve">Ministère des Armées. </w:t>
      </w:r>
      <w:r w:rsidRPr="002405F1">
        <w:rPr>
          <w:i/>
          <w:iCs/>
        </w:rPr>
        <w:t>Gévaudan 26 : Les Légionnaires au Combat</w:t>
      </w:r>
      <w:r w:rsidRPr="002405F1">
        <w:t xml:space="preserve">. 25 February 2026. Available at: </w:t>
      </w:r>
      <w:hyperlink r:id="rId16"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Légion étrangère : Au Coeur d'un Entraînement Plus Vrai que Nature</w:t>
      </w:r>
      <w:r w:rsidRPr="002405F1">
        <w:t xml:space="preserve">. YouTube video, 21 February 2026. Available at: </w:t>
      </w:r>
      <w:hyperlink r:id="rId17"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18" w:tgtFrame="_new" w:history="1">
        <w:r w:rsidRPr="002405F1">
          <w:rPr>
            <w:rStyle w:val="Hyperlink"/>
          </w:rPr>
          <w:t>https://www.wsj.com/opinion/nato-has-seen-the-future-and-is-unprepared-887eaf0f</w:t>
        </w:r>
      </w:hyperlink>
      <w:r w:rsidRPr="002405F1">
        <w:t xml:space="preserve"> (accessed 13 February 2026).</w:t>
      </w:r>
    </w:p>
  </w:footnote>
  <w:footnote w:id="19">
    <w:p w14:paraId="0719F57E" w14:textId="77777777" w:rsidR="00BA458A" w:rsidRDefault="00BA458A" w:rsidP="00BA458A">
      <w:pPr>
        <w:pStyle w:val="FootnoteText"/>
      </w:pPr>
      <w:r>
        <w:rPr>
          <w:rStyle w:val="FootnoteReference"/>
        </w:rPr>
        <w:footnoteRef/>
      </w:r>
      <w:r>
        <w:t xml:space="preserve"> </w:t>
      </w:r>
      <w:r w:rsidRPr="00BF0F0F">
        <w:t xml:space="preserve">Molloy, O. </w:t>
      </w:r>
      <w:r w:rsidRPr="00BF0F0F">
        <w:rPr>
          <w:i/>
          <w:iCs/>
        </w:rPr>
        <w:t>Drones in Modern Warfare: Lessons Learnt from the War in Ukraine</w:t>
      </w:r>
      <w:r w:rsidRPr="00BF0F0F">
        <w:t xml:space="preserve">. Australian Army Occasional Paper, no. 29. Canberra: Australian Army Research Centre, 2024, p. </w:t>
      </w:r>
      <w:r>
        <w:t>78</w:t>
      </w:r>
      <w:r w:rsidRPr="00BF0F0F">
        <w:t xml:space="preserve">. DOI: 10.61451/267513. Available at: </w:t>
      </w:r>
      <w:hyperlink r:id="rId19" w:history="1">
        <w:r w:rsidRPr="00BF0F0F">
          <w:rPr>
            <w:rStyle w:val="Hyperlink"/>
          </w:rPr>
          <w:t>https://researchcentre.army.gov.au/sites/default/files/241104-Occasional-Paper-29-Lessons-Learnt-from-Ukraine.pdf.pdf</w:t>
        </w:r>
      </w:hyperlink>
      <w:r w:rsidRPr="00BF0F0F">
        <w:t xml:space="preserve"> (accessed 2 November 2025).</w:t>
      </w:r>
    </w:p>
  </w:footnote>
  <w:footnote w:id="20">
    <w:p w14:paraId="09EB9A4D" w14:textId="77777777" w:rsidR="00BA458A" w:rsidRDefault="00BA458A" w:rsidP="00BA458A">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21">
    <w:p w14:paraId="2E8B1FF1" w14:textId="77777777" w:rsidR="00BA458A" w:rsidRDefault="00BA458A" w:rsidP="00BA458A">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20" w:tgtFrame="_new" w:history="1">
        <w:r w:rsidRPr="009F3487">
          <w:rPr>
            <w:rStyle w:val="Hyperlink"/>
          </w:rPr>
          <w:t>https://www.jstor.org/stable/2538780</w:t>
        </w:r>
      </w:hyperlink>
      <w:r w:rsidRPr="009F3487">
        <w:t xml:space="preserve"> (accessed 29 March 2025).</w:t>
      </w:r>
    </w:p>
  </w:footnote>
  <w:footnote w:id="22">
    <w:p w14:paraId="2A551B39" w14:textId="77777777" w:rsidR="00BA458A" w:rsidRDefault="00BA458A" w:rsidP="00BA458A">
      <w:pPr>
        <w:pStyle w:val="FootnoteText"/>
      </w:pPr>
      <w:r>
        <w:rPr>
          <w:rStyle w:val="FootnoteReference"/>
        </w:rPr>
        <w:foot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r>
        <w:t xml:space="preserve"> </w:t>
      </w:r>
      <w:r w:rsidRPr="00C12DA0">
        <w:t xml:space="preserve">The salvo column estimates the number and cost of effectors required to defeat an armoured company. </w:t>
      </w:r>
      <w:r w:rsidRPr="007A6FF0">
        <w:t>Effect is normalised to delivered shaped-charge mass, not raw payload:</w:t>
      </w:r>
      <w:r>
        <w:t xml:space="preserve"> </w:t>
      </w:r>
      <w:r w:rsidRPr="00C12DA0">
        <w:t>OWADs are calculated against the 100</w:t>
      </w:r>
      <w:r>
        <w:t>-</w:t>
      </w:r>
      <w:r w:rsidRPr="00C12DA0">
        <w:t>k</w:t>
      </w:r>
      <w:r>
        <w:t>ilogram</w:t>
      </w:r>
      <w:r w:rsidRPr="00C12DA0">
        <w:t xml:space="preserve"> shaped-charge requirement in Bronk and Watling; Javelin is calculated as six missiles at assumed 100 percent kill probability against the 40–60 per cent immobilisation threshold – an assumption</w:t>
      </w:r>
      <w:r>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21" w:history="1">
        <w:r w:rsidRPr="00C12DA0">
          <w:rPr>
            <w:rStyle w:val="Hyperlink"/>
          </w:rPr>
          <w:t>https://static.rusi.org/mass-precision-strike-final.pdf</w:t>
        </w:r>
      </w:hyperlink>
      <w:r w:rsidRPr="00C12DA0">
        <w:t xml:space="preserve"> (accessed 16 December 2025).</w:t>
      </w:r>
    </w:p>
  </w:footnote>
  <w:footnote w:id="23">
    <w:p w14:paraId="1E0215CD" w14:textId="77777777" w:rsidR="00BA458A" w:rsidRPr="00542C4A" w:rsidRDefault="00BA458A" w:rsidP="00BA458A">
      <w:pPr>
        <w:pStyle w:val="FootnoteText"/>
      </w:pPr>
      <w:r>
        <w:rPr>
          <w:rStyle w:val="FootnoteReference"/>
        </w:rPr>
        <w:footnoteRef/>
      </w:r>
      <w:r>
        <w:t xml:space="preserve"> </w:t>
      </w:r>
      <w:r w:rsidRPr="0002433E">
        <w:t>O'Dea, W. (Minister for Defence). Contribution to Written Answers. Dáil Éireann Debates, Vol. 606, No. 2, 29 September 2005. Dublin: Houses of the Oireachtas, 2005. Available at: https://www.oireachtas.ie/en/debates/debate/dail/2005-09-29/37/ (accessed 24 June 2026).</w:t>
      </w:r>
    </w:p>
    <w:p w14:paraId="510B26DF" w14:textId="77777777" w:rsidR="00BA458A" w:rsidRDefault="00BA458A" w:rsidP="00BA458A">
      <w:pPr>
        <w:pStyle w:val="FootnoteText"/>
      </w:pPr>
    </w:p>
    <w:p w14:paraId="33DF2B34" w14:textId="77777777" w:rsidR="00BA458A" w:rsidRDefault="00BA458A" w:rsidP="00BA458A">
      <w:pPr>
        <w:pStyle w:val="FootnoteText"/>
      </w:pPr>
    </w:p>
    <w:p w14:paraId="13893CD7" w14:textId="77777777" w:rsidR="00BA458A" w:rsidRDefault="00BA458A" w:rsidP="00BA458A">
      <w:pPr>
        <w:pStyle w:val="FootnoteText"/>
      </w:pPr>
    </w:p>
    <w:p w14:paraId="12EFBA82" w14:textId="77777777" w:rsidR="00BA458A" w:rsidRDefault="00BA458A" w:rsidP="00BA458A">
      <w:pPr>
        <w:pStyle w:val="FootnoteText"/>
      </w:pPr>
    </w:p>
    <w:p w14:paraId="11D2BBC3" w14:textId="77777777" w:rsidR="00BA458A" w:rsidRDefault="00BA458A" w:rsidP="00BA458A">
      <w:pPr>
        <w:pStyle w:val="FootnoteText"/>
      </w:pPr>
    </w:p>
    <w:p w14:paraId="5C79D399" w14:textId="77777777" w:rsidR="00BA458A" w:rsidRDefault="00BA458A" w:rsidP="00BA458A">
      <w:pPr>
        <w:pStyle w:val="FootnoteText"/>
      </w:pPr>
    </w:p>
    <w:p w14:paraId="48B7716B" w14:textId="77777777" w:rsidR="00BA458A" w:rsidRPr="001C75AE" w:rsidRDefault="00BA458A" w:rsidP="00BA458A">
      <w:pPr>
        <w:rPr>
          <w:highlight w:val="yellow"/>
        </w:rPr>
      </w:pPr>
      <w:r w:rsidRPr="001C75AE">
        <w:rPr>
          <w:highlight w:val="yellow"/>
        </w:rPr>
        <w:t xml:space="preserve">Need access to this janes article: </w:t>
      </w:r>
      <w:hyperlink r:id="rId22" w:history="1">
        <w:r w:rsidRPr="001C75AE">
          <w:rPr>
            <w:rStyle w:val="Hyperlink"/>
            <w:highlight w:val="yellow"/>
          </w:rPr>
          <w:t>https://www.janes.com/defence-intelligence-insights/defence-news/air/french-army-restructures-its-infantry-battalions</w:t>
        </w:r>
      </w:hyperlink>
    </w:p>
    <w:p w14:paraId="4086F1BC" w14:textId="77777777" w:rsidR="00BA458A" w:rsidRPr="00803FC3" w:rsidRDefault="00BA458A" w:rsidP="00BA458A">
      <w:r w:rsidRPr="001C75AE">
        <w:rPr>
          <w:highlight w:val="yellow"/>
        </w:rPr>
        <w:t>need access to this janes article: https://www.janes.com/defence-intelligence-insights/defence-news/weapons/italian-army-improves-infantry-equipment-restructures-units</w:t>
      </w:r>
    </w:p>
    <w:p w14:paraId="13F4874D" w14:textId="77777777" w:rsidR="00BA458A" w:rsidRPr="001D0016" w:rsidRDefault="00BA458A" w:rsidP="00BA458A">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26F74BD2" w14:textId="77777777" w:rsidR="00BA458A" w:rsidRDefault="00BA458A" w:rsidP="00BA458A">
      <w:pPr>
        <w:pStyle w:val="FootnoteText"/>
      </w:pPr>
    </w:p>
  </w:footnote>
  <w:footnote w:id="24">
    <w:p w14:paraId="09486595" w14:textId="77777777" w:rsidR="00F1387E" w:rsidRDefault="00F1387E" w:rsidP="00F1387E">
      <w:pPr>
        <w:pStyle w:val="FootnoteText"/>
      </w:pPr>
      <w:r>
        <w:rPr>
          <w:rStyle w:val="FootnoteReference"/>
        </w:rPr>
        <w:footnoteRef/>
      </w:r>
      <w:r>
        <w:t xml:space="preserve"> Mick Ryan and Clint Hinote, ‘Uncrewed Systems and the Transformation of the U.S. Warfighting Capacity’, War on the Rocks, February 2024, </w:t>
      </w:r>
      <w:hyperlink r:id="rId23" w:history="1">
        <w:r w:rsidRPr="00045FE5">
          <w:rPr>
            <w:rStyle w:val="Hyperlink"/>
          </w:rPr>
          <w:t>https://warontherosks.com/uncrewed-systems-and-the-transformation-of-u-s-warfighting-capacity/</w:t>
        </w:r>
      </w:hyperlink>
      <w:r>
        <w:t>, Accessed 06 July 2026.</w:t>
      </w:r>
    </w:p>
    <w:p w14:paraId="396DC57E" w14:textId="77777777" w:rsidR="00F1387E" w:rsidRDefault="00F1387E" w:rsidP="00F1387E">
      <w:pPr>
        <w:pStyle w:val="FootnoteText"/>
      </w:pP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oin O'Brien">
    <w15:presenceInfo w15:providerId="AD" w15:userId="S-1-5-21-260408978-1581569393-1597378745-312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603AB"/>
    <w:rsid w:val="00063C3E"/>
    <w:rsid w:val="00065A3F"/>
    <w:rsid w:val="000773AE"/>
    <w:rsid w:val="00083769"/>
    <w:rsid w:val="0008463B"/>
    <w:rsid w:val="00092ECB"/>
    <w:rsid w:val="000A62A6"/>
    <w:rsid w:val="000B39F2"/>
    <w:rsid w:val="000C389C"/>
    <w:rsid w:val="000E53A4"/>
    <w:rsid w:val="000E74FD"/>
    <w:rsid w:val="000F0D19"/>
    <w:rsid w:val="00102312"/>
    <w:rsid w:val="0010514C"/>
    <w:rsid w:val="00107A60"/>
    <w:rsid w:val="00126E0F"/>
    <w:rsid w:val="00127BFF"/>
    <w:rsid w:val="00143911"/>
    <w:rsid w:val="00172310"/>
    <w:rsid w:val="00176EA6"/>
    <w:rsid w:val="001779D4"/>
    <w:rsid w:val="001800EF"/>
    <w:rsid w:val="001822CC"/>
    <w:rsid w:val="00182D41"/>
    <w:rsid w:val="001A3844"/>
    <w:rsid w:val="001B6642"/>
    <w:rsid w:val="001C6BAB"/>
    <w:rsid w:val="001C70DF"/>
    <w:rsid w:val="001C71F6"/>
    <w:rsid w:val="001C75AE"/>
    <w:rsid w:val="001D0016"/>
    <w:rsid w:val="001E7AE7"/>
    <w:rsid w:val="0020389D"/>
    <w:rsid w:val="00211892"/>
    <w:rsid w:val="0021641C"/>
    <w:rsid w:val="00220651"/>
    <w:rsid w:val="0022693E"/>
    <w:rsid w:val="00230C29"/>
    <w:rsid w:val="00232127"/>
    <w:rsid w:val="002405F1"/>
    <w:rsid w:val="00240A82"/>
    <w:rsid w:val="00252F20"/>
    <w:rsid w:val="00262708"/>
    <w:rsid w:val="00277CD9"/>
    <w:rsid w:val="002822C2"/>
    <w:rsid w:val="00287A7E"/>
    <w:rsid w:val="00292EE9"/>
    <w:rsid w:val="002C4F0D"/>
    <w:rsid w:val="002D603F"/>
    <w:rsid w:val="002E0EF9"/>
    <w:rsid w:val="002F0568"/>
    <w:rsid w:val="002F4644"/>
    <w:rsid w:val="0030344C"/>
    <w:rsid w:val="00327715"/>
    <w:rsid w:val="00332E1F"/>
    <w:rsid w:val="0033406E"/>
    <w:rsid w:val="003615C3"/>
    <w:rsid w:val="0036390B"/>
    <w:rsid w:val="00373773"/>
    <w:rsid w:val="00385DAB"/>
    <w:rsid w:val="00392A7C"/>
    <w:rsid w:val="003A11A1"/>
    <w:rsid w:val="003A2DA1"/>
    <w:rsid w:val="003B6230"/>
    <w:rsid w:val="003C060B"/>
    <w:rsid w:val="003E4F2A"/>
    <w:rsid w:val="003E5AA4"/>
    <w:rsid w:val="00401D26"/>
    <w:rsid w:val="004315E8"/>
    <w:rsid w:val="00431645"/>
    <w:rsid w:val="004359AF"/>
    <w:rsid w:val="00443FFE"/>
    <w:rsid w:val="00456E3A"/>
    <w:rsid w:val="0047065D"/>
    <w:rsid w:val="0047228C"/>
    <w:rsid w:val="004738DA"/>
    <w:rsid w:val="004910FE"/>
    <w:rsid w:val="004A13E6"/>
    <w:rsid w:val="004A36F5"/>
    <w:rsid w:val="004B73C3"/>
    <w:rsid w:val="004C3B35"/>
    <w:rsid w:val="004D0C8F"/>
    <w:rsid w:val="004F0B7F"/>
    <w:rsid w:val="00503231"/>
    <w:rsid w:val="005032B0"/>
    <w:rsid w:val="00524254"/>
    <w:rsid w:val="00526588"/>
    <w:rsid w:val="005532E2"/>
    <w:rsid w:val="00572323"/>
    <w:rsid w:val="00583511"/>
    <w:rsid w:val="005859B9"/>
    <w:rsid w:val="005A3FE8"/>
    <w:rsid w:val="005B47FC"/>
    <w:rsid w:val="005C4B5D"/>
    <w:rsid w:val="005D62BA"/>
    <w:rsid w:val="005D6A14"/>
    <w:rsid w:val="005E1FD3"/>
    <w:rsid w:val="005E2FA4"/>
    <w:rsid w:val="005F0279"/>
    <w:rsid w:val="00602AC4"/>
    <w:rsid w:val="0060431C"/>
    <w:rsid w:val="0060740A"/>
    <w:rsid w:val="006077C5"/>
    <w:rsid w:val="00617010"/>
    <w:rsid w:val="00626CC9"/>
    <w:rsid w:val="0063136F"/>
    <w:rsid w:val="00633BB8"/>
    <w:rsid w:val="006376AF"/>
    <w:rsid w:val="00654E5F"/>
    <w:rsid w:val="00656D8B"/>
    <w:rsid w:val="00687BB9"/>
    <w:rsid w:val="006B245A"/>
    <w:rsid w:val="006B36F7"/>
    <w:rsid w:val="006B7283"/>
    <w:rsid w:val="006C01F9"/>
    <w:rsid w:val="006C1751"/>
    <w:rsid w:val="006D3152"/>
    <w:rsid w:val="006E0485"/>
    <w:rsid w:val="006E41D2"/>
    <w:rsid w:val="006E6DF6"/>
    <w:rsid w:val="00702A39"/>
    <w:rsid w:val="00707459"/>
    <w:rsid w:val="007114F8"/>
    <w:rsid w:val="0071161B"/>
    <w:rsid w:val="00717ED2"/>
    <w:rsid w:val="00721C39"/>
    <w:rsid w:val="00734406"/>
    <w:rsid w:val="007539C9"/>
    <w:rsid w:val="0076059B"/>
    <w:rsid w:val="00766DD3"/>
    <w:rsid w:val="0077704F"/>
    <w:rsid w:val="007A6FF0"/>
    <w:rsid w:val="007D58F9"/>
    <w:rsid w:val="007E6648"/>
    <w:rsid w:val="007F7005"/>
    <w:rsid w:val="008008AE"/>
    <w:rsid w:val="008032E8"/>
    <w:rsid w:val="00815DE9"/>
    <w:rsid w:val="008278AC"/>
    <w:rsid w:val="00833C45"/>
    <w:rsid w:val="00841CA6"/>
    <w:rsid w:val="00847D59"/>
    <w:rsid w:val="00856A81"/>
    <w:rsid w:val="0087131C"/>
    <w:rsid w:val="00880436"/>
    <w:rsid w:val="008906B6"/>
    <w:rsid w:val="008A10CC"/>
    <w:rsid w:val="008A2BAF"/>
    <w:rsid w:val="008A3F4A"/>
    <w:rsid w:val="008D1071"/>
    <w:rsid w:val="008D790E"/>
    <w:rsid w:val="008E0498"/>
    <w:rsid w:val="008E24F7"/>
    <w:rsid w:val="008E628C"/>
    <w:rsid w:val="008F1E30"/>
    <w:rsid w:val="008F41DA"/>
    <w:rsid w:val="00904C8E"/>
    <w:rsid w:val="009145A4"/>
    <w:rsid w:val="00917666"/>
    <w:rsid w:val="00925E2F"/>
    <w:rsid w:val="009305B9"/>
    <w:rsid w:val="00946825"/>
    <w:rsid w:val="00947EB5"/>
    <w:rsid w:val="00971FFB"/>
    <w:rsid w:val="00996C78"/>
    <w:rsid w:val="009A2241"/>
    <w:rsid w:val="009A4725"/>
    <w:rsid w:val="009C76EC"/>
    <w:rsid w:val="009D4618"/>
    <w:rsid w:val="009E246E"/>
    <w:rsid w:val="009E28A5"/>
    <w:rsid w:val="00A04877"/>
    <w:rsid w:val="00A04CA9"/>
    <w:rsid w:val="00A23F4E"/>
    <w:rsid w:val="00A36721"/>
    <w:rsid w:val="00A432B4"/>
    <w:rsid w:val="00A50E13"/>
    <w:rsid w:val="00A71BE2"/>
    <w:rsid w:val="00A72C99"/>
    <w:rsid w:val="00A82B6C"/>
    <w:rsid w:val="00A83B70"/>
    <w:rsid w:val="00AB0ACD"/>
    <w:rsid w:val="00AC6223"/>
    <w:rsid w:val="00AC7624"/>
    <w:rsid w:val="00AE6C88"/>
    <w:rsid w:val="00AF0C93"/>
    <w:rsid w:val="00B05986"/>
    <w:rsid w:val="00B2402D"/>
    <w:rsid w:val="00B46909"/>
    <w:rsid w:val="00B47134"/>
    <w:rsid w:val="00B53E30"/>
    <w:rsid w:val="00B62BAA"/>
    <w:rsid w:val="00B8094F"/>
    <w:rsid w:val="00B85AC3"/>
    <w:rsid w:val="00B86BAF"/>
    <w:rsid w:val="00B93E1B"/>
    <w:rsid w:val="00B94448"/>
    <w:rsid w:val="00BA458A"/>
    <w:rsid w:val="00BB2886"/>
    <w:rsid w:val="00BB3343"/>
    <w:rsid w:val="00BB3526"/>
    <w:rsid w:val="00BC252E"/>
    <w:rsid w:val="00BC4646"/>
    <w:rsid w:val="00BE2246"/>
    <w:rsid w:val="00BF065B"/>
    <w:rsid w:val="00BF4B6D"/>
    <w:rsid w:val="00BF56D1"/>
    <w:rsid w:val="00C12DA0"/>
    <w:rsid w:val="00C13EBD"/>
    <w:rsid w:val="00C24B2F"/>
    <w:rsid w:val="00C31025"/>
    <w:rsid w:val="00C376F0"/>
    <w:rsid w:val="00C40892"/>
    <w:rsid w:val="00C446BB"/>
    <w:rsid w:val="00C50339"/>
    <w:rsid w:val="00C57783"/>
    <w:rsid w:val="00C74C84"/>
    <w:rsid w:val="00C76E0E"/>
    <w:rsid w:val="00C770C3"/>
    <w:rsid w:val="00C82EE9"/>
    <w:rsid w:val="00C9561E"/>
    <w:rsid w:val="00CA049A"/>
    <w:rsid w:val="00CA53E2"/>
    <w:rsid w:val="00CA5665"/>
    <w:rsid w:val="00CB1328"/>
    <w:rsid w:val="00CB2FEB"/>
    <w:rsid w:val="00CC44E2"/>
    <w:rsid w:val="00CD6625"/>
    <w:rsid w:val="00CE2CBB"/>
    <w:rsid w:val="00D02D50"/>
    <w:rsid w:val="00D04E62"/>
    <w:rsid w:val="00D0517E"/>
    <w:rsid w:val="00D11B48"/>
    <w:rsid w:val="00D31202"/>
    <w:rsid w:val="00D31766"/>
    <w:rsid w:val="00D33A77"/>
    <w:rsid w:val="00D37663"/>
    <w:rsid w:val="00D43EF2"/>
    <w:rsid w:val="00D533ED"/>
    <w:rsid w:val="00D539C9"/>
    <w:rsid w:val="00D72570"/>
    <w:rsid w:val="00D80DC3"/>
    <w:rsid w:val="00D93EFA"/>
    <w:rsid w:val="00D97A55"/>
    <w:rsid w:val="00DB5050"/>
    <w:rsid w:val="00DC5778"/>
    <w:rsid w:val="00DE1E55"/>
    <w:rsid w:val="00DE3CD3"/>
    <w:rsid w:val="00DE701E"/>
    <w:rsid w:val="00DE7342"/>
    <w:rsid w:val="00DF7EB0"/>
    <w:rsid w:val="00E05D57"/>
    <w:rsid w:val="00E15ABA"/>
    <w:rsid w:val="00E237FD"/>
    <w:rsid w:val="00E27349"/>
    <w:rsid w:val="00E27398"/>
    <w:rsid w:val="00E37A49"/>
    <w:rsid w:val="00E42B4A"/>
    <w:rsid w:val="00E44360"/>
    <w:rsid w:val="00E47DF7"/>
    <w:rsid w:val="00E503FF"/>
    <w:rsid w:val="00E600EA"/>
    <w:rsid w:val="00E60F00"/>
    <w:rsid w:val="00E80E03"/>
    <w:rsid w:val="00E851DC"/>
    <w:rsid w:val="00E9226D"/>
    <w:rsid w:val="00EB0659"/>
    <w:rsid w:val="00EB428B"/>
    <w:rsid w:val="00EB4DCB"/>
    <w:rsid w:val="00EC66DF"/>
    <w:rsid w:val="00EC7C68"/>
    <w:rsid w:val="00ED4294"/>
    <w:rsid w:val="00ED4604"/>
    <w:rsid w:val="00ED54BE"/>
    <w:rsid w:val="00EE12B1"/>
    <w:rsid w:val="00F11EA1"/>
    <w:rsid w:val="00F1387E"/>
    <w:rsid w:val="00F318C3"/>
    <w:rsid w:val="00F47AB0"/>
    <w:rsid w:val="00F553E9"/>
    <w:rsid w:val="00F92358"/>
    <w:rsid w:val="00F979A6"/>
    <w:rsid w:val="00F97F87"/>
    <w:rsid w:val="00FA2700"/>
    <w:rsid w:val="00FA51DA"/>
    <w:rsid w:val="00FA5A9C"/>
    <w:rsid w:val="00FA5FF6"/>
    <w:rsid w:val="00FB05F1"/>
    <w:rsid w:val="00FC7E0E"/>
    <w:rsid w:val="00FD26A9"/>
    <w:rsid w:val="00FF02B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semiHidden/>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semiHidden/>
    <w:rsid w:val="00F1387E"/>
    <w:rPr>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_rels/footnotes.xml.rels><?xml version="1.0" encoding="UTF-8" standalone="yes"?>
<Relationships xmlns="http://schemas.openxmlformats.org/package/2006/relationships"><Relationship Id="rId8" Type="http://schemas.openxmlformats.org/officeDocument/2006/relationships/hyperlink" Target="https://www.jstor.org/stable/2538981" TargetMode="External"/><Relationship Id="rId13" Type="http://schemas.openxmlformats.org/officeDocument/2006/relationships/hyperlink" Target="https://www.ifri.org/en/studies/other-side-hill-benefits-and-false-promises-battlefield-transparency" TargetMode="External"/><Relationship Id="rId18" Type="http://schemas.openxmlformats.org/officeDocument/2006/relationships/hyperlink" Target="https://www.wsj.com/opinion/nato-has-seen-the-future-and-is-unprepared-887eaf0f" TargetMode="External"/><Relationship Id="rId3" Type="http://schemas.openxmlformats.org/officeDocument/2006/relationships/hyperlink" Target="https://doi-org.may.idm.oclc.org/10.1080/03071847.2022.2058601" TargetMode="External"/><Relationship Id="rId21" Type="http://schemas.openxmlformats.org/officeDocument/2006/relationships/hyperlink" Target="https://static.rusi.org/mass-precision-strike-final.pdf" TargetMode="External"/><Relationship Id="rId7" Type="http://schemas.openxmlformats.org/officeDocument/2006/relationships/hyperlink" Target="https://www.oireachtas.ie/en/debates/debate/dail/2024-05-02/32/" TargetMode="External"/><Relationship Id="rId12" Type="http://schemas.openxmlformats.org/officeDocument/2006/relationships/hyperlink" Target="https://www.mca-marines.org/wp-content/uploads/23-The-Ultra-Light.pdf" TargetMode="External"/><Relationship Id="rId17" Type="http://schemas.openxmlformats.org/officeDocument/2006/relationships/hyperlink" Target="https://www.youtube.com/watch?v=fkE1H-jy3NE" TargetMode="External"/><Relationship Id="rId2" Type="http://schemas.openxmlformats.org/officeDocument/2006/relationships/hyperlink" Target="https://researchcentre.army.gov.au/sites/default/files/241104-Occasional-Paper-29-Lessons-Learnt-from-Ukraine.pdf.pdf" TargetMode="External"/><Relationship Id="rId16" Type="http://schemas.openxmlformats.org/officeDocument/2006/relationships/hyperlink" Target="https://www.defense.gouv.fr/terre/actualites/gevaudan-26-legionnaires-au-combat" TargetMode="External"/><Relationship Id="rId20" Type="http://schemas.openxmlformats.org/officeDocument/2006/relationships/hyperlink" Target="https://www.jstor.org/stable/2538780" TargetMode="External"/><Relationship Id="rId1" Type="http://schemas.openxmlformats.org/officeDocument/2006/relationships/hyperlink" Target="https://static.rusi.org/protecting-the-force-from-uncrewed-uas.pdf" TargetMode="External"/><Relationship Id="rId6" Type="http://schemas.openxmlformats.org/officeDocument/2006/relationships/hyperlink" Target="https://static.rusi.org/lessons-learned-ukraine-offensive-2022-23.pdf" TargetMode="External"/><Relationship Id="rId11" Type="http://schemas.openxmlformats.org/officeDocument/2006/relationships/hyperlink" Target="https://www.thejournal.ie/new-apc-vehicles-maybe-coming-from-france-6623112-Feb2025/" TargetMode="External"/><Relationship Id="rId5" Type="http://schemas.openxmlformats.org/officeDocument/2006/relationships/hyperlink" Target="https://mwi.westpoint.edu/drones-wont-save-us-learning-the-wrong-lessons-from-ukraine-will-cost-the-us-army-its-edge-in-maneuver-warfare/" TargetMode="External"/><Relationship Id="rId15" Type="http://schemas.openxmlformats.org/officeDocument/2006/relationships/hyperlink" Target="https://mwi.westpoint.edu/creating-a-unit-optimized-for-urban-warfare/" TargetMode="External"/><Relationship Id="rId23" Type="http://schemas.openxmlformats.org/officeDocument/2006/relationships/hyperlink" Target="https://warontherosks.com/uncrewed-systems-and-the-transformation-of-u-s-warfighting-capacity/" TargetMode="External"/><Relationship Id="rId10" Type="http://schemas.openxmlformats.org/officeDocument/2006/relationships/hyperlink" Target="https://www.act.nato.int/wp-content/uploads/2023/05/NATO-ACT-CDE-Handbook_A_Concept_Developers_Toolbox.pdf" TargetMode="External"/><Relationship Id="rId19" Type="http://schemas.openxmlformats.org/officeDocument/2006/relationships/hyperlink" Target="https://researchcentre.army.gov.au/sites/default/files/241104-Occasional-Paper-29-Lessons-Learnt-from-Ukraine.pdf.pdf" TargetMode="External"/><Relationship Id="rId4" Type="http://schemas.openxmlformats.org/officeDocument/2006/relationships/hyperlink" Target="https://podcasts.apple.com/gb/podcast/sdr-threats-series-styles-and-themes-of/id1629454648?i=1000675880639" TargetMode="External"/><Relationship Id="rId9" Type="http://schemas.openxmlformats.org/officeDocument/2006/relationships/hyperlink" Target="https://eda.europa.eu/docs/default-source/eda-publications/2023-eu-capability-development-priorities.pdf" TargetMode="External"/><Relationship Id="rId14" Type="http://schemas.openxmlformats.org/officeDocument/2006/relationships/hyperlink" Target="https://www.gov.uk/government/news/british-army-experiments-with-dstl-study-on-urban-combat" TargetMode="External"/><Relationship Id="rId22" Type="http://schemas.openxmlformats.org/officeDocument/2006/relationships/hyperlink" Target="https://www.janes.com/defence-intelligence-insights/defence-news/air/french-army-restructures-its-infantry-battal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13</Pages>
  <Words>3060</Words>
  <Characters>17448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22</cp:revision>
  <dcterms:created xsi:type="dcterms:W3CDTF">2026-06-23T08:56:00Z</dcterms:created>
  <dcterms:modified xsi:type="dcterms:W3CDTF">2026-07-06T22:10:00Z</dcterms:modified>
</cp:coreProperties>
</file>