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20F5D42B" w:rsidR="00D72570" w:rsidRDefault="00126E0F" w:rsidP="00AF0C93">
      <w:pPr>
        <w:pStyle w:val="Heading2"/>
      </w:pPr>
      <w:r>
        <w:t xml:space="preserve">ADAM </w:t>
      </w:r>
      <w:r w:rsidR="00C50339">
        <w:t>1</w:t>
      </w:r>
      <w:r w:rsidR="00C32386">
        <w:t>9</w:t>
      </w:r>
      <w:r w:rsidR="00397C06">
        <w:t>60</w:t>
      </w:r>
      <w:r w:rsidR="00C50339">
        <w:t xml:space="preserve"> WORDS</w:t>
      </w:r>
    </w:p>
    <w:p w14:paraId="07CD3EEA" w14:textId="054B2571"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sidR="007561E8">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sidR="00277853">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00D65BB3" w:rsidRPr="00D65BB3">
        <w:rPr>
          <w:rFonts w:asciiTheme="minorHAnsi" w:eastAsiaTheme="minorHAnsi" w:hAnsiTheme="minorHAnsi" w:cstheme="minorBidi"/>
          <w:color w:val="auto"/>
          <w:sz w:val="24"/>
          <w:szCs w:val="24"/>
        </w:rPr>
        <w:t>Scholars divide between those who</w:t>
      </w:r>
      <w:r w:rsidR="00C02D2C">
        <w:rPr>
          <w:rFonts w:asciiTheme="minorHAnsi" w:eastAsiaTheme="minorHAnsi" w:hAnsiTheme="minorHAnsi" w:cstheme="minorBidi"/>
          <w:color w:val="auto"/>
          <w:sz w:val="24"/>
          <w:szCs w:val="24"/>
        </w:rPr>
        <w:t xml:space="preserve"> ask whether </w:t>
      </w:r>
      <w:r w:rsidR="00D65BB3" w:rsidRPr="00D65BB3">
        <w:rPr>
          <w:rFonts w:asciiTheme="minorHAnsi" w:eastAsiaTheme="minorHAnsi" w:hAnsiTheme="minorHAnsi" w:cstheme="minorBidi"/>
          <w:color w:val="auto"/>
          <w:sz w:val="24"/>
          <w:szCs w:val="24"/>
        </w:rPr>
        <w:t>manoeuvre is “dead”</w:t>
      </w:r>
      <w:r w:rsidR="00613717">
        <w:rPr>
          <w:rStyle w:val="EndnoteReference"/>
          <w:rFonts w:asciiTheme="minorHAnsi" w:eastAsiaTheme="minorHAnsi" w:hAnsiTheme="minorHAnsi" w:cstheme="minorBidi"/>
          <w:color w:val="auto"/>
          <w:sz w:val="24"/>
          <w:szCs w:val="24"/>
        </w:rPr>
        <w:endnoteReference w:id="3"/>
      </w:r>
      <w:r w:rsidR="00BF1C5A">
        <w:rPr>
          <w:rFonts w:asciiTheme="minorHAnsi" w:eastAsiaTheme="minorHAnsi" w:hAnsiTheme="minorHAnsi" w:cstheme="minorBidi"/>
          <w:color w:val="auto"/>
          <w:sz w:val="24"/>
          <w:szCs w:val="24"/>
        </w:rPr>
        <w:t xml:space="preserve"> </w:t>
      </w:r>
      <w:r w:rsidR="00D65BB3">
        <w:rPr>
          <w:rFonts w:asciiTheme="minorHAnsi" w:eastAsiaTheme="minorHAnsi" w:hAnsiTheme="minorHAnsi" w:cstheme="minorBidi"/>
          <w:color w:val="auto"/>
          <w:sz w:val="24"/>
          <w:szCs w:val="24"/>
        </w:rPr>
        <w:t xml:space="preserve">and </w:t>
      </w:r>
      <w:r w:rsidR="00D65BB3" w:rsidRPr="00D65BB3">
        <w:rPr>
          <w:rFonts w:asciiTheme="minorHAnsi" w:eastAsiaTheme="minorHAnsi" w:hAnsiTheme="minorHAnsi" w:cstheme="minorBidi"/>
          <w:color w:val="auto"/>
          <w:sz w:val="24"/>
          <w:szCs w:val="24"/>
        </w:rPr>
        <w:t>those who argue that it must adapt to survive</w:t>
      </w:r>
      <w:r w:rsidR="00BF1C5A">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4"/>
      </w:r>
      <w:r w:rsidR="00BF1C5A">
        <w:rPr>
          <w:rFonts w:asciiTheme="minorHAnsi" w:eastAsiaTheme="minorHAnsi" w:hAnsiTheme="minorHAnsi" w:cstheme="minorBidi"/>
          <w:color w:val="auto"/>
          <w:sz w:val="24"/>
          <w:szCs w:val="24"/>
        </w:rPr>
        <w:t xml:space="preserve"> </w:t>
      </w:r>
      <w:r w:rsidR="005F7AFB"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4AD83F48" w14:textId="1A7D9ECA"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613717">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sidR="00613717">
        <w:rPr>
          <w:rStyle w:val="EndnoteReference"/>
          <w:rFonts w:asciiTheme="minorHAnsi" w:eastAsiaTheme="minorHAnsi" w:hAnsiTheme="minorHAnsi" w:cstheme="minorBidi"/>
          <w:color w:val="auto"/>
          <w:sz w:val="24"/>
          <w:szCs w:val="24"/>
        </w:rPr>
        <w:endnoteReference w:id="6"/>
      </w:r>
      <w:r w:rsidR="00E2362A">
        <w:rPr>
          <w:rFonts w:asciiTheme="minorHAnsi" w:eastAsiaTheme="minorHAnsi" w:hAnsiTheme="minorHAnsi" w:cstheme="minorBidi"/>
          <w:color w:val="auto"/>
          <w:sz w:val="24"/>
          <w:szCs w:val="24"/>
        </w:rPr>
        <w:t xml:space="preserve"> — </w:t>
      </w:r>
      <w:r>
        <w:rPr>
          <w:rFonts w:asciiTheme="minorHAnsi" w:eastAsiaTheme="minorHAnsi" w:hAnsiTheme="minorHAnsi" w:cstheme="minorBidi"/>
          <w:color w:val="auto"/>
          <w:sz w:val="24"/>
          <w:szCs w:val="24"/>
        </w:rPr>
        <w:t>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xml:space="preserve">. The military is tasked </w:t>
      </w:r>
      <w:r w:rsidR="00E2362A">
        <w:rPr>
          <w:rFonts w:asciiTheme="minorHAnsi" w:eastAsiaTheme="minorHAnsi" w:hAnsiTheme="minorHAnsi" w:cstheme="minorBidi"/>
          <w:color w:val="auto"/>
          <w:sz w:val="24"/>
          <w:szCs w:val="24"/>
        </w:rPr>
        <w:t xml:space="preserve">to </w:t>
      </w:r>
      <w:r>
        <w:rPr>
          <w:rFonts w:asciiTheme="minorHAnsi" w:eastAsiaTheme="minorHAnsi" w:hAnsiTheme="minorHAnsi" w:cstheme="minorBidi"/>
          <w:color w:val="auto"/>
          <w:sz w:val="24"/>
          <w:szCs w:val="24"/>
        </w:rPr>
        <w:t>“</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38021E4B" w14:textId="3A59C423" w:rsidR="00CC44E2" w:rsidRDefault="007F74B6" w:rsidP="00285E08">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sidR="007E32B8">
        <w:rPr>
          <w:rStyle w:val="FootnoteReference"/>
          <w:rFonts w:asciiTheme="minorHAnsi" w:eastAsiaTheme="minorHAnsi" w:hAnsiTheme="minorHAnsi" w:cstheme="minorBidi"/>
          <w:color w:val="auto"/>
          <w:sz w:val="24"/>
          <w:szCs w:val="24"/>
        </w:rPr>
        <w:footnoteReference w:id="1"/>
      </w:r>
      <w:r w:rsidRPr="007F74B6">
        <w:rPr>
          <w:rFonts w:asciiTheme="minorHAnsi" w:eastAsiaTheme="minorHAnsi" w:hAnsiTheme="minorHAnsi" w:cstheme="minorBidi"/>
          <w:color w:val="auto"/>
          <w:sz w:val="24"/>
          <w:szCs w:val="24"/>
        </w:rPr>
        <w:t xml:space="preserve"> and under-resourced, but force design cannot assume Europe’s post-1945 “long peace”</w:t>
      </w:r>
      <w:r w:rsidR="00613717">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00947EB5" w:rsidRPr="00CA53E2">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210E07">
        <w:rPr>
          <w:rFonts w:asciiTheme="minorHAnsi" w:eastAsiaTheme="minorHAnsi" w:hAnsiTheme="minorHAnsi" w:cstheme="minorBidi"/>
          <w:color w:val="auto"/>
          <w:sz w:val="24"/>
          <w:szCs w:val="24"/>
        </w:rPr>
        <w:t>The d</w:t>
      </w:r>
      <w:r w:rsidR="00BD22DF">
        <w:rPr>
          <w:rFonts w:asciiTheme="minorHAnsi" w:eastAsiaTheme="minorHAnsi" w:hAnsiTheme="minorHAnsi" w:cstheme="minorBidi"/>
          <w:color w:val="auto"/>
          <w:sz w:val="24"/>
          <w:szCs w:val="24"/>
        </w:rPr>
        <w:t>ispute over</w:t>
      </w:r>
      <w:r w:rsidR="00A5525D">
        <w:rPr>
          <w:rFonts w:asciiTheme="minorHAnsi" w:eastAsiaTheme="minorHAnsi" w:hAnsiTheme="minorHAnsi" w:cstheme="minorBidi"/>
          <w:color w:val="auto"/>
          <w:sz w:val="24"/>
          <w:szCs w:val="24"/>
        </w:rPr>
        <w:t xml:space="preserve"> </w:t>
      </w:r>
      <w:r w:rsidR="00947EB5" w:rsidRPr="00B46909">
        <w:rPr>
          <w:rFonts w:asciiTheme="minorHAnsi" w:eastAsiaTheme="minorHAnsi" w:hAnsiTheme="minorHAnsi" w:cstheme="minorBidi"/>
          <w:color w:val="auto"/>
          <w:sz w:val="24"/>
          <w:szCs w:val="24"/>
        </w:rPr>
        <w:t>Greenland</w:t>
      </w:r>
      <w:r w:rsidR="00613717">
        <w:rPr>
          <w:rStyle w:val="EndnoteReference"/>
          <w:rFonts w:asciiTheme="minorHAnsi" w:eastAsiaTheme="minorHAnsi" w:hAnsiTheme="minorHAnsi" w:cstheme="minorBidi"/>
          <w:color w:val="auto"/>
          <w:sz w:val="24"/>
          <w:szCs w:val="24"/>
        </w:rPr>
        <w:endnoteReference w:id="8"/>
      </w:r>
      <w:r w:rsidR="00947EB5" w:rsidRPr="00B46909">
        <w:rPr>
          <w:rFonts w:asciiTheme="minorHAnsi" w:eastAsiaTheme="minorHAnsi" w:hAnsiTheme="minorHAnsi" w:cstheme="minorBidi"/>
          <w:color w:val="auto"/>
          <w:sz w:val="24"/>
          <w:szCs w:val="24"/>
        </w:rPr>
        <w:t xml:space="preserve"> and Denmark’s response</w:t>
      </w:r>
      <w:r w:rsidR="00613717">
        <w:rPr>
          <w:rStyle w:val="EndnoteReference"/>
          <w:rFonts w:asciiTheme="minorHAnsi" w:eastAsiaTheme="minorHAnsi" w:hAnsiTheme="minorHAnsi" w:cstheme="minorBidi"/>
          <w:color w:val="auto"/>
          <w:sz w:val="24"/>
          <w:szCs w:val="24"/>
        </w:rPr>
        <w:endnoteReference w:id="9"/>
      </w:r>
      <w:r w:rsidR="00947EB5" w:rsidRPr="00B46909">
        <w:rPr>
          <w:rFonts w:asciiTheme="minorHAnsi" w:eastAsiaTheme="minorHAnsi" w:hAnsiTheme="minorHAnsi" w:cstheme="minorBidi"/>
          <w:color w:val="auto"/>
          <w:sz w:val="24"/>
          <w:szCs w:val="24"/>
        </w:rPr>
        <w:t xml:space="preserve">  </w:t>
      </w:r>
      <w:r w:rsidR="00530028" w:rsidRPr="00530028">
        <w:rPr>
          <w:rFonts w:asciiTheme="minorHAnsi" w:eastAsiaTheme="minorHAnsi" w:hAnsiTheme="minorHAnsi" w:cstheme="minorBidi"/>
          <w:color w:val="auto"/>
          <w:sz w:val="24"/>
          <w:szCs w:val="24"/>
        </w:rPr>
        <w:t>show how quickly strategically marginal scenarios can become plausible</w:t>
      </w:r>
      <w:r w:rsidR="002E5AF4">
        <w:rPr>
          <w:rFonts w:asciiTheme="minorHAnsi" w:eastAsiaTheme="minorHAnsi" w:hAnsiTheme="minorHAnsi" w:cstheme="minorBidi"/>
          <w:color w:val="auto"/>
          <w:sz w:val="24"/>
          <w:szCs w:val="24"/>
        </w:rPr>
        <w:t xml:space="preserve"> planning problems</w:t>
      </w:r>
      <w:r w:rsidR="00BD22DF">
        <w:rPr>
          <w:rFonts w:asciiTheme="minorHAnsi" w:eastAsiaTheme="minorHAnsi" w:hAnsiTheme="minorHAnsi" w:cstheme="minorBidi"/>
          <w:color w:val="auto"/>
          <w:sz w:val="24"/>
          <w:szCs w:val="24"/>
        </w:rPr>
        <w:t>.</w:t>
      </w:r>
      <w:r w:rsidR="00A5525D" w:rsidRPr="00A5525D">
        <w:t xml:space="preserve"> </w:t>
      </w:r>
      <w:r w:rsidR="00A5525D"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sidR="00CE7751">
        <w:rPr>
          <w:rFonts w:asciiTheme="minorHAnsi" w:eastAsiaTheme="minorHAnsi" w:hAnsiTheme="minorHAnsi" w:cstheme="minorBidi"/>
          <w:color w:val="auto"/>
          <w:sz w:val="24"/>
          <w:szCs w:val="24"/>
        </w:rPr>
        <w:t>future conflict</w:t>
      </w:r>
      <w:r w:rsidR="00A5525D" w:rsidRPr="00A5525D">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BD22DF"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00BF065B" w:rsidRPr="00BF065B">
        <w:rPr>
          <w:rFonts w:asciiTheme="minorHAnsi" w:eastAsiaTheme="minorHAnsi" w:hAnsiTheme="minorHAnsi" w:cstheme="minorBidi"/>
          <w:color w:val="auto"/>
          <w:sz w:val="24"/>
          <w:szCs w:val="24"/>
        </w:rPr>
        <w:t xml:space="preserve">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 </w:t>
      </w:r>
    </w:p>
    <w:p w14:paraId="5AB6E8DB" w14:textId="1D064D51" w:rsidR="003C060B" w:rsidRDefault="008C5DFF" w:rsidP="00947EB5">
      <w:r w:rsidRPr="00174027">
        <w:t>Ireland’s light infantry section is not an equipment problem; it is a structure overtaken by the threat.</w:t>
      </w:r>
      <w:r>
        <w:t xml:space="preserve"> </w:t>
      </w:r>
      <w:r w:rsidR="006C15B4" w:rsidRPr="00803FC3">
        <w:t>Capability is sometimes reduced to equipment, but it is better understood as the synthesis described by DOTMLPF-I</w:t>
      </w:r>
      <w:r w:rsidR="006C15B4">
        <w:t>.</w:t>
      </w:r>
      <w:r w:rsidR="00613717">
        <w:rPr>
          <w:rStyle w:val="EndnoteReference"/>
        </w:rPr>
        <w:endnoteReference w:id="10"/>
      </w:r>
      <w:r w:rsidR="00613717" w:rsidRPr="00174027">
        <w:t xml:space="preserve"> </w:t>
      </w:r>
      <w:r w:rsidR="00947EB5">
        <w:t>O</w:t>
      </w:r>
      <w:r w:rsidR="00947EB5" w:rsidRPr="00803FC3">
        <w:t>n that basis</w:t>
      </w:r>
      <w:r w:rsidR="00D427C5">
        <w:t>,</w:t>
      </w:r>
      <w:r w:rsidR="00947EB5" w:rsidRPr="00803FC3">
        <w:t xml:space="preserve"> the section fails against nearly every line. Its doctrine remains that of a foot-mobil</w:t>
      </w:r>
      <w:r w:rsidR="00947EB5" w:rsidRPr="000504B3">
        <w:t>e light infantry section, never reconciled with the vehicles now built to carry it</w:t>
      </w:r>
      <w:r w:rsidR="00947EB5" w:rsidRPr="00803FC3">
        <w:t>.</w:t>
      </w:r>
      <w:r w:rsidR="00277853" w:rsidRPr="00277853">
        <w:rPr>
          <w:rStyle w:val="EndnoteReference"/>
        </w:rPr>
        <w:t xml:space="preserve"> </w:t>
      </w:r>
      <w:r w:rsidR="00277853">
        <w:rPr>
          <w:rStyle w:val="EndnoteReference"/>
        </w:rPr>
        <w:endnoteReference w:id="11"/>
      </w:r>
      <w:r w:rsidR="00947EB5" w:rsidRPr="00803FC3">
        <w:t xml:space="preserve"> Its organisation may now be rebuilt around vehicle capacity,</w:t>
      </w:r>
      <w:r w:rsidR="00613717">
        <w:rPr>
          <w:rStyle w:val="EndnoteReference"/>
        </w:rPr>
        <w:endnoteReference w:id="12"/>
      </w:r>
      <w:r w:rsidR="00947EB5" w:rsidRPr="008762BE">
        <w:rPr>
          <w:rStyle w:val="FootnoteReference"/>
        </w:rPr>
        <w:t xml:space="preserve"> </w:t>
      </w:r>
      <w:r w:rsidR="00947EB5" w:rsidRPr="00803FC3">
        <w:t xml:space="preserve">on </w:t>
      </w:r>
      <w:r w:rsidR="008C0209">
        <w:t>the constraint</w:t>
      </w:r>
      <w:r w:rsidR="00947EB5" w:rsidRPr="00803FC3">
        <w:t xml:space="preserve"> that one section must fit one carrier</w:t>
      </w:r>
      <w:r w:rsidR="00947EB5">
        <w:t xml:space="preserve">. </w:t>
      </w:r>
      <w:r w:rsidR="00947EB5" w:rsidRPr="00803FC3">
        <w:t>It</w:t>
      </w:r>
      <w:r w:rsidR="00947EB5">
        <w:t xml:space="preserve"> should</w:t>
      </w:r>
      <w:r w:rsidR="00947EB5" w:rsidRPr="00803FC3">
        <w:t xml:space="preserve"> not bind light infantry, which </w:t>
      </w:r>
      <w:r w:rsidR="00A83B46">
        <w:t>can move</w:t>
      </w:r>
      <w:r w:rsidR="00947EB5" w:rsidRPr="00803FC3">
        <w:t xml:space="preserve"> on foot or in soft-skin vehicles, increasingly all-terrain </w:t>
      </w:r>
      <w:r w:rsidR="00947EB5">
        <w:t>vehicles</w:t>
      </w:r>
      <w:r w:rsidR="00D427C5">
        <w:t xml:space="preserve"> </w:t>
      </w:r>
      <w:r w:rsidR="00947EB5" w:rsidRPr="00803FC3">
        <w:t>such as the ULTV.</w:t>
      </w:r>
      <w:r w:rsidR="00613717">
        <w:rPr>
          <w:rStyle w:val="EndnoteReference"/>
        </w:rPr>
        <w:endnoteReference w:id="13"/>
      </w:r>
      <w:r w:rsidR="00947EB5" w:rsidRPr="00803FC3">
        <w:rPr>
          <w:rStyle w:val="FootnoteReference"/>
        </w:rPr>
        <w:t xml:space="preserve"> </w:t>
      </w:r>
      <w:r w:rsidR="00947EB5">
        <w:rPr>
          <w:rStyle w:val="FootnoteReference"/>
        </w:rPr>
        <w:t xml:space="preserve"> </w:t>
      </w:r>
      <w:r w:rsidR="00947EB5">
        <w:t>I</w:t>
      </w:r>
      <w:r w:rsidR="00947EB5" w:rsidRPr="00227DF4">
        <w:t>t</w:t>
      </w:r>
      <w:r w:rsidR="00214E78">
        <w:t xml:space="preserve"> still trains </w:t>
      </w:r>
      <w:r w:rsidR="00D427C5">
        <w:t>20</w:t>
      </w:r>
      <w:r w:rsidR="00D427C5" w:rsidRPr="00D427C5">
        <w:rPr>
          <w:vertAlign w:val="superscript"/>
        </w:rPr>
        <w:t>th</w:t>
      </w:r>
      <w:r w:rsidR="00D427C5">
        <w:t xml:space="preserve"> century </w:t>
      </w:r>
      <w:r w:rsidR="00947EB5" w:rsidRPr="00227DF4">
        <w:t xml:space="preserve">conventional </w:t>
      </w:r>
      <w:r w:rsidR="00D427C5">
        <w:t>tactics</w:t>
      </w:r>
      <w:r w:rsidR="00947EB5" w:rsidRPr="00227DF4">
        <w:t xml:space="preserve"> and </w:t>
      </w:r>
      <w:r w:rsidR="00214E78">
        <w:t xml:space="preserve">for </w:t>
      </w:r>
      <w:r w:rsidR="00947EB5" w:rsidRPr="00227DF4">
        <w:t xml:space="preserve">the peace-support tasks of the decades since. </w:t>
      </w:r>
      <w:r w:rsidR="007B7BC3" w:rsidRPr="007B7BC3">
        <w:t>It neglects</w:t>
      </w:r>
      <w:r w:rsidR="006E5232">
        <w:t xml:space="preserve"> dispersion, </w:t>
      </w:r>
      <w:r w:rsidR="007B7BC3" w:rsidRPr="007B7BC3">
        <w:t>“infobesity”</w:t>
      </w:r>
      <w:r w:rsidR="00277853" w:rsidRPr="00277853">
        <w:rPr>
          <w:rStyle w:val="EndnoteReference"/>
        </w:rPr>
        <w:t xml:space="preserve"> </w:t>
      </w:r>
      <w:r w:rsidR="00277853">
        <w:rPr>
          <w:rStyle w:val="EndnoteReference"/>
        </w:rPr>
        <w:endnoteReference w:id="14"/>
      </w:r>
      <w:r w:rsidR="00277853" w:rsidRPr="007B7BC3">
        <w:t xml:space="preserve"> </w:t>
      </w:r>
      <w:r w:rsidR="007B7BC3" w:rsidRPr="007B7BC3">
        <w:t xml:space="preserve"> — the cognitive burden of sensor-rich combat—</w:t>
      </w:r>
      <w:r w:rsidR="007B7BC3">
        <w:t xml:space="preserve"> </w:t>
      </w:r>
      <w:r w:rsidR="00947EB5" w:rsidRPr="00227DF4">
        <w:t>and</w:t>
      </w:r>
      <w:r w:rsidR="005C0AE1">
        <w:t xml:space="preserve"> the</w:t>
      </w:r>
      <w:r w:rsidR="00947EB5" w:rsidRPr="00227DF4">
        <w:t xml:space="preserve">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w:t>
      </w:r>
      <w:r w:rsidR="003C060B" w:rsidRPr="003C060B">
        <w:lastRenderedPageBreak/>
        <w:t xml:space="preserve">observation. </w:t>
      </w:r>
      <w:r w:rsidR="00335369">
        <w:t>It fields</w:t>
      </w:r>
      <w:r w:rsidR="003C060B" w:rsidRPr="003C060B">
        <w:t xml:space="preserve"> too few soldiers to carry the cognitive load, operate the new systems and remain cohesive once dispersed. Adding drones changes none of that. </w:t>
      </w:r>
    </w:p>
    <w:p w14:paraId="1ED1A5A1" w14:textId="73770BD0" w:rsidR="00B47134" w:rsidRPr="00B47134" w:rsidRDefault="00B47134" w:rsidP="00B47134">
      <w:r w:rsidRPr="00B47134">
        <w:t xml:space="preserve">These are not uniquely Irish problems. Section design, vehicle capacity, organic support weapons and UAS integration are being reconsidered elsewhere. French RI 2030 reform shows one mechanised </w:t>
      </w:r>
      <w:r w:rsidR="001A7BA9">
        <w:t>solution</w:t>
      </w:r>
      <w:r w:rsidRPr="00B47134">
        <w:t>: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7566C6">
        <w:rPr>
          <w:rStyle w:val="EndnoteReference"/>
        </w:rPr>
        <w:endnoteReference w:id="15"/>
      </w:r>
      <w:r w:rsidR="008E0498">
        <w:t xml:space="preserve"> </w:t>
      </w:r>
      <w:r w:rsidR="00A72C99" w:rsidRPr="00A72C99">
        <w:t>For a mechanised force, that is coherent</w:t>
      </w:r>
      <w:r w:rsidR="00127967">
        <w:t>.</w:t>
      </w:r>
      <w:r w:rsidR="00A72C99" w:rsidRPr="00A72C99">
        <w:t xml:space="preserve">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w:t>
      </w:r>
      <w:r w:rsidR="00127967" w:rsidRPr="00294FE3">
        <w:rPr>
          <w:i/>
          <w:iCs/>
        </w:rPr>
        <w:t>urban-optimised</w:t>
      </w:r>
      <w:r w:rsidR="00127967">
        <w:t xml:space="preserve"> </w:t>
      </w:r>
      <w:r w:rsidRPr="00B47134">
        <w:t xml:space="preserve">Phalanx Platoon </w:t>
      </w:r>
      <w:r>
        <w:t>C</w:t>
      </w:r>
      <w:r w:rsidRPr="00B47134">
        <w:t>oncept</w:t>
      </w:r>
      <w:r w:rsidR="005453F0">
        <w:rPr>
          <w:rStyle w:val="EndnoteReference"/>
        </w:rPr>
        <w:endnoteReference w:id="16"/>
      </w:r>
      <w:r w:rsidRPr="00B47134">
        <w:t xml:space="preserve"> points in the same direction from a different angle. Yet adaptation remains uneven. Exercises such as </w:t>
      </w:r>
      <w:r w:rsidR="00F92358" w:rsidRPr="00F92358">
        <w:rPr>
          <w:i/>
          <w:iCs/>
        </w:rPr>
        <w:t>Gévaudan 26</w:t>
      </w:r>
      <w:r w:rsidR="00F92358" w:rsidRPr="003C060B">
        <w:t xml:space="preserve"> </w:t>
      </w:r>
      <w:r w:rsidR="00F92358">
        <w:t xml:space="preserve">and </w:t>
      </w:r>
      <w:r w:rsidR="00F92358" w:rsidRPr="00F92358">
        <w:rPr>
          <w:i/>
          <w:iCs/>
        </w:rPr>
        <w:t>Hedgehog</w:t>
      </w:r>
      <w:r w:rsidR="00694A56">
        <w:rPr>
          <w:rStyle w:val="EndnoteReference"/>
          <w:i/>
          <w:iCs/>
        </w:rPr>
        <w:endnoteReference w:id="17"/>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systems, but redesigning the infantry section around the battlefield they have created.</w:t>
      </w:r>
      <w:r w:rsidR="00694A56">
        <w:rPr>
          <w:rStyle w:val="EndnoteReference"/>
        </w:rPr>
        <w:endnoteReference w:id="18"/>
      </w:r>
      <w:r w:rsidR="00BF0F0F">
        <w:t xml:space="preserve"> </w:t>
      </w:r>
    </w:p>
    <w:p w14:paraId="517B9CD4" w14:textId="5CC5D6D9"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sidR="008F6405">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sidR="008F6405">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2BCA4CB1" w14:textId="05BF969A"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shows that FPV-OWADs cannot be dismissed as cheap substitutes for Javelin.</w:t>
      </w:r>
      <w:r w:rsidR="00277853">
        <w:rPr>
          <w:rStyle w:val="EndnoteReference"/>
        </w:rPr>
        <w:endnoteReference w:id="21"/>
      </w:r>
      <w:r w:rsidR="00277853">
        <w:t xml:space="preserve"> </w:t>
      </w:r>
      <w:r w:rsidR="00656D8B"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542C4A">
        <w:t xml:space="preserve"> </w:t>
      </w:r>
    </w:p>
    <w:p w14:paraId="2C8ED009" w14:textId="7B71B515" w:rsidR="002C4F0D" w:rsidRDefault="006B25D9" w:rsidP="00EB10DA">
      <w:pPr>
        <w:keepNext/>
        <w:jc w:val="center"/>
      </w:pPr>
      <w:r w:rsidRPr="006B25D9">
        <w:rPr>
          <w:noProof/>
        </w:rPr>
        <w:lastRenderedPageBreak/>
        <w:drawing>
          <wp:inline distT="0" distB="0" distL="0" distR="0" wp14:anchorId="543CDCF1" wp14:editId="2B834D39">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7CF7725A" w14:textId="0B990945" w:rsidR="00701614" w:rsidRPr="00701614" w:rsidRDefault="00261F21" w:rsidP="00701614">
      <w:r w:rsidRPr="00542C4A">
        <w:t>Ireland has long approached territorial defence through efficiency and restraint, not sustained increases in defence spending.</w:t>
      </w:r>
      <w:r>
        <w:rPr>
          <w:rStyle w:val="EndnoteReference"/>
        </w:rPr>
        <w:endnoteReference w:id="22"/>
      </w:r>
      <w:r>
        <w:t xml:space="preserve"> </w:t>
      </w:r>
      <w:r w:rsidR="00701614" w:rsidRPr="00701614">
        <w:t>UxS change what that premise can buy: if cheap precision systems can make lodgement, movement and sustainment costly, the constraint shifts from money to organisation.</w:t>
      </w:r>
      <w:r w:rsidR="00701614">
        <w:t xml:space="preserve"> </w:t>
      </w:r>
      <w:r w:rsidR="00701614"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6746D9D8" w14:textId="77777777" w:rsidR="00701614" w:rsidRPr="00701614" w:rsidRDefault="00701614" w:rsidP="00701614">
      <w:r w:rsidRPr="00701614">
        <w:t>The pace of change is uncertain and programmes are mid-stream, but that is not a reason to stand still. Vehicle capacity matters: it shapes lift, sustainment, command and mobility. But the threat should come first for light infantry. Threat defines force protection; force protection should inform capability. Light infantry does not need armour. It can move on foot or in commercial 4x4s already in service. A survivable light section is not waiting on a vehicle programme. It is available now, held back by a constraint borrowed from another kind of infantry.</w:t>
      </w:r>
    </w:p>
    <w:p w14:paraId="4539E762" w14:textId="4AD4F84F" w:rsidR="000A62A6" w:rsidRDefault="000A62A6" w:rsidP="006B245A">
      <w:pPr>
        <w:rPr>
          <w:rFonts w:asciiTheme="majorHAnsi" w:eastAsiaTheme="majorEastAsia" w:hAnsiTheme="majorHAnsi" w:cstheme="majorBidi"/>
          <w:color w:val="0F4761" w:themeColor="accent1" w:themeShade="BF"/>
          <w:sz w:val="32"/>
          <w:szCs w:val="32"/>
        </w:rPr>
      </w:pPr>
      <w:r>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0F211" w14:textId="77777777" w:rsidR="002E3802" w:rsidRDefault="002E3802" w:rsidP="008F41DA">
      <w:pPr>
        <w:spacing w:after="0" w:line="240" w:lineRule="auto"/>
      </w:pPr>
      <w:r>
        <w:separator/>
      </w:r>
    </w:p>
  </w:endnote>
  <w:endnote w:type="continuationSeparator" w:id="0">
    <w:p w14:paraId="5A9B4F8F" w14:textId="77777777" w:rsidR="002E3802" w:rsidRDefault="002E3802" w:rsidP="008F41DA">
      <w:pPr>
        <w:spacing w:after="0" w:line="240" w:lineRule="auto"/>
      </w:pPr>
      <w:r>
        <w:continuationSeparator/>
      </w:r>
    </w:p>
  </w:endnote>
  <w:endnote w:id="1">
    <w:p w14:paraId="4B06B5B5" w14:textId="7CD22A55" w:rsidR="00613717" w:rsidRDefault="00613717">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5FE91A06" w14:textId="6563220C" w:rsidR="00613717" w:rsidRDefault="00613717">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5A56A196" w14:textId="37B81DFD" w:rsidR="00613717" w:rsidRDefault="00613717">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693C8F74" w14:textId="4107ED74" w:rsidR="00613717" w:rsidRDefault="00613717">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07986811" w14:textId="5D961EC4" w:rsidR="00613717" w:rsidRDefault="00613717">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5127F483" w14:textId="7A4150D8" w:rsidR="00613717" w:rsidRDefault="00613717">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41AB1D95" w14:textId="11414566" w:rsidR="00613717" w:rsidRDefault="00613717">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6A85D723" w14:textId="34BD52CE" w:rsidR="00613717" w:rsidRDefault="00613717">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4E855503" w14:textId="2565C89A" w:rsidR="00613717" w:rsidRPr="006860C6" w:rsidRDefault="00613717" w:rsidP="00613717">
      <w:pPr>
        <w:pStyle w:val="FootnoteText"/>
        <w:rPr>
          <w:rStyle w:val="Hyperlink"/>
        </w:rPr>
      </w:pPr>
      <w:r>
        <w:rPr>
          <w:rStyle w:val="EndnoteReference"/>
        </w:rPr>
        <w:endnoteRef/>
      </w:r>
      <w:r>
        <w:t xml:space="preserve"> Statsministeriet (2026). Fællesudtalelse om Grønland [online]. Available at: </w:t>
      </w:r>
      <w:r w:rsidR="006860C6">
        <w:fldChar w:fldCharType="begin"/>
      </w:r>
      <w:r w:rsidR="006860C6">
        <w:instrText>HYPERLINK "https://stm.dk/media/qo2dyzxy/erklaering-gl.pdf"</w:instrText>
      </w:r>
      <w:r w:rsidR="006860C6">
        <w:fldChar w:fldCharType="separate"/>
      </w:r>
      <w:r w:rsidRPr="006860C6">
        <w:rPr>
          <w:rStyle w:val="Hyperlink"/>
        </w:rPr>
        <w:t>https://s</w:t>
      </w:r>
    </w:p>
    <w:p w14:paraId="1887FB76" w14:textId="34B4366E" w:rsidR="00613717" w:rsidRDefault="00613717" w:rsidP="00613717">
      <w:pPr>
        <w:pStyle w:val="EndnoteText"/>
      </w:pPr>
      <w:r w:rsidRPr="006860C6">
        <w:rPr>
          <w:rStyle w:val="Hyperlink"/>
        </w:rPr>
        <w:t>tm.dk/media/qo2dyzxy/erklaering-gl.pdf</w:t>
      </w:r>
      <w:r w:rsidR="006860C6">
        <w:fldChar w:fldCharType="end"/>
      </w:r>
      <w:r>
        <w:t xml:space="preserve"> (accessed 1 April 2026).</w:t>
      </w:r>
    </w:p>
  </w:endnote>
  <w:endnote w:id="10">
    <w:p w14:paraId="16F0FDFF" w14:textId="36769346" w:rsidR="00613717" w:rsidRDefault="00613717">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46020C96" w14:textId="77777777" w:rsidR="00277853" w:rsidRDefault="00277853" w:rsidP="00277853">
      <w:pPr>
        <w:pStyle w:val="EndnoteText"/>
      </w:pPr>
      <w:r>
        <w:rPr>
          <w:rStyle w:val="EndnoteReference"/>
        </w:rPr>
        <w:endnoteRef/>
      </w:r>
      <w:r>
        <w:t xml:space="preserve"> TM 201</w:t>
      </w:r>
    </w:p>
  </w:endnote>
  <w:endnote w:id="12">
    <w:p w14:paraId="24DBA16B" w14:textId="0E69EA69" w:rsidR="00613717" w:rsidRDefault="00613717">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7C7168DD" w14:textId="73DBD179" w:rsidR="00613717" w:rsidRDefault="00613717">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5641DA97" w14:textId="77777777" w:rsidR="00277853" w:rsidRDefault="00277853" w:rsidP="00277853">
      <w:pPr>
        <w:pStyle w:val="EndnoteText"/>
      </w:pPr>
      <w:r>
        <w:rPr>
          <w:rStyle w:val="EndnoteReference"/>
        </w:rPr>
        <w:end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390D3302" w14:textId="057511A1" w:rsidR="007566C6" w:rsidRDefault="007566C6">
      <w:pPr>
        <w:pStyle w:val="EndnoteText"/>
      </w:pPr>
      <w:r>
        <w:rPr>
          <w:rStyle w:val="EndnoteReference"/>
        </w:rPr>
        <w:end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endnote>
  <w:endnote w:id="16">
    <w:p w14:paraId="393AF30C" w14:textId="77777777" w:rsidR="005453F0" w:rsidRDefault="005453F0" w:rsidP="005453F0">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0DCE7736" w14:textId="59D562A4" w:rsidR="00694A56" w:rsidRDefault="00694A56">
      <w:pPr>
        <w:pStyle w:val="EndnoteText"/>
      </w:pPr>
      <w:r>
        <w:rPr>
          <w:rStyle w:val="EndnoteReference"/>
        </w:rPr>
        <w:end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511A2DEE" w14:textId="1AA92515" w:rsidR="00694A56" w:rsidRDefault="00694A56" w:rsidP="0002433E">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endnote>
  <w:endnote w:id="19">
    <w:p w14:paraId="6167DECF" w14:textId="1DE69368" w:rsidR="008F6405" w:rsidRDefault="008F6405">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065D773C" w14:textId="3C19885C" w:rsidR="008F6405" w:rsidRDefault="008F6405">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1471FA21" w14:textId="4983F78B" w:rsidR="008C0209" w:rsidRDefault="00277853" w:rsidP="00277853">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 w:id="22">
    <w:p w14:paraId="6CADB496" w14:textId="66C47AD5" w:rsidR="00261F21" w:rsidRPr="00542C4A" w:rsidRDefault="00261F21" w:rsidP="00261F21">
      <w:pPr>
        <w:pStyle w:val="EndnoteText"/>
      </w:pPr>
      <w:r>
        <w:rPr>
          <w:rStyle w:val="EndnoteReference"/>
        </w:rPr>
        <w:endnoteRef/>
      </w:r>
      <w:r>
        <w:t xml:space="preserve"> </w:t>
      </w:r>
      <w:r w:rsidR="0002433E" w:rsidRPr="0002433E">
        <w:t>O'Dea, W. (Minister for Defence). Contribution to Written Answers. Dáil Éireann Debates, Vol. 606, No. 2, 29 September 2005. Dublin: Houses of the Oireachtas, 2005. Available at: https://www.oireachtas.ie/en/debates/debate/dail/2005-09-29/37/ (accessed 24 June 2026).</w:t>
      </w:r>
    </w:p>
    <w:p w14:paraId="5EF5D09B" w14:textId="77777777" w:rsidR="00261F21" w:rsidRDefault="00261F21" w:rsidP="00261F21">
      <w:pPr>
        <w:pStyle w:val="EndnoteText"/>
      </w:pPr>
    </w:p>
    <w:p w14:paraId="1750BCBA" w14:textId="77777777" w:rsidR="00261F21" w:rsidRDefault="00261F21" w:rsidP="00261F21">
      <w:pPr>
        <w:pStyle w:val="EndnoteText"/>
      </w:pPr>
    </w:p>
    <w:p w14:paraId="0F64ED10" w14:textId="77777777" w:rsidR="00261F21" w:rsidRDefault="00261F21" w:rsidP="00261F21">
      <w:pPr>
        <w:pStyle w:val="EndnoteText"/>
      </w:pPr>
    </w:p>
    <w:p w14:paraId="2DE728D9" w14:textId="77777777" w:rsidR="00261F21" w:rsidRDefault="00261F21" w:rsidP="00261F21">
      <w:pPr>
        <w:pStyle w:val="EndnoteText"/>
      </w:pPr>
    </w:p>
    <w:p w14:paraId="1816E2DA" w14:textId="77777777" w:rsidR="00261F21" w:rsidRDefault="00261F21" w:rsidP="00261F21">
      <w:pPr>
        <w:pStyle w:val="EndnoteText"/>
      </w:pPr>
    </w:p>
    <w:p w14:paraId="41098CC1" w14:textId="77777777" w:rsidR="00261F21" w:rsidRDefault="00261F21" w:rsidP="00261F21">
      <w:pPr>
        <w:pStyle w:val="EndnoteText"/>
      </w:pPr>
    </w:p>
    <w:p w14:paraId="26698D80" w14:textId="77777777" w:rsidR="00261F21" w:rsidRPr="001C75AE" w:rsidRDefault="00261F21" w:rsidP="00261F21">
      <w:pPr>
        <w:rPr>
          <w:highlight w:val="yellow"/>
        </w:rPr>
      </w:pPr>
      <w:r w:rsidRPr="001C75AE">
        <w:rPr>
          <w:highlight w:val="yellow"/>
        </w:rPr>
        <w:t xml:space="preserve">Need access to this janes article: </w:t>
      </w:r>
      <w:hyperlink r:id="rId21" w:history="1">
        <w:r w:rsidRPr="001C75AE">
          <w:rPr>
            <w:rStyle w:val="Hyperlink"/>
            <w:highlight w:val="yellow"/>
          </w:rPr>
          <w:t>https://www.janes.com/defence-intelligence-insights/defence-news/air/french-army-restructures-its-infantry-battalions</w:t>
        </w:r>
      </w:hyperlink>
    </w:p>
    <w:p w14:paraId="3A66229E" w14:textId="77777777" w:rsidR="00261F21" w:rsidRPr="00803FC3" w:rsidRDefault="00261F21" w:rsidP="00261F21">
      <w:r w:rsidRPr="001C75AE">
        <w:rPr>
          <w:highlight w:val="yellow"/>
        </w:rPr>
        <w:t>need access to this janes article: https://www.janes.com/defence-intelligence-insights/defence-news/weapons/italian-army-improves-infantry-equipment-restructures-units</w:t>
      </w:r>
    </w:p>
    <w:p w14:paraId="7B4AED4C" w14:textId="77777777" w:rsidR="00261F21" w:rsidRPr="001D0016" w:rsidRDefault="00261F21" w:rsidP="00261F21">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047E7E04" w14:textId="77777777" w:rsidR="00261F21" w:rsidRDefault="00261F21" w:rsidP="00261F21">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F4C3F" w14:textId="77777777" w:rsidR="002E3802" w:rsidRDefault="002E3802" w:rsidP="008F41DA">
      <w:pPr>
        <w:spacing w:after="0" w:line="240" w:lineRule="auto"/>
      </w:pPr>
      <w:r>
        <w:separator/>
      </w:r>
    </w:p>
  </w:footnote>
  <w:footnote w:type="continuationSeparator" w:id="0">
    <w:p w14:paraId="53E0CA50" w14:textId="77777777" w:rsidR="002E3802" w:rsidRDefault="002E3802" w:rsidP="008F41DA">
      <w:pPr>
        <w:spacing w:after="0" w:line="240" w:lineRule="auto"/>
      </w:pPr>
      <w:r>
        <w:continuationSeparator/>
      </w:r>
    </w:p>
  </w:footnote>
  <w:footnote w:id="1">
    <w:p w14:paraId="20C638DA" w14:textId="1FB944BF" w:rsidR="007E32B8" w:rsidRDefault="007E32B8">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1" w:history="1">
        <w:r w:rsidRPr="00A2651C">
          <w:rPr>
            <w:rStyle w:val="Hyperlink"/>
          </w:rPr>
          <w:t>https://www.oireachtas.ie/en/debates/debate/dail/2024-05-02/32/</w:t>
        </w:r>
      </w:hyperlink>
      <w:r>
        <w:t xml:space="preserve"> </w:t>
      </w:r>
      <w:r w:rsidRPr="007E32B8">
        <w:t xml:space="preserve"> (accessed 24 June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2433E"/>
    <w:rsid w:val="00034CC3"/>
    <w:rsid w:val="00036E74"/>
    <w:rsid w:val="000504B3"/>
    <w:rsid w:val="000603AB"/>
    <w:rsid w:val="00063C3E"/>
    <w:rsid w:val="00065A3F"/>
    <w:rsid w:val="000773AE"/>
    <w:rsid w:val="00083769"/>
    <w:rsid w:val="0008463B"/>
    <w:rsid w:val="00092ECB"/>
    <w:rsid w:val="000A0B1F"/>
    <w:rsid w:val="000A62A6"/>
    <w:rsid w:val="000B39F2"/>
    <w:rsid w:val="000C389C"/>
    <w:rsid w:val="000E53A4"/>
    <w:rsid w:val="000E74FD"/>
    <w:rsid w:val="000F0D19"/>
    <w:rsid w:val="000F158F"/>
    <w:rsid w:val="00102312"/>
    <w:rsid w:val="00107A60"/>
    <w:rsid w:val="00126E0F"/>
    <w:rsid w:val="00127967"/>
    <w:rsid w:val="00143911"/>
    <w:rsid w:val="001470B3"/>
    <w:rsid w:val="00172310"/>
    <w:rsid w:val="00174027"/>
    <w:rsid w:val="00176EA6"/>
    <w:rsid w:val="001779D4"/>
    <w:rsid w:val="001800EF"/>
    <w:rsid w:val="001822CC"/>
    <w:rsid w:val="00182D41"/>
    <w:rsid w:val="001A3844"/>
    <w:rsid w:val="001A7BA9"/>
    <w:rsid w:val="001B6642"/>
    <w:rsid w:val="001C6BAB"/>
    <w:rsid w:val="001C70DF"/>
    <w:rsid w:val="001C71F6"/>
    <w:rsid w:val="001C75AE"/>
    <w:rsid w:val="001D0016"/>
    <w:rsid w:val="001E7AE7"/>
    <w:rsid w:val="00210E07"/>
    <w:rsid w:val="00211892"/>
    <w:rsid w:val="00214E78"/>
    <w:rsid w:val="0021641C"/>
    <w:rsid w:val="00220651"/>
    <w:rsid w:val="0022693E"/>
    <w:rsid w:val="00230C29"/>
    <w:rsid w:val="00232127"/>
    <w:rsid w:val="002405F1"/>
    <w:rsid w:val="00240A82"/>
    <w:rsid w:val="00252F20"/>
    <w:rsid w:val="00261F21"/>
    <w:rsid w:val="00262708"/>
    <w:rsid w:val="00277853"/>
    <w:rsid w:val="002822C2"/>
    <w:rsid w:val="00285E08"/>
    <w:rsid w:val="00292EE9"/>
    <w:rsid w:val="00294FE3"/>
    <w:rsid w:val="002C4F0D"/>
    <w:rsid w:val="002D603F"/>
    <w:rsid w:val="002E0EF9"/>
    <w:rsid w:val="002E3802"/>
    <w:rsid w:val="002E5AF4"/>
    <w:rsid w:val="002F0568"/>
    <w:rsid w:val="002F4644"/>
    <w:rsid w:val="0030344C"/>
    <w:rsid w:val="00327715"/>
    <w:rsid w:val="0033406E"/>
    <w:rsid w:val="00335369"/>
    <w:rsid w:val="003615C3"/>
    <w:rsid w:val="0036390B"/>
    <w:rsid w:val="00373773"/>
    <w:rsid w:val="00385DAB"/>
    <w:rsid w:val="00392A7C"/>
    <w:rsid w:val="00397C06"/>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30028"/>
    <w:rsid w:val="00542C4A"/>
    <w:rsid w:val="00544D2A"/>
    <w:rsid w:val="005453F0"/>
    <w:rsid w:val="005532E2"/>
    <w:rsid w:val="00572323"/>
    <w:rsid w:val="00583511"/>
    <w:rsid w:val="005859B9"/>
    <w:rsid w:val="005A3FE8"/>
    <w:rsid w:val="005B47FC"/>
    <w:rsid w:val="005C0AE1"/>
    <w:rsid w:val="005C4B5D"/>
    <w:rsid w:val="005D62BA"/>
    <w:rsid w:val="005D6A14"/>
    <w:rsid w:val="005E2FA4"/>
    <w:rsid w:val="005F0279"/>
    <w:rsid w:val="005F7AFB"/>
    <w:rsid w:val="00602AC4"/>
    <w:rsid w:val="0060431C"/>
    <w:rsid w:val="0060740A"/>
    <w:rsid w:val="006077C5"/>
    <w:rsid w:val="00613717"/>
    <w:rsid w:val="00626CC9"/>
    <w:rsid w:val="0063136F"/>
    <w:rsid w:val="00633BB8"/>
    <w:rsid w:val="006376AF"/>
    <w:rsid w:val="00654E5F"/>
    <w:rsid w:val="00656D8B"/>
    <w:rsid w:val="00663508"/>
    <w:rsid w:val="006860C6"/>
    <w:rsid w:val="00687BB9"/>
    <w:rsid w:val="00694A56"/>
    <w:rsid w:val="006B245A"/>
    <w:rsid w:val="006B25D9"/>
    <w:rsid w:val="006B36F7"/>
    <w:rsid w:val="006B7283"/>
    <w:rsid w:val="006C01F9"/>
    <w:rsid w:val="006C15B4"/>
    <w:rsid w:val="006C1751"/>
    <w:rsid w:val="006D3152"/>
    <w:rsid w:val="006E0485"/>
    <w:rsid w:val="006E41D2"/>
    <w:rsid w:val="006E5232"/>
    <w:rsid w:val="006E6DF6"/>
    <w:rsid w:val="00701614"/>
    <w:rsid w:val="00702A39"/>
    <w:rsid w:val="00707459"/>
    <w:rsid w:val="007114F8"/>
    <w:rsid w:val="0071161B"/>
    <w:rsid w:val="00717ED2"/>
    <w:rsid w:val="00721C39"/>
    <w:rsid w:val="00721C8E"/>
    <w:rsid w:val="00734406"/>
    <w:rsid w:val="00743C8A"/>
    <w:rsid w:val="007539C9"/>
    <w:rsid w:val="007561E8"/>
    <w:rsid w:val="007566C6"/>
    <w:rsid w:val="0076059B"/>
    <w:rsid w:val="00766DD3"/>
    <w:rsid w:val="007749F8"/>
    <w:rsid w:val="0077704F"/>
    <w:rsid w:val="007A6FF0"/>
    <w:rsid w:val="007B7BC3"/>
    <w:rsid w:val="007D58F9"/>
    <w:rsid w:val="007E32B8"/>
    <w:rsid w:val="007E6648"/>
    <w:rsid w:val="007F7005"/>
    <w:rsid w:val="007F74B6"/>
    <w:rsid w:val="008008AE"/>
    <w:rsid w:val="008032E8"/>
    <w:rsid w:val="008278AC"/>
    <w:rsid w:val="00833C45"/>
    <w:rsid w:val="00841CA6"/>
    <w:rsid w:val="00847D59"/>
    <w:rsid w:val="00856A81"/>
    <w:rsid w:val="0087131C"/>
    <w:rsid w:val="00880436"/>
    <w:rsid w:val="008906B6"/>
    <w:rsid w:val="008A10CC"/>
    <w:rsid w:val="008A2BAF"/>
    <w:rsid w:val="008A3F4A"/>
    <w:rsid w:val="008C0209"/>
    <w:rsid w:val="008C5DFF"/>
    <w:rsid w:val="008D1071"/>
    <w:rsid w:val="008D790E"/>
    <w:rsid w:val="008E0498"/>
    <w:rsid w:val="008E24F7"/>
    <w:rsid w:val="008E628C"/>
    <w:rsid w:val="008F12D3"/>
    <w:rsid w:val="008F1E30"/>
    <w:rsid w:val="008F41DA"/>
    <w:rsid w:val="008F6405"/>
    <w:rsid w:val="00904C8E"/>
    <w:rsid w:val="009145A4"/>
    <w:rsid w:val="00917666"/>
    <w:rsid w:val="00925E2F"/>
    <w:rsid w:val="009305B9"/>
    <w:rsid w:val="00947EB5"/>
    <w:rsid w:val="00955505"/>
    <w:rsid w:val="00971FFB"/>
    <w:rsid w:val="00996C78"/>
    <w:rsid w:val="009A2241"/>
    <w:rsid w:val="009A4725"/>
    <w:rsid w:val="009C76EC"/>
    <w:rsid w:val="009D4618"/>
    <w:rsid w:val="009E246E"/>
    <w:rsid w:val="009E28A5"/>
    <w:rsid w:val="009F58F1"/>
    <w:rsid w:val="00A04877"/>
    <w:rsid w:val="00A04CA9"/>
    <w:rsid w:val="00A23F4E"/>
    <w:rsid w:val="00A36721"/>
    <w:rsid w:val="00A432B4"/>
    <w:rsid w:val="00A50E13"/>
    <w:rsid w:val="00A5525D"/>
    <w:rsid w:val="00A71BE2"/>
    <w:rsid w:val="00A72C99"/>
    <w:rsid w:val="00A82B6C"/>
    <w:rsid w:val="00A83B46"/>
    <w:rsid w:val="00AB0ACD"/>
    <w:rsid w:val="00AC6223"/>
    <w:rsid w:val="00AC7624"/>
    <w:rsid w:val="00AE6C88"/>
    <w:rsid w:val="00AF0C93"/>
    <w:rsid w:val="00AF5777"/>
    <w:rsid w:val="00B05986"/>
    <w:rsid w:val="00B2402D"/>
    <w:rsid w:val="00B42793"/>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D22DF"/>
    <w:rsid w:val="00BE2246"/>
    <w:rsid w:val="00BE29FA"/>
    <w:rsid w:val="00BF0597"/>
    <w:rsid w:val="00BF065B"/>
    <w:rsid w:val="00BF0F0F"/>
    <w:rsid w:val="00BF1C5A"/>
    <w:rsid w:val="00BF4B6D"/>
    <w:rsid w:val="00BF56D1"/>
    <w:rsid w:val="00C02D2C"/>
    <w:rsid w:val="00C12DA0"/>
    <w:rsid w:val="00C13EBD"/>
    <w:rsid w:val="00C2058B"/>
    <w:rsid w:val="00C24B2F"/>
    <w:rsid w:val="00C31025"/>
    <w:rsid w:val="00C32386"/>
    <w:rsid w:val="00C376F0"/>
    <w:rsid w:val="00C40892"/>
    <w:rsid w:val="00C446BB"/>
    <w:rsid w:val="00C50339"/>
    <w:rsid w:val="00C57783"/>
    <w:rsid w:val="00C74C84"/>
    <w:rsid w:val="00C76E0E"/>
    <w:rsid w:val="00C82EE9"/>
    <w:rsid w:val="00C9561E"/>
    <w:rsid w:val="00CA049A"/>
    <w:rsid w:val="00CA43AC"/>
    <w:rsid w:val="00CA53E2"/>
    <w:rsid w:val="00CA5665"/>
    <w:rsid w:val="00CA78EE"/>
    <w:rsid w:val="00CB1328"/>
    <w:rsid w:val="00CB2FEB"/>
    <w:rsid w:val="00CC44E2"/>
    <w:rsid w:val="00CD6625"/>
    <w:rsid w:val="00CD7B8F"/>
    <w:rsid w:val="00CE1E14"/>
    <w:rsid w:val="00CE2CBB"/>
    <w:rsid w:val="00CE7751"/>
    <w:rsid w:val="00D02D50"/>
    <w:rsid w:val="00D04E62"/>
    <w:rsid w:val="00D0517E"/>
    <w:rsid w:val="00D11B48"/>
    <w:rsid w:val="00D31202"/>
    <w:rsid w:val="00D31766"/>
    <w:rsid w:val="00D33A77"/>
    <w:rsid w:val="00D34617"/>
    <w:rsid w:val="00D37663"/>
    <w:rsid w:val="00D427C5"/>
    <w:rsid w:val="00D43EF2"/>
    <w:rsid w:val="00D533ED"/>
    <w:rsid w:val="00D539C9"/>
    <w:rsid w:val="00D65BB3"/>
    <w:rsid w:val="00D72570"/>
    <w:rsid w:val="00D80DC3"/>
    <w:rsid w:val="00D93EFA"/>
    <w:rsid w:val="00D97A55"/>
    <w:rsid w:val="00DB5050"/>
    <w:rsid w:val="00DC5778"/>
    <w:rsid w:val="00DC67A4"/>
    <w:rsid w:val="00DE1E55"/>
    <w:rsid w:val="00DE3CD3"/>
    <w:rsid w:val="00DE701E"/>
    <w:rsid w:val="00DE7342"/>
    <w:rsid w:val="00DF7EB0"/>
    <w:rsid w:val="00E05D57"/>
    <w:rsid w:val="00E15ABA"/>
    <w:rsid w:val="00E2362A"/>
    <w:rsid w:val="00E237FD"/>
    <w:rsid w:val="00E27349"/>
    <w:rsid w:val="00E27398"/>
    <w:rsid w:val="00E36494"/>
    <w:rsid w:val="00E37A49"/>
    <w:rsid w:val="00E42B4A"/>
    <w:rsid w:val="00E44360"/>
    <w:rsid w:val="00E47DF7"/>
    <w:rsid w:val="00E503FF"/>
    <w:rsid w:val="00E600EA"/>
    <w:rsid w:val="00E60F00"/>
    <w:rsid w:val="00E80E03"/>
    <w:rsid w:val="00E851DC"/>
    <w:rsid w:val="00E9226D"/>
    <w:rsid w:val="00EB0659"/>
    <w:rsid w:val="00EB10DA"/>
    <w:rsid w:val="00EB428B"/>
    <w:rsid w:val="00EB4DCB"/>
    <w:rsid w:val="00EC66DF"/>
    <w:rsid w:val="00EC7C68"/>
    <w:rsid w:val="00ED4294"/>
    <w:rsid w:val="00ED4604"/>
    <w:rsid w:val="00ED54BE"/>
    <w:rsid w:val="00EE12B1"/>
    <w:rsid w:val="00EE6694"/>
    <w:rsid w:val="00F11EA1"/>
    <w:rsid w:val="00F318C3"/>
    <w:rsid w:val="00F47AB0"/>
    <w:rsid w:val="00F553E9"/>
    <w:rsid w:val="00F912B7"/>
    <w:rsid w:val="00F92358"/>
    <w:rsid w:val="00F979A6"/>
    <w:rsid w:val="00F97F87"/>
    <w:rsid w:val="00FA2700"/>
    <w:rsid w:val="00FA51DA"/>
    <w:rsid w:val="00FA5A9C"/>
    <w:rsid w:val="00FA5FF6"/>
    <w:rsid w:val="00FB05F1"/>
    <w:rsid w:val="00FB7879"/>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6137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3717"/>
    <w:rPr>
      <w:sz w:val="20"/>
      <w:szCs w:val="20"/>
    </w:rPr>
  </w:style>
  <w:style w:type="character" w:styleId="EndnoteReference">
    <w:name w:val="endnote reference"/>
    <w:basedOn w:val="DefaultParagraphFont"/>
    <w:uiPriority w:val="99"/>
    <w:semiHidden/>
    <w:unhideWhenUsed/>
    <w:rsid w:val="0061371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www.janes.com/defence-intelligence-insights/defence-news/air/french-army-restructures-its-infantry-battalions"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oireachtas.ie/en/debates/debate/dail/2024-05-0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6</Pages>
  <Words>990</Words>
  <Characters>5649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64</cp:revision>
  <cp:lastPrinted>2026-06-24T13:04:00Z</cp:lastPrinted>
  <dcterms:created xsi:type="dcterms:W3CDTF">2026-06-23T11:58:00Z</dcterms:created>
  <dcterms:modified xsi:type="dcterms:W3CDTF">2026-06-24T13:18:00Z</dcterms:modified>
</cp:coreProperties>
</file>