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3700E244" w14:textId="5367EE41" w:rsidR="00D72570" w:rsidRDefault="00126E0F" w:rsidP="00AF0C93">
      <w:pPr>
        <w:pStyle w:val="Heading2"/>
      </w:pPr>
      <w:r>
        <w:lastRenderedPageBreak/>
        <w:t xml:space="preserve">ADAM </w:t>
      </w:r>
      <w:r w:rsidR="00C50339">
        <w:t>1</w:t>
      </w:r>
      <w:r w:rsidR="007E6648">
        <w:t>576</w:t>
      </w:r>
      <w:r w:rsidR="00C50339">
        <w:t xml:space="preserve"> WORDS</w:t>
      </w:r>
    </w:p>
    <w:p w14:paraId="07CD3EEA" w14:textId="5CC67C22"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 Cheap sensors and democratised precision strike have collapsed the interval between being seen and being hit, changing what movement costs. Manoeuvre has not been abolished, but its price has risen sharply: it survives only in the windows that sensing, concealment, electronic warfare and fires can briefly open. For Ireland, the question is whether a small force can turn that exposure problem into defensive cost.</w:t>
      </w:r>
    </w:p>
    <w:p w14:paraId="4AD83F48" w14:textId="77777777"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FootnoteReference"/>
          <w:rFonts w:asciiTheme="minorHAnsi" w:eastAsiaTheme="minorHAnsi" w:hAnsiTheme="minorHAnsi" w:cstheme="minorBidi"/>
          <w:color w:val="auto"/>
          <w:sz w:val="24"/>
          <w:szCs w:val="24"/>
        </w:rPr>
        <w:footnoteReference w:id="2"/>
      </w:r>
      <w:r>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w:t>
      </w:r>
      <w:r w:rsidRPr="000E53A4">
        <w:rPr>
          <w:rFonts w:asciiTheme="minorHAnsi" w:eastAsiaTheme="minorHAnsi" w:hAnsiTheme="minorHAnsi" w:cstheme="minorBidi"/>
          <w:color w:val="auto"/>
          <w:sz w:val="24"/>
          <w:szCs w:val="24"/>
        </w:rPr>
        <w:t>To 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6B62DD7F" w:rsidR="00947EB5" w:rsidRDefault="00947EB5" w:rsidP="00947EB5">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T</w:t>
      </w:r>
      <w:r w:rsidRPr="00CA53E2">
        <w:rPr>
          <w:rFonts w:asciiTheme="minorHAnsi" w:eastAsiaTheme="minorHAnsi" w:hAnsiTheme="minorHAnsi" w:cstheme="minorBidi"/>
          <w:color w:val="auto"/>
          <w:sz w:val="24"/>
          <w:szCs w:val="24"/>
        </w:rPr>
        <w:t xml:space="preserve">erritorial defence is no longer implausible </w:t>
      </w:r>
      <w:r>
        <w:rPr>
          <w:rFonts w:asciiTheme="minorHAnsi" w:eastAsiaTheme="minorHAnsi" w:hAnsiTheme="minorHAnsi" w:cstheme="minorBidi"/>
          <w:color w:val="auto"/>
          <w:sz w:val="24"/>
          <w:szCs w:val="24"/>
        </w:rPr>
        <w:t>—</w:t>
      </w:r>
      <w:r w:rsidRPr="00CA53E2">
        <w:rPr>
          <w:rFonts w:asciiTheme="minorHAnsi" w:eastAsiaTheme="minorHAnsi" w:hAnsiTheme="minorHAnsi" w:cstheme="minorBidi"/>
          <w:color w:val="auto"/>
          <w:sz w:val="24"/>
          <w:szCs w:val="24"/>
        </w:rPr>
        <w:t xml:space="preserve"> it is politically constrained, under-resourced and increasingly likely.</w:t>
      </w:r>
      <w:r>
        <w:rPr>
          <w:rFonts w:asciiTheme="minorHAnsi" w:eastAsiaTheme="minorHAnsi" w:hAnsiTheme="minorHAnsi" w:cstheme="minorBidi"/>
          <w:color w:val="auto"/>
          <w:sz w:val="24"/>
          <w:szCs w:val="24"/>
        </w:rPr>
        <w:t xml:space="preserve"> Recent</w:t>
      </w:r>
      <w:r w:rsidRPr="00B46909">
        <w:rPr>
          <w:rFonts w:asciiTheme="minorHAnsi" w:eastAsiaTheme="minorHAnsi" w:hAnsiTheme="minorHAnsi" w:cstheme="minorBidi"/>
          <w:color w:val="auto"/>
          <w:sz w:val="24"/>
          <w:szCs w:val="24"/>
        </w:rPr>
        <w:t xml:space="preserve"> developments</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among Western states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most notably the United States’ assertions regarding</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Greenland</w:t>
      </w:r>
      <w:r>
        <w:rPr>
          <w:rStyle w:val="FootnoteReference"/>
          <w:rFonts w:asciiTheme="minorHAnsi" w:eastAsiaTheme="minorHAnsi" w:hAnsiTheme="minorHAnsi" w:cstheme="minorBidi"/>
          <w:color w:val="auto"/>
          <w:sz w:val="24"/>
          <w:szCs w:val="24"/>
        </w:rPr>
        <w:footnoteReference w:id="3"/>
      </w:r>
      <w:r w:rsidRPr="00B46909">
        <w:rPr>
          <w:rFonts w:asciiTheme="minorHAnsi" w:eastAsiaTheme="minorHAnsi" w:hAnsiTheme="minorHAnsi" w:cstheme="minorBidi"/>
          <w:color w:val="auto"/>
          <w:sz w:val="24"/>
          <w:szCs w:val="24"/>
        </w:rPr>
        <w:t xml:space="preserve"> and Denmark’s response</w:t>
      </w:r>
      <w:r>
        <w:rPr>
          <w:rStyle w:val="FootnoteReference"/>
          <w:rFonts w:asciiTheme="minorHAnsi" w:eastAsiaTheme="minorHAnsi" w:hAnsiTheme="minorHAnsi" w:cstheme="minorBidi"/>
          <w:color w:val="auto"/>
          <w:sz w:val="24"/>
          <w:szCs w:val="24"/>
        </w:rPr>
        <w:footnoteReference w:id="4"/>
      </w:r>
      <w:r w:rsidRPr="00B46909">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demonstrate that scenarios once considered unlikely can rapidly</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acquire </w:t>
      </w:r>
      <w:r>
        <w:rPr>
          <w:rFonts w:asciiTheme="minorHAnsi" w:eastAsiaTheme="minorHAnsi" w:hAnsiTheme="minorHAnsi" w:cstheme="minorBidi"/>
          <w:color w:val="auto"/>
          <w:sz w:val="24"/>
          <w:szCs w:val="24"/>
        </w:rPr>
        <w:t>s</w:t>
      </w:r>
      <w:r w:rsidRPr="00B46909">
        <w:rPr>
          <w:rFonts w:asciiTheme="minorHAnsi" w:eastAsiaTheme="minorHAnsi" w:hAnsiTheme="minorHAnsi" w:cstheme="minorBidi"/>
          <w:color w:val="auto"/>
          <w:sz w:val="24"/>
          <w:szCs w:val="24"/>
        </w:rPr>
        <w:t>trategic salience. The perception of threat is an unreliable indicator for future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 xml:space="preserve">conflict. Failure to internalise the implications of </w:t>
      </w:r>
      <w:proofErr w:type="spellStart"/>
      <w:r w:rsidRPr="00B46909">
        <w:rPr>
          <w:rFonts w:asciiTheme="minorHAnsi" w:eastAsiaTheme="minorHAnsi" w:hAnsiTheme="minorHAnsi" w:cstheme="minorBidi"/>
          <w:color w:val="auto"/>
          <w:sz w:val="24"/>
          <w:szCs w:val="24"/>
        </w:rPr>
        <w:t>UxS</w:t>
      </w:r>
      <w:proofErr w:type="spellEnd"/>
      <w:r w:rsidRPr="00B46909">
        <w:rPr>
          <w:rFonts w:asciiTheme="minorHAnsi" w:eastAsiaTheme="minorHAnsi" w:hAnsiTheme="minorHAnsi" w:cstheme="minorBidi"/>
          <w:color w:val="auto"/>
          <w:sz w:val="24"/>
          <w:szCs w:val="24"/>
        </w:rPr>
        <w:t xml:space="preserve"> risks entrenching a force posture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optimised for conditions which no longer exist</w:t>
      </w:r>
      <w:r>
        <w:rPr>
          <w:rFonts w:asciiTheme="minorHAnsi" w:eastAsiaTheme="minorHAnsi" w:hAnsiTheme="minorHAnsi" w:cstheme="minorBidi"/>
          <w:color w:val="auto"/>
          <w:sz w:val="24"/>
          <w:szCs w:val="24"/>
        </w:rPr>
        <w:t>,</w:t>
      </w:r>
      <w:r w:rsidRPr="00B46909">
        <w:rPr>
          <w:rFonts w:asciiTheme="minorHAnsi" w:eastAsiaTheme="minorHAnsi" w:hAnsiTheme="minorHAnsi" w:cstheme="minorBidi"/>
          <w:color w:val="auto"/>
          <w:sz w:val="24"/>
          <w:szCs w:val="24"/>
        </w:rPr>
        <w:t xml:space="preserve"> allowing force design decisions to prioritise</w:t>
      </w:r>
      <w:r>
        <w:rPr>
          <w:rFonts w:asciiTheme="minorHAnsi" w:eastAsiaTheme="minorHAnsi" w:hAnsiTheme="minorHAnsi" w:cstheme="minorBidi"/>
          <w:color w:val="auto"/>
          <w:sz w:val="24"/>
          <w:szCs w:val="24"/>
        </w:rPr>
        <w:t xml:space="preserve"> </w:t>
      </w:r>
      <w:r w:rsidRPr="00B46909">
        <w:rPr>
          <w:rFonts w:asciiTheme="minorHAnsi" w:eastAsiaTheme="minorHAnsi" w:hAnsiTheme="minorHAnsi" w:cstheme="minorBidi"/>
          <w:color w:val="auto"/>
          <w:sz w:val="24"/>
          <w:szCs w:val="24"/>
        </w:rPr>
        <w:t>continuity over adaptation and without articulating a theory of victory.</w:t>
      </w:r>
      <w:r>
        <w:rPr>
          <w:rFonts w:asciiTheme="minorHAnsi" w:eastAsiaTheme="minorHAnsi" w:hAnsiTheme="minorHAnsi" w:cstheme="minorBidi"/>
          <w:color w:val="auto"/>
          <w:sz w:val="24"/>
          <w:szCs w:val="24"/>
        </w:rPr>
        <w:t xml:space="preserve"> [</w:t>
      </w:r>
      <w:r w:rsidRPr="0071161B">
        <w:rPr>
          <w:rFonts w:asciiTheme="minorHAnsi" w:eastAsiaTheme="minorHAnsi" w:hAnsiTheme="minorHAnsi" w:cstheme="minorBidi"/>
          <w:color w:val="auto"/>
          <w:sz w:val="24"/>
          <w:szCs w:val="24"/>
          <w:highlight w:val="yellow"/>
        </w:rPr>
        <w:t>OB: please proof the ideas here, they’re still in draft though</w:t>
      </w:r>
      <w:r>
        <w:rPr>
          <w:rFonts w:asciiTheme="minorHAnsi" w:eastAsiaTheme="minorHAnsi" w:hAnsiTheme="minorHAnsi" w:cstheme="minorBidi"/>
          <w:color w:val="auto"/>
          <w:sz w:val="24"/>
          <w:szCs w:val="24"/>
        </w:rPr>
        <w:t>]</w:t>
      </w:r>
    </w:p>
    <w:p w14:paraId="38021E4B" w14:textId="77777777" w:rsidR="00CC44E2" w:rsidRDefault="00CC44E2">
      <w:r>
        <w:br w:type="page"/>
      </w:r>
    </w:p>
    <w:p w14:paraId="7CA14BD5" w14:textId="20DFF803" w:rsidR="00EC7C68" w:rsidRDefault="00947EB5" w:rsidP="00947EB5">
      <w:r w:rsidRPr="00803FC3">
        <w:lastRenderedPageBreak/>
        <w:t>Ireland's light infantry section is not a capability gap to be filled with equipment; it is a structure overtaken by the threat</w:t>
      </w:r>
      <w:r>
        <w:t xml:space="preserve">. </w:t>
      </w:r>
      <w:r w:rsidRPr="00803FC3">
        <w:t>Capability is sometimes reduced to equipment, but it is better understood as the synthesis described by DOTMLPF-I</w:t>
      </w:r>
      <w:r>
        <w:t>.</w:t>
      </w:r>
      <w:r>
        <w:rPr>
          <w:rStyle w:val="FootnoteReference"/>
        </w:rPr>
        <w:footnoteReference w:id="5"/>
      </w:r>
      <w:r>
        <w:t xml:space="preserve"> </w:t>
      </w:r>
      <w:r>
        <w:rPr>
          <w:rStyle w:val="FootnoteReference"/>
        </w:rPr>
        <w:footnoteReference w:id="6"/>
      </w:r>
      <w:r>
        <w:t xml:space="preserve"> O</w:t>
      </w:r>
      <w:r w:rsidRPr="00803FC3">
        <w:t>n that basis the section fails against nearly every line. Its doctrine</w:t>
      </w:r>
      <w:r>
        <w:rPr>
          <w:rStyle w:val="FootnoteReference"/>
        </w:rPr>
        <w:footnoteReference w:id="7"/>
      </w:r>
      <w:r w:rsidRPr="00803FC3">
        <w:t xml:space="preserve"> remains that of a foot-mobile light infantry section, </w:t>
      </w:r>
      <w:r w:rsidRPr="00803FC3">
        <w:rPr>
          <w:highlight w:val="yellow"/>
        </w:rPr>
        <w:t>never reconciled with the vehicles now built to carry it</w:t>
      </w:r>
      <w:r w:rsidRPr="00803FC3">
        <w:t>. Its organisation may now be rebuilt around vehicle capacity,</w:t>
      </w:r>
      <w:r w:rsidRPr="008762BE">
        <w:rPr>
          <w:rStyle w:val="FootnoteReference"/>
        </w:rPr>
        <w:t xml:space="preserve"> </w:t>
      </w:r>
      <w:r>
        <w:rPr>
          <w:rStyle w:val="FootnoteReference"/>
        </w:rPr>
        <w:footnoteReference w:id="8"/>
      </w:r>
      <w:r w:rsidRPr="00803FC3">
        <w:t xml:space="preserve"> on the assumption that one section must fit one carrier — a constraint</w:t>
      </w:r>
      <w:r>
        <w:t xml:space="preserve"> more appropriate for</w:t>
      </w:r>
      <w:r w:rsidRPr="00803FC3">
        <w:t xml:space="preserve"> mechanised and armoured formations</w:t>
      </w:r>
      <w:r>
        <w:t xml:space="preserve">. </w:t>
      </w:r>
      <w:r w:rsidRPr="00803FC3">
        <w:t>It</w:t>
      </w:r>
      <w:r>
        <w:t xml:space="preserve"> should</w:t>
      </w:r>
      <w:r w:rsidRPr="00803FC3">
        <w:t xml:space="preserve"> not bind light infantry, which moves on foot or in soft-skin vehicles, increasingly all-terrain </w:t>
      </w:r>
      <w:r>
        <w:t>vehicles</w:t>
      </w:r>
      <w:r w:rsidRPr="00803FC3">
        <w:t xml:space="preserve"> such as the ULTV.</w:t>
      </w:r>
      <w:r w:rsidRPr="008762BE">
        <w:rPr>
          <w:rStyle w:val="FootnoteReference"/>
        </w:rPr>
        <w:t xml:space="preserve"> </w:t>
      </w:r>
      <w:r>
        <w:rPr>
          <w:rStyle w:val="FootnoteReference"/>
        </w:rPr>
        <w:footnoteReference w:id="9"/>
      </w:r>
      <w:r w:rsidRPr="00803FC3">
        <w:rPr>
          <w:rStyle w:val="FootnoteReference"/>
        </w:rPr>
        <w:t xml:space="preserve"> </w:t>
      </w:r>
      <w:r>
        <w:rPr>
          <w:rStyle w:val="FootnoteReference"/>
        </w:rPr>
        <w:t xml:space="preserve"> </w:t>
      </w:r>
      <w:r>
        <w:t>I</w:t>
      </w:r>
      <w:r w:rsidRPr="00227DF4">
        <w:t>ts training still rehearses the conventional drills of the last century and the peace-support tasks of the decades since. It neglects the cognitive burden, dispersion and exposure of a section that can be found and struck on a checkpoint or logistics convoy as readily as in battle, without higher-echelon cover. Its materiel reflects a Cold War mentality. Its leadership is not configured for contemporary mission command. And it fields too few soldiers to carry the cognitive load, operate the new systems and remain cohesive once dispersed. Adding drones changes none of that.</w:t>
      </w:r>
      <w:r w:rsidR="00E42B4A">
        <w:t xml:space="preserve"> </w:t>
      </w:r>
      <w:r w:rsidR="00083769">
        <w:t>T</w:t>
      </w:r>
      <w:r w:rsidR="00503231" w:rsidRPr="00503231">
        <w:t xml:space="preserve">hese are not uniquely Irish problems. Section design, vehicle capacity and organic support weapons are being reconsidered elsewhere </w:t>
      </w:r>
      <w:r w:rsidR="00503231">
        <w:t>—</w:t>
      </w:r>
      <w:r w:rsidR="00503231" w:rsidRPr="00503231">
        <w:t xml:space="preserve"> the UK's experimental, urban-optimised Phalanx Platoon Concept among them.</w:t>
      </w:r>
      <w:r w:rsidR="00EC7C68">
        <w:rPr>
          <w:rStyle w:val="FootnoteReference"/>
        </w:rPr>
        <w:footnoteReference w:id="10"/>
      </w:r>
    </w:p>
    <w:p w14:paraId="12E9367D" w14:textId="2E69F4E1" w:rsidR="005A3FE8" w:rsidRDefault="005A3FE8" w:rsidP="00947EB5">
      <w:r w:rsidRPr="005A3FE8">
        <w:t xml:space="preserve">Western forces have shown marginal and uneven adaptation. The French Foreign Legion’s </w:t>
      </w:r>
      <w:proofErr w:type="spellStart"/>
      <w:r w:rsidRPr="005A3FE8">
        <w:rPr>
          <w:i/>
          <w:iCs/>
        </w:rPr>
        <w:t>Gévaudan</w:t>
      </w:r>
      <w:proofErr w:type="spellEnd"/>
      <w:r w:rsidRPr="005A3FE8">
        <w:rPr>
          <w:i/>
          <w:iCs/>
        </w:rPr>
        <w:t xml:space="preserve"> 26</w:t>
      </w:r>
      <w:r w:rsidRPr="005A3FE8">
        <w:t xml:space="preserve"> exercise is illustrative: despite reported First-Person View Drone (FPVD) integration</w:t>
      </w:r>
      <w:r w:rsidR="002405F1">
        <w:rPr>
          <w:rStyle w:val="FootnoteReference"/>
        </w:rPr>
        <w:footnoteReference w:id="11"/>
      </w:r>
      <w:r w:rsidR="002405F1">
        <w:t xml:space="preserve">, </w:t>
      </w:r>
      <w:r w:rsidRPr="005A3FE8">
        <w:t>the observed use of tight formations, lack of CUAS sentries, exposed movement and force concentration remains inconsistent with drone warfare</w:t>
      </w:r>
      <w:r w:rsidR="002405F1">
        <w:t>.</w:t>
      </w:r>
      <w:r w:rsidR="002405F1">
        <w:rPr>
          <w:rStyle w:val="FootnoteReference"/>
        </w:rPr>
        <w:footnoteReference w:id="12"/>
      </w:r>
      <w:r w:rsidR="002405F1">
        <w:t xml:space="preserve"> </w:t>
      </w:r>
      <w:r w:rsidRPr="005A3FE8">
        <w:lastRenderedPageBreak/>
        <w:t xml:space="preserve">NATO’s </w:t>
      </w:r>
      <w:r w:rsidRPr="00C24B2F">
        <w:rPr>
          <w:i/>
          <w:iCs/>
        </w:rPr>
        <w:t>Exercise Hedgehog</w:t>
      </w:r>
      <w:r w:rsidRPr="005A3FE8">
        <w:t xml:space="preserve"> further demonstrates the disproportionate lethality which skilled UAS operators can generate.</w:t>
      </w:r>
      <w:r w:rsidR="002405F1">
        <w:rPr>
          <w:rStyle w:val="FootnoteReference"/>
        </w:rPr>
        <w:footnoteReference w:id="13"/>
      </w:r>
    </w:p>
    <w:p w14:paraId="2F040274" w14:textId="2EDE9EA3" w:rsidR="00B53E30" w:rsidRDefault="00B53E30" w:rsidP="00947EB5">
      <w:hyperlink r:id="rId8" w:history="1">
        <w:r w:rsidRPr="00DB39E5">
          <w:rPr>
            <w:rStyle w:val="Hyperlink"/>
          </w:rPr>
          <w:t>https://www.janes.com/defence-intelligence-insights/defence-news/air/french-army-restructures-its-infantry-battalions</w:t>
        </w:r>
      </w:hyperlink>
    </w:p>
    <w:p w14:paraId="72C41B37" w14:textId="6777A466" w:rsidR="00B53E30" w:rsidRPr="00803FC3" w:rsidRDefault="00B53E30" w:rsidP="00947EB5">
      <w:r w:rsidRPr="00B53E30">
        <w:t>https://www.janes.com/defence-intelligence-insights/defence-news/weapons/italian-army-improves-infantry-equipment-restructures-units</w:t>
      </w:r>
    </w:p>
    <w:p w14:paraId="6928EFC3" w14:textId="77777777" w:rsidR="001D0016" w:rsidRPr="001D0016" w:rsidRDefault="001D0016" w:rsidP="001D0016">
      <w:r w:rsidRPr="001D0016">
        <w:rPr>
          <w:highlight w:val="yellow"/>
        </w:rPr>
        <w:t>OB: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17EA7E15"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Pr>
          <w:rStyle w:val="FootnoteReference"/>
          <w:rFonts w:asciiTheme="minorHAnsi" w:eastAsiaTheme="minorHAnsi" w:hAnsiTheme="minorHAnsi" w:cstheme="minorBidi"/>
          <w:color w:val="auto"/>
          <w:sz w:val="24"/>
          <w:szCs w:val="24"/>
        </w:rPr>
        <w:footnoteReference w:id="14"/>
      </w:r>
      <w:r>
        <w:rPr>
          <w:rFonts w:asciiTheme="minorHAnsi" w:eastAsiaTheme="minorHAnsi" w:hAnsiTheme="minorHAnsi" w:cstheme="minorBidi"/>
          <w:color w:val="auto"/>
          <w:sz w:val="24"/>
          <w:szCs w:val="24"/>
        </w:rPr>
        <w:t xml:space="preserve"> and the 3:1 heuristic</w:t>
      </w:r>
      <w:r>
        <w:rPr>
          <w:rStyle w:val="FootnoteReference"/>
          <w:rFonts w:asciiTheme="minorHAnsi" w:eastAsiaTheme="minorHAnsi" w:hAnsiTheme="minorHAnsi" w:cstheme="minorBidi"/>
          <w:color w:val="auto"/>
          <w:sz w:val="24"/>
          <w:szCs w:val="24"/>
        </w:rPr>
        <w:footnoteReference w:id="15"/>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6156CECA" w14:textId="77777777" w:rsidR="00766DD3" w:rsidRDefault="00766DD3" w:rsidP="006E41D2"/>
    <w:p w14:paraId="2BCA4CB1" w14:textId="446B3ED8"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 xml:space="preserve">shows that FPV-OWADs cannot be dismissed as cheap substitutes for Javelin. 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 xml:space="preserve">but they can immobilise it </w:t>
      </w:r>
      <w:r w:rsidR="007A6FF0" w:rsidRPr="007A6FF0">
        <w:lastRenderedPageBreak/>
        <w:t>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656D8B">
        <w:rPr>
          <w:rStyle w:val="FootnoteReference"/>
        </w:rPr>
        <w:footnoteReference w:id="16"/>
      </w:r>
      <w:r w:rsidR="00C12DA0">
        <w:t xml:space="preserve"> </w:t>
      </w:r>
      <w:r w:rsidR="00C12DA0">
        <w:rPr>
          <w:rStyle w:val="FootnoteReference"/>
        </w:rPr>
        <w:footnoteReference w:id="17"/>
      </w:r>
    </w:p>
    <w:p w14:paraId="2C8ED009" w14:textId="77777777" w:rsidR="002C4F0D" w:rsidRDefault="00EE12B1" w:rsidP="002C4F0D">
      <w:pPr>
        <w:keepNext/>
      </w:pPr>
      <w:r w:rsidRPr="00EE12B1">
        <w:rPr>
          <w:noProof/>
        </w:rPr>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t xml:space="preserve">Ireland has long treated serious territorial defence as financially unreachable, because credibility was assumed to require conventional mass. </w:t>
      </w:r>
      <w:proofErr w:type="spellStart"/>
      <w:r w:rsidRPr="00667CD1">
        <w:rPr>
          <w:rFonts w:asciiTheme="minorHAnsi" w:eastAsiaTheme="minorHAnsi" w:hAnsiTheme="minorHAnsi" w:cstheme="minorBidi"/>
          <w:color w:val="auto"/>
          <w:sz w:val="24"/>
          <w:szCs w:val="24"/>
        </w:rPr>
        <w:t>UxS</w:t>
      </w:r>
      <w:proofErr w:type="spellEnd"/>
      <w:r w:rsidRPr="00667CD1">
        <w:rPr>
          <w:rFonts w:asciiTheme="minorHAnsi" w:eastAsiaTheme="minorHAnsi" w:hAnsiTheme="minorHAnsi" w:cstheme="minorBidi"/>
          <w:color w:val="auto"/>
          <w:sz w:val="24"/>
          <w:szCs w:val="24"/>
        </w:rPr>
        <w:t xml:space="preserve">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1715B290" w14:textId="2EF7D76E" w:rsidR="008E24F7" w:rsidRDefault="008E24F7" w:rsidP="00D539C9">
      <w:pPr>
        <w:pStyle w:val="NoSpacing"/>
      </w:pPr>
      <w:r w:rsidRPr="00262708">
        <w:t>The recommendations follow directly and cost little to begin. First, adopt the lance-corporal rank: dispersed sections need a commander in each</w:t>
      </w:r>
      <w:r>
        <w:t xml:space="preserve"> and</w:t>
      </w:r>
      <w:r w:rsidRPr="00262708">
        <w:t xml:space="preserve"> the rank structure must catch up to the tactics. Second, experiment properly rather than procure blindly</w:t>
      </w:r>
      <w:r>
        <w:t xml:space="preserve"> — </w:t>
      </w:r>
      <w:r w:rsidRPr="00262708">
        <w:t xml:space="preserve">stand up trial sections at fourteen and fifteen </w:t>
      </w:r>
      <w:r w:rsidRPr="00D539C9">
        <w:t>soldiers</w:t>
      </w:r>
      <w:r w:rsidR="00D539C9" w:rsidRPr="00D539C9">
        <w:t xml:space="preserve"> (</w:t>
      </w:r>
      <w:r w:rsidR="00D539C9" w:rsidRPr="00D539C9">
        <w:fldChar w:fldCharType="begin"/>
      </w:r>
      <w:r w:rsidR="00D539C9" w:rsidRPr="00D539C9">
        <w:instrText xml:space="preserve"> REF _Ref233060645 \h  \* MERGEFORMAT </w:instrText>
      </w:r>
      <w:r w:rsidR="00D539C9" w:rsidRPr="00D539C9">
        <w:fldChar w:fldCharType="separate"/>
      </w:r>
      <w:r w:rsidR="00D539C9" w:rsidRPr="00D539C9">
        <w:t>Figure 1</w:t>
      </w:r>
      <w:r w:rsidR="00D539C9" w:rsidRPr="00D539C9">
        <w:fldChar w:fldCharType="end"/>
      </w:r>
      <w:r w:rsidR="00D539C9" w:rsidRPr="00D539C9">
        <w:t>)</w:t>
      </w:r>
      <w:r w:rsidRPr="00D539C9">
        <w:t>, test them</w:t>
      </w:r>
      <w:r w:rsidRPr="00262708">
        <w:t xml:space="preserve"> against realistic drone threats</w:t>
      </w:r>
      <w:r>
        <w:t xml:space="preserve"> and</w:t>
      </w:r>
      <w:r w:rsidRPr="00262708">
        <w:t xml:space="preserve"> let the results, not assumption, settle the establishment</w:t>
      </w:r>
      <w:r w:rsidRPr="00D539C9">
        <w:t xml:space="preserve">. </w:t>
      </w:r>
      <w:r w:rsidRPr="00262708">
        <w:t xml:space="preserve">Third, write exposure management into doctrine: build signature discipline, drone-halt drills and the sequencing of sensing, electronic warfare and fires into standard operating procedures, syllabi and retraining, with mobile training teams to push the new </w:t>
      </w:r>
      <w:r w:rsidRPr="00262708">
        <w:lastRenderedPageBreak/>
        <w:t>methods out quickly. None of this requires mass or heavy armour</w:t>
      </w:r>
      <w:r>
        <w:t xml:space="preserve"> and</w:t>
      </w:r>
      <w:r w:rsidRPr="00262708">
        <w:t xml:space="preserve"> none waits on a procurement cycle. The first move is organisational, not financial</w:t>
      </w:r>
      <w:r>
        <w:t xml:space="preserve"> — </w:t>
      </w:r>
      <w:r w:rsidRPr="00262708">
        <w:t>which is precisely why the constraint that stalled Irish defence no longer holds.</w:t>
      </w:r>
    </w:p>
    <w:p w14:paraId="2A8DE71D" w14:textId="21BF1C2F" w:rsidR="00FD26A9" w:rsidRDefault="00D539C9" w:rsidP="00FD26A9">
      <w:pPr>
        <w:keepNext/>
        <w:jc w:val="center"/>
      </w:pPr>
      <w:r w:rsidRPr="00D539C9">
        <w:rPr>
          <w:noProof/>
        </w:rPr>
        <w:drawing>
          <wp:inline distT="0" distB="0" distL="0" distR="0" wp14:anchorId="3BA8F21E" wp14:editId="0F6E14AC">
            <wp:extent cx="2709073" cy="1655277"/>
            <wp:effectExtent l="0" t="0" r="0" b="2540"/>
            <wp:docPr id="194437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79885" name=""/>
                    <pic:cNvPicPr/>
                  </pic:nvPicPr>
                  <pic:blipFill>
                    <a:blip r:embed="rId10"/>
                    <a:stretch>
                      <a:fillRect/>
                    </a:stretch>
                  </pic:blipFill>
                  <pic:spPr>
                    <a:xfrm>
                      <a:off x="0" y="0"/>
                      <a:ext cx="2723776" cy="1664261"/>
                    </a:xfrm>
                    <a:prstGeom prst="rect">
                      <a:avLst/>
                    </a:prstGeom>
                  </pic:spPr>
                </pic:pic>
              </a:graphicData>
            </a:graphic>
          </wp:inline>
        </w:drawing>
      </w:r>
      <w:r w:rsidR="00FD26A9" w:rsidRPr="00FD26A9">
        <w:rPr>
          <w:noProof/>
        </w:rPr>
        <w:drawing>
          <wp:inline distT="0" distB="0" distL="0" distR="0" wp14:anchorId="5294252E" wp14:editId="7ABFAEE1">
            <wp:extent cx="2907102" cy="1736016"/>
            <wp:effectExtent l="0" t="0" r="7620" b="0"/>
            <wp:docPr id="198120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08126" name=""/>
                    <pic:cNvPicPr/>
                  </pic:nvPicPr>
                  <pic:blipFill>
                    <a:blip r:embed="rId11"/>
                    <a:stretch>
                      <a:fillRect/>
                    </a:stretch>
                  </pic:blipFill>
                  <pic:spPr>
                    <a:xfrm>
                      <a:off x="0" y="0"/>
                      <a:ext cx="2918337" cy="1742725"/>
                    </a:xfrm>
                    <a:prstGeom prst="rect">
                      <a:avLst/>
                    </a:prstGeom>
                  </pic:spPr>
                </pic:pic>
              </a:graphicData>
            </a:graphic>
          </wp:inline>
        </w:drawing>
      </w:r>
    </w:p>
    <w:p w14:paraId="55D10960" w14:textId="61C0DAF9" w:rsidR="00FD26A9" w:rsidRPr="00FD26A9" w:rsidRDefault="00FD26A9" w:rsidP="00FD26A9">
      <w:pPr>
        <w:pStyle w:val="Caption"/>
        <w:jc w:val="center"/>
      </w:pPr>
      <w:bookmarkStart w:id="1" w:name="_Ref233060645"/>
      <w:r>
        <w:t xml:space="preserve">Figure </w:t>
      </w:r>
      <w:r>
        <w:fldChar w:fldCharType="begin"/>
      </w:r>
      <w:r>
        <w:instrText xml:space="preserve"> SEQ Figure \* ARABIC </w:instrText>
      </w:r>
      <w:r>
        <w:fldChar w:fldCharType="separate"/>
      </w:r>
      <w:r>
        <w:rPr>
          <w:noProof/>
        </w:rPr>
        <w:t>1</w:t>
      </w:r>
      <w:r>
        <w:rPr>
          <w:noProof/>
        </w:rPr>
        <w:fldChar w:fldCharType="end"/>
      </w:r>
      <w:bookmarkEnd w:id="1"/>
      <w:r>
        <w:t xml:space="preserve">. </w:t>
      </w:r>
      <w:r w:rsidRPr="00E1430B">
        <w:t xml:space="preserve"> </w:t>
      </w:r>
      <w:r w:rsidR="00AE6C88">
        <w:t>Fourteen and f</w:t>
      </w:r>
      <w:r w:rsidRPr="00E1430B">
        <w:t>ifteen-soldier section</w:t>
      </w:r>
      <w:r w:rsidR="001C70DF">
        <w:t>s</w:t>
      </w:r>
      <w:r w:rsidRPr="00E1430B">
        <w:t xml:space="preserve"> with organic FPVD, support detachment and separate commander</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protection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4F837" w14:textId="77777777" w:rsidR="004527D7" w:rsidRDefault="004527D7" w:rsidP="008F41DA">
      <w:pPr>
        <w:spacing w:after="0" w:line="240" w:lineRule="auto"/>
      </w:pPr>
      <w:r>
        <w:separator/>
      </w:r>
    </w:p>
  </w:endnote>
  <w:endnote w:type="continuationSeparator" w:id="0">
    <w:p w14:paraId="53F603D0" w14:textId="77777777" w:rsidR="004527D7" w:rsidRDefault="004527D7"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1133" w14:textId="77777777" w:rsidR="004527D7" w:rsidRDefault="004527D7" w:rsidP="008F41DA">
      <w:pPr>
        <w:spacing w:after="0" w:line="240" w:lineRule="auto"/>
      </w:pPr>
      <w:r>
        <w:separator/>
      </w:r>
    </w:p>
  </w:footnote>
  <w:footnote w:type="continuationSeparator" w:id="0">
    <w:p w14:paraId="1CA74D3C" w14:textId="77777777" w:rsidR="004527D7" w:rsidRDefault="004527D7" w:rsidP="008F41DA">
      <w:pPr>
        <w:spacing w:after="0" w:line="240" w:lineRule="auto"/>
      </w:pPr>
      <w:r>
        <w:continuationSeparator/>
      </w:r>
    </w:p>
  </w:footnote>
  <w:footnote w:id="1">
    <w:p w14:paraId="64F433AF" w14:textId="77777777" w:rsidR="00947EB5" w:rsidRDefault="00947EB5" w:rsidP="00947EB5">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076FBBAF" w14:textId="77777777" w:rsidR="00947EB5" w:rsidRDefault="00947EB5" w:rsidP="00947EB5">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47FECC2" w14:textId="77777777" w:rsidR="00947EB5" w:rsidRDefault="00947EB5" w:rsidP="00947EB5">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1AAAB38F" w14:textId="77777777" w:rsidR="00947EB5" w:rsidRDefault="00947EB5" w:rsidP="00947EB5">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1B729B3" w14:textId="77777777" w:rsidR="00947EB5" w:rsidRDefault="00947EB5" w:rsidP="00947EB5">
      <w:pPr>
        <w:pStyle w:val="FootnoteText"/>
      </w:pPr>
      <w:r>
        <w:t>tm.dk/media/qo2dyzxy/erklaering-gl.pdf (accessed 1 April 2026).</w:t>
      </w:r>
    </w:p>
  </w:footnote>
  <w:footnote w:id="5">
    <w:p w14:paraId="2B9B0FD5" w14:textId="77777777" w:rsidR="00947EB5" w:rsidRDefault="00947EB5" w:rsidP="00947EB5">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1" w:history="1">
        <w:r w:rsidRPr="00370942">
          <w:rPr>
            <w:rStyle w:val="Hyperlink"/>
          </w:rPr>
          <w:t>https://eda.europa.eu/docs/default-source/eda-publications/2023-eu-capability-development-priorities.pdf</w:t>
        </w:r>
      </w:hyperlink>
      <w:r w:rsidRPr="00370942">
        <w:t xml:space="preserve"> (accessed 22 June 2026).</w:t>
      </w:r>
    </w:p>
  </w:footnote>
  <w:footnote w:id="6">
    <w:p w14:paraId="76BB379E" w14:textId="77777777" w:rsidR="00947EB5" w:rsidRDefault="00947EB5" w:rsidP="00947EB5">
      <w:pPr>
        <w:pStyle w:val="FootnoteText"/>
      </w:pPr>
      <w:r>
        <w:rPr>
          <w:rStyle w:val="FootnoteReference"/>
        </w:rPr>
        <w:footnoteRef/>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2" w:history="1">
        <w:r w:rsidRPr="0045714A">
          <w:rPr>
            <w:rStyle w:val="Hyperlink"/>
          </w:rPr>
          <w:t>https://www.act.nato.int/wp-content/uploads/2023/05/NATO-ACT-CDE-Handbook_A_Concept_Developers_Toolbox.pdf</w:t>
        </w:r>
      </w:hyperlink>
      <w:r w:rsidRPr="0045714A">
        <w:t xml:space="preserve"> (accessed 22 June 2026).</w:t>
      </w:r>
    </w:p>
  </w:footnote>
  <w:footnote w:id="7">
    <w:p w14:paraId="07518F0E" w14:textId="77777777" w:rsidR="00947EB5" w:rsidRDefault="00947EB5" w:rsidP="00947EB5">
      <w:pPr>
        <w:pStyle w:val="FootnoteText"/>
      </w:pPr>
      <w:r>
        <w:rPr>
          <w:rStyle w:val="FootnoteReference"/>
        </w:rPr>
        <w:footnoteRef/>
      </w:r>
      <w:r>
        <w:t xml:space="preserve"> TM 201</w:t>
      </w:r>
    </w:p>
  </w:footnote>
  <w:footnote w:id="8">
    <w:p w14:paraId="5EE9B9DE" w14:textId="77777777" w:rsidR="00947EB5" w:rsidRDefault="00947EB5" w:rsidP="00947EB5">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3" w:tgtFrame="_new" w:history="1">
        <w:r w:rsidRPr="003E5AA4">
          <w:rPr>
            <w:rStyle w:val="Hyperlink"/>
          </w:rPr>
          <w:t>https://www.thejournal.ie/new-apc-vehicles-maybe-coming-from-france-6623112-Feb2025/</w:t>
        </w:r>
      </w:hyperlink>
      <w:r w:rsidRPr="003E5AA4">
        <w:t xml:space="preserve"> (accessed 24 February 2026).</w:t>
      </w:r>
    </w:p>
  </w:footnote>
  <w:footnote w:id="9">
    <w:p w14:paraId="6D51D53E" w14:textId="768F5825" w:rsidR="00947EB5" w:rsidRDefault="00947EB5" w:rsidP="00947EB5">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4" w:history="1">
        <w:r w:rsidRPr="002F0568">
          <w:rPr>
            <w:rStyle w:val="Hyperlink"/>
          </w:rPr>
          <w:t>https://www.mca-marines.org/wp-content/uploads/23-The-Ultra-Light.pdf</w:t>
        </w:r>
      </w:hyperlink>
      <w:r w:rsidRPr="002F0568">
        <w:t xml:space="preserve"> (accessed 21 June 2026).</w:t>
      </w:r>
    </w:p>
  </w:footnote>
  <w:footnote w:id="10">
    <w:p w14:paraId="77BF9B15" w14:textId="467DCECF" w:rsidR="00EC7C68" w:rsidRDefault="00EC7C68">
      <w:pPr>
        <w:pStyle w:val="FootnoteText"/>
      </w:pPr>
      <w:r>
        <w:rPr>
          <w:rStyle w:val="FootnoteReference"/>
        </w:rPr>
        <w:footnoteRef/>
      </w:r>
      <w:r>
        <w:t xml:space="preserve"> </w:t>
      </w:r>
      <w:r w:rsidRPr="00EC7C68">
        <w:t xml:space="preserve">Spencer, J. </w:t>
      </w:r>
      <w:r w:rsidRPr="00EC7C68">
        <w:rPr>
          <w:i/>
          <w:iCs/>
        </w:rPr>
        <w:t>Creating a Unit Optimized for Urban Warfare</w:t>
      </w:r>
      <w:r w:rsidRPr="00EC7C68">
        <w:t xml:space="preserve">. </w:t>
      </w:r>
      <w:r w:rsidRPr="00EC7C68">
        <w:rPr>
          <w:i/>
          <w:iCs/>
        </w:rPr>
        <w:t>Modern War Institute at West Point</w:t>
      </w:r>
      <w:r w:rsidRPr="00EC7C68">
        <w:t xml:space="preserve">, 18 August 2023. Available at: </w:t>
      </w:r>
      <w:hyperlink r:id="rId5" w:history="1">
        <w:r w:rsidRPr="00EC7C68">
          <w:rPr>
            <w:rStyle w:val="Hyperlink"/>
          </w:rPr>
          <w:t>https://mwi.westpoint.edu/creating-a-unit-optimized-for-urban-warfare/</w:t>
        </w:r>
      </w:hyperlink>
      <w:r w:rsidRPr="00EC7C68">
        <w:t xml:space="preserve"> (accessed 22 June 2026).</w:t>
      </w:r>
    </w:p>
  </w:footnote>
  <w:footnote w:id="11">
    <w:p w14:paraId="31B534AF" w14:textId="0609158E" w:rsidR="002405F1" w:rsidRDefault="002405F1">
      <w:pPr>
        <w:pStyle w:val="FootnoteText"/>
      </w:pPr>
      <w:r>
        <w:rPr>
          <w:rStyle w:val="FootnoteReference"/>
        </w:rPr>
        <w:foot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26 :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6" w:tgtFrame="_new" w:history="1">
        <w:r w:rsidRPr="002405F1">
          <w:rPr>
            <w:rStyle w:val="Hyperlink"/>
          </w:rPr>
          <w:t>https://www.defense.gouv.fr/terre/actualites/gevaudan-26-legionnaires-au-combat</w:t>
        </w:r>
      </w:hyperlink>
      <w:r w:rsidRPr="002405F1">
        <w:t xml:space="preserve"> (accessed 1 April 2026).</w:t>
      </w:r>
    </w:p>
  </w:footnote>
  <w:footnote w:id="12">
    <w:p w14:paraId="019C03C7" w14:textId="180DF910" w:rsidR="002405F1" w:rsidRDefault="002405F1">
      <w:pPr>
        <w:pStyle w:val="FootnoteText"/>
      </w:pPr>
      <w:r>
        <w:rPr>
          <w:rStyle w:val="FootnoteReference"/>
        </w:rPr>
        <w:footnoteRef/>
      </w:r>
      <w:r>
        <w:t xml:space="preserve"> </w:t>
      </w:r>
      <w:r w:rsidRPr="002405F1">
        <w:t xml:space="preserve">TF1 INFO. </w:t>
      </w:r>
      <w:r w:rsidRPr="002405F1">
        <w:rPr>
          <w:i/>
          <w:iCs/>
        </w:rPr>
        <w:t xml:space="preserve">Légion </w:t>
      </w:r>
      <w:proofErr w:type="spellStart"/>
      <w:r w:rsidRPr="002405F1">
        <w:rPr>
          <w:i/>
          <w:iCs/>
        </w:rPr>
        <w:t>étrangère</w:t>
      </w:r>
      <w:proofErr w:type="spellEnd"/>
      <w:r w:rsidRPr="002405F1">
        <w:rPr>
          <w:i/>
          <w:iCs/>
        </w:rPr>
        <w:t xml:space="preserve"> :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7" w:tgtFrame="_new" w:history="1">
        <w:r w:rsidRPr="002405F1">
          <w:rPr>
            <w:rStyle w:val="Hyperlink"/>
          </w:rPr>
          <w:t>https://www.youtube.com/watch?v=fkE1H-jy3NE</w:t>
        </w:r>
      </w:hyperlink>
      <w:r w:rsidRPr="002405F1">
        <w:t xml:space="preserve"> (accessed 1 April 2026).</w:t>
      </w:r>
    </w:p>
  </w:footnote>
  <w:footnote w:id="13">
    <w:p w14:paraId="7062FC36" w14:textId="2B718EF1" w:rsidR="002405F1" w:rsidRDefault="002405F1">
      <w:pPr>
        <w:pStyle w:val="FootnoteText"/>
      </w:pPr>
      <w:r>
        <w:rPr>
          <w:rStyle w:val="FootnoteReference"/>
        </w:rPr>
        <w:footnoteRef/>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8" w:tgtFrame="_new" w:history="1">
        <w:r w:rsidRPr="002405F1">
          <w:rPr>
            <w:rStyle w:val="Hyperlink"/>
          </w:rPr>
          <w:t>https://www.wsj.com/opinion/nato-has-seen-the-future-and-is-unprepared-887eaf0f</w:t>
        </w:r>
      </w:hyperlink>
      <w:r w:rsidRPr="002405F1">
        <w:t xml:space="preserve"> (accessed 13 February 2026).</w:t>
      </w:r>
    </w:p>
  </w:footnote>
  <w:footnote w:id="14">
    <w:p w14:paraId="0E3C5ECA" w14:textId="77777777" w:rsidR="00766DD3" w:rsidRDefault="00766DD3" w:rsidP="00766DD3">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15">
    <w:p w14:paraId="3D0D22D5" w14:textId="77777777" w:rsidR="00766DD3" w:rsidRDefault="00766DD3" w:rsidP="00766DD3">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9" w:tgtFrame="_new" w:history="1">
        <w:r w:rsidRPr="009F3487">
          <w:rPr>
            <w:rStyle w:val="Hyperlink"/>
          </w:rPr>
          <w:t>https://www.jstor.org/stable/2538780</w:t>
        </w:r>
      </w:hyperlink>
      <w:r w:rsidRPr="009F3487">
        <w:t xml:space="preserve"> (accessed 29 March 2025).</w:t>
      </w:r>
    </w:p>
  </w:footnote>
  <w:footnote w:id="16">
    <w:p w14:paraId="570252A1" w14:textId="77777777" w:rsidR="00656D8B" w:rsidRDefault="00656D8B" w:rsidP="00656D8B">
      <w:pPr>
        <w:pStyle w:val="FootnoteText"/>
      </w:pPr>
      <w:r>
        <w:rPr>
          <w:rStyle w:val="FootnoteReference"/>
        </w:rPr>
        <w:foot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p>
  </w:footnote>
  <w:footnote w:id="17">
    <w:p w14:paraId="1C79910A" w14:textId="733ECE66" w:rsidR="00C12DA0" w:rsidRDefault="00C12DA0">
      <w:pPr>
        <w:pStyle w:val="FootnoteText"/>
      </w:pPr>
      <w:r>
        <w:rPr>
          <w:rStyle w:val="FootnoteReference"/>
        </w:rPr>
        <w:footnoteRef/>
      </w:r>
      <w:r>
        <w:t xml:space="preserve"> </w:t>
      </w:r>
      <w:r w:rsidRPr="00C12DA0">
        <w:t xml:space="preserve">The salvo column estimates the number and cost of effectors required to defeat an armoured company. </w:t>
      </w:r>
      <w:r w:rsidR="007A6FF0" w:rsidRPr="007A6FF0">
        <w:t>Effect is normalised to delivered shaped-charge mass, not raw payload:</w:t>
      </w:r>
      <w:r w:rsidR="007A6FF0">
        <w:t xml:space="preserve"> </w:t>
      </w:r>
      <w:r w:rsidRPr="00C12DA0">
        <w:t>OWADs are calculated against the 100</w:t>
      </w:r>
      <w:r w:rsidR="00DE3CD3">
        <w:t>-</w:t>
      </w:r>
      <w:r w:rsidRPr="00C12DA0">
        <w:t>k</w:t>
      </w:r>
      <w:r w:rsidR="006B7283">
        <w:t>ilogram</w:t>
      </w:r>
      <w:r w:rsidRPr="00C12DA0">
        <w:t xml:space="preserve"> shaped-charge requirement in Bronk and Watling; Javelin is calculated as six missiles at assumed 100 percent kill probability against the 40–60 per cent immobilisation threshold – an assumption</w:t>
      </w:r>
      <w:r w:rsidR="00526588">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10" w:history="1">
        <w:r w:rsidRPr="00C12DA0">
          <w:rPr>
            <w:rStyle w:val="Hyperlink"/>
          </w:rPr>
          <w:t>https://static.rusi.org/mass-precision-strike-final.pdf</w:t>
        </w:r>
      </w:hyperlink>
      <w:r w:rsidRPr="00C12DA0">
        <w:t xml:space="preserve"> (accessed 16 December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7A60"/>
    <w:rsid w:val="00126E0F"/>
    <w:rsid w:val="00143911"/>
    <w:rsid w:val="00172310"/>
    <w:rsid w:val="00176EA6"/>
    <w:rsid w:val="001779D4"/>
    <w:rsid w:val="001800EF"/>
    <w:rsid w:val="001822CC"/>
    <w:rsid w:val="00182D41"/>
    <w:rsid w:val="001A3844"/>
    <w:rsid w:val="001B6642"/>
    <w:rsid w:val="001C6BAB"/>
    <w:rsid w:val="001C70DF"/>
    <w:rsid w:val="001C71F6"/>
    <w:rsid w:val="001D0016"/>
    <w:rsid w:val="001E7AE7"/>
    <w:rsid w:val="00211892"/>
    <w:rsid w:val="00220651"/>
    <w:rsid w:val="0022693E"/>
    <w:rsid w:val="00230C29"/>
    <w:rsid w:val="00232127"/>
    <w:rsid w:val="002405F1"/>
    <w:rsid w:val="00240A82"/>
    <w:rsid w:val="00262708"/>
    <w:rsid w:val="002822C2"/>
    <w:rsid w:val="00292EE9"/>
    <w:rsid w:val="002C4F0D"/>
    <w:rsid w:val="002D603F"/>
    <w:rsid w:val="002E0EF9"/>
    <w:rsid w:val="002F0568"/>
    <w:rsid w:val="002F4644"/>
    <w:rsid w:val="0030344C"/>
    <w:rsid w:val="00327715"/>
    <w:rsid w:val="0033406E"/>
    <w:rsid w:val="003615C3"/>
    <w:rsid w:val="0036390B"/>
    <w:rsid w:val="00373773"/>
    <w:rsid w:val="00392A7C"/>
    <w:rsid w:val="003A11A1"/>
    <w:rsid w:val="003A2DA1"/>
    <w:rsid w:val="003B6230"/>
    <w:rsid w:val="003E4F2A"/>
    <w:rsid w:val="003E5AA4"/>
    <w:rsid w:val="00401D26"/>
    <w:rsid w:val="004315E8"/>
    <w:rsid w:val="00431645"/>
    <w:rsid w:val="004359AF"/>
    <w:rsid w:val="00443FFE"/>
    <w:rsid w:val="004527D7"/>
    <w:rsid w:val="00456E3A"/>
    <w:rsid w:val="0047065D"/>
    <w:rsid w:val="0047228C"/>
    <w:rsid w:val="004738DA"/>
    <w:rsid w:val="004910FE"/>
    <w:rsid w:val="004A13E6"/>
    <w:rsid w:val="004A36F5"/>
    <w:rsid w:val="004B73C3"/>
    <w:rsid w:val="004C3B35"/>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278AC"/>
    <w:rsid w:val="00833C45"/>
    <w:rsid w:val="00841CA6"/>
    <w:rsid w:val="00847D59"/>
    <w:rsid w:val="00856A81"/>
    <w:rsid w:val="0087131C"/>
    <w:rsid w:val="00880436"/>
    <w:rsid w:val="008906B6"/>
    <w:rsid w:val="008A10CC"/>
    <w:rsid w:val="008A2BAF"/>
    <w:rsid w:val="008A3F4A"/>
    <w:rsid w:val="008D1071"/>
    <w:rsid w:val="008D790E"/>
    <w:rsid w:val="008E24F7"/>
    <w:rsid w:val="008E628C"/>
    <w:rsid w:val="008F1E30"/>
    <w:rsid w:val="008F41DA"/>
    <w:rsid w:val="009145A4"/>
    <w:rsid w:val="00917666"/>
    <w:rsid w:val="00925E2F"/>
    <w:rsid w:val="009305B9"/>
    <w:rsid w:val="00947EB5"/>
    <w:rsid w:val="00971FFB"/>
    <w:rsid w:val="00996C78"/>
    <w:rsid w:val="009A2241"/>
    <w:rsid w:val="009A4725"/>
    <w:rsid w:val="009C76EC"/>
    <w:rsid w:val="009D4618"/>
    <w:rsid w:val="009E246E"/>
    <w:rsid w:val="009E28A5"/>
    <w:rsid w:val="00A04877"/>
    <w:rsid w:val="00A04CA9"/>
    <w:rsid w:val="00A23F4E"/>
    <w:rsid w:val="00A432B4"/>
    <w:rsid w:val="00A50E13"/>
    <w:rsid w:val="00A71BE2"/>
    <w:rsid w:val="00A82B6C"/>
    <w:rsid w:val="00AB0ACD"/>
    <w:rsid w:val="00AC6223"/>
    <w:rsid w:val="00AC7624"/>
    <w:rsid w:val="00AE6C88"/>
    <w:rsid w:val="00AF0C93"/>
    <w:rsid w:val="00B05986"/>
    <w:rsid w:val="00B2402D"/>
    <w:rsid w:val="00B46909"/>
    <w:rsid w:val="00B53E30"/>
    <w:rsid w:val="00B62BAA"/>
    <w:rsid w:val="00B8094F"/>
    <w:rsid w:val="00B85AC3"/>
    <w:rsid w:val="00B93E1B"/>
    <w:rsid w:val="00B94448"/>
    <w:rsid w:val="00BB2886"/>
    <w:rsid w:val="00BB3343"/>
    <w:rsid w:val="00BB3526"/>
    <w:rsid w:val="00BC252E"/>
    <w:rsid w:val="00BC4646"/>
    <w:rsid w:val="00BE2246"/>
    <w:rsid w:val="00BF4B6D"/>
    <w:rsid w:val="00C12DA0"/>
    <w:rsid w:val="00C13EBD"/>
    <w:rsid w:val="00C24B2F"/>
    <w:rsid w:val="00C31025"/>
    <w:rsid w:val="00C376F0"/>
    <w:rsid w:val="00C40892"/>
    <w:rsid w:val="00C446BB"/>
    <w:rsid w:val="00C50339"/>
    <w:rsid w:val="00C57783"/>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79A6"/>
    <w:rsid w:val="00F97F87"/>
    <w:rsid w:val="00FA2700"/>
    <w:rsid w:val="00FA51DA"/>
    <w:rsid w:val="00FA5A9C"/>
    <w:rsid w:val="00FB05F1"/>
    <w:rsid w:val="00FD26A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otnotes.xml.rels><?xml version="1.0" encoding="UTF-8" standalone="yes"?>
<Relationships xmlns="http://schemas.openxmlformats.org/package/2006/relationships"><Relationship Id="rId8" Type="http://schemas.openxmlformats.org/officeDocument/2006/relationships/hyperlink" Target="https://www.wsj.com/opinion/nato-has-seen-the-future-and-is-unprepared-887eaf0f" TargetMode="External"/><Relationship Id="rId3" Type="http://schemas.openxmlformats.org/officeDocument/2006/relationships/hyperlink" Target="https://www.thejournal.ie/new-apc-vehicles-maybe-coming-from-france-6623112-Feb2025/" TargetMode="External"/><Relationship Id="rId7" Type="http://schemas.openxmlformats.org/officeDocument/2006/relationships/hyperlink" Target="https://www.youtube.com/watch?v=fkE1H-jy3NE" TargetMode="External"/><Relationship Id="rId2" Type="http://schemas.openxmlformats.org/officeDocument/2006/relationships/hyperlink" Target="https://www.act.nato.int/wp-content/uploads/2023/05/NATO-ACT-CDE-Handbook_A_Concept_Developers_Toolbox.pdf" TargetMode="External"/><Relationship Id="rId1" Type="http://schemas.openxmlformats.org/officeDocument/2006/relationships/hyperlink" Target="https://eda.europa.eu/docs/default-source/eda-publications/2023-eu-capability-development-priorities.pdf" TargetMode="External"/><Relationship Id="rId6" Type="http://schemas.openxmlformats.org/officeDocument/2006/relationships/hyperlink" Target="https://www.defense.gouv.fr/terre/actualites/gevaudan-26-legionnaires-au-combat" TargetMode="External"/><Relationship Id="rId5" Type="http://schemas.openxmlformats.org/officeDocument/2006/relationships/hyperlink" Target="https://mwi.westpoint.edu/creating-a-unit-optimized-for-urban-warfare/" TargetMode="External"/><Relationship Id="rId10" Type="http://schemas.openxmlformats.org/officeDocument/2006/relationships/hyperlink" Target="https://static.rusi.org/mass-precision-strike-final.pdf" TargetMode="External"/><Relationship Id="rId4" Type="http://schemas.openxmlformats.org/officeDocument/2006/relationships/hyperlink" Target="https://www.mca-marines.org/wp-content/uploads/23-The-Ultra-Light.pdf" TargetMode="External"/><Relationship Id="rId9" Type="http://schemas.openxmlformats.org/officeDocument/2006/relationships/hyperlink" Target="https://www.jstor.org/stable/25387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8</Pages>
  <Words>2044</Words>
  <Characters>11656</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98</cp:revision>
  <dcterms:created xsi:type="dcterms:W3CDTF">2026-06-21T10:00:00Z</dcterms:created>
  <dcterms:modified xsi:type="dcterms:W3CDTF">2026-06-23T08:48:00Z</dcterms:modified>
</cp:coreProperties>
</file>