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6B62DD7F"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5AB6E8DB" w14:textId="77777777" w:rsidR="003C060B"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And it fields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00424363" w14:textId="64FD0BB4" w:rsidR="003C060B" w:rsidRDefault="003C060B" w:rsidP="00947EB5">
      <w:r w:rsidRPr="003C060B">
        <w:t>These are not uniquely Irish problems: section design, vehicle capacity, organic support weapons and UAS integration are being reconsidered elsewhere, including in the UK’s experimental, urban-optimised Phalanx Platoon Concept.</w:t>
      </w:r>
      <w:r w:rsidR="00EC7C68">
        <w:rPr>
          <w:rStyle w:val="FootnoteReference"/>
        </w:rPr>
        <w:footnoteReference w:id="10"/>
      </w:r>
      <w:r>
        <w:t xml:space="preserve"> </w:t>
      </w:r>
      <w:r w:rsidRPr="003C060B">
        <w:t xml:space="preserve">Western adaptation remains uneven – exercises such as </w:t>
      </w:r>
      <w:proofErr w:type="spellStart"/>
      <w:r w:rsidRPr="003C060B">
        <w:t>Gévaudan</w:t>
      </w:r>
      <w:proofErr w:type="spellEnd"/>
      <w:r w:rsidRPr="003C060B">
        <w:t xml:space="preserve"> 26 suggest that integrating drones is </w:t>
      </w:r>
      <w:r w:rsidRPr="003C060B">
        <w:lastRenderedPageBreak/>
        <w:t>easier than adapting the formations, movement drills and protection measures the threat demands.</w:t>
      </w:r>
      <w:r w:rsidRPr="003C060B">
        <w:rPr>
          <w:rStyle w:val="FootnoteReference"/>
        </w:rPr>
        <w:t xml:space="preserve"> </w:t>
      </w:r>
      <w:r>
        <w:rPr>
          <w:rStyle w:val="FootnoteReference"/>
        </w:rPr>
        <w:footnoteReference w:id="11"/>
      </w:r>
      <w:r>
        <w:rPr>
          <w:rStyle w:val="FootnoteReference"/>
        </w:rPr>
        <w:t xml:space="preserve"> </w:t>
      </w:r>
      <w:r>
        <w:rPr>
          <w:rStyle w:val="FootnoteReference"/>
        </w:rPr>
        <w:footnoteReference w:id="12"/>
      </w:r>
      <w:r>
        <w:rPr>
          <w:rStyle w:val="FootnoteReference"/>
        </w:rPr>
        <w:t xml:space="preserve"> </w:t>
      </w:r>
      <w:r>
        <w:rPr>
          <w:rStyle w:val="FootnoteReference"/>
        </w:rPr>
        <w:footnoteReference w:id="13"/>
      </w:r>
    </w:p>
    <w:p w14:paraId="2F040274" w14:textId="2EDE9EA3" w:rsidR="00B53E30" w:rsidRDefault="00B53E30" w:rsidP="00947EB5">
      <w:hyperlink r:id="rId8" w:history="1">
        <w:r w:rsidRPr="00DB39E5">
          <w:rPr>
            <w:rStyle w:val="Hyperlink"/>
          </w:rPr>
          <w:t>https://www.janes.com/defence-intelligence-insights/defence-news/air/french-army-restructures-its-infantry-battalions</w:t>
        </w:r>
      </w:hyperlink>
    </w:p>
    <w:p w14:paraId="72C41B37" w14:textId="6777A466" w:rsidR="00B53E30" w:rsidRPr="00803FC3" w:rsidRDefault="00B53E30" w:rsidP="00947EB5">
      <w:r w:rsidRPr="00B53E30">
        <w:t>https://www.janes.com/defence-intelligence-insights/defence-news/weapons/italian-army-improves-infantry-equipment-restructures-units</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4"/>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5"/>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6156CECA" w14:textId="77777777" w:rsidR="00766DD3" w:rsidRDefault="00766DD3" w:rsidP="006E41D2"/>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w:t>
      </w:r>
      <w:r w:rsidR="00656D8B" w:rsidRPr="00656D8B">
        <w:lastRenderedPageBreak/>
        <w:t xml:space="preserve">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6"/>
      </w:r>
      <w:r w:rsidR="00C12DA0">
        <w:t xml:space="preserve"> </w:t>
      </w:r>
      <w:r w:rsidR="00C12DA0">
        <w:rPr>
          <w:rStyle w:val="FootnoteReference"/>
        </w:rPr>
        <w:footnoteReference w:id="17"/>
      </w:r>
    </w:p>
    <w:p w14:paraId="2C8ED009" w14:textId="77777777" w:rsidR="002C4F0D" w:rsidRDefault="00EE12B1" w:rsidP="002C4F0D">
      <w:pPr>
        <w:keepNext/>
      </w:pPr>
      <w:r w:rsidRPr="00EE12B1">
        <w:rPr>
          <w:noProof/>
        </w:rPr>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1715B290" w14:textId="2EF7D76E" w:rsidR="008E24F7" w:rsidRDefault="008E24F7" w:rsidP="00D539C9">
      <w:pPr>
        <w:pStyle w:val="NoSpacing"/>
      </w:pPr>
      <w:r w:rsidRPr="00262708">
        <w:t>The recommendations follow directly and cost little to begin. First, adopt the lance-corporal rank: dispersed sections need a commander in each</w:t>
      </w:r>
      <w:r>
        <w:t xml:space="preserve"> and</w:t>
      </w:r>
      <w:r w:rsidRPr="00262708">
        <w:t xml:space="preserve"> the rank structure must catch up to the tactics. Second, experiment properly rather than procure blindly</w:t>
      </w:r>
      <w:r>
        <w:t xml:space="preserve"> — </w:t>
      </w:r>
      <w:r w:rsidRPr="00262708">
        <w:lastRenderedPageBreak/>
        <w:t xml:space="preserve">stand up trial sections at fourteen and fifteen </w:t>
      </w:r>
      <w:r w:rsidRPr="00D539C9">
        <w:t>soldiers</w:t>
      </w:r>
      <w:r w:rsidR="00D539C9" w:rsidRPr="00D539C9">
        <w:t xml:space="preserve"> (</w:t>
      </w:r>
      <w:r w:rsidR="00D539C9" w:rsidRPr="00D539C9">
        <w:fldChar w:fldCharType="begin"/>
      </w:r>
      <w:r w:rsidR="00D539C9" w:rsidRPr="00D539C9">
        <w:instrText xml:space="preserve"> REF _Ref233060645 \h  \* MERGEFORMAT </w:instrText>
      </w:r>
      <w:r w:rsidR="00D539C9" w:rsidRPr="00D539C9">
        <w:fldChar w:fldCharType="separate"/>
      </w:r>
      <w:r w:rsidR="00D539C9" w:rsidRPr="00D539C9">
        <w:t>Figure 1</w:t>
      </w:r>
      <w:r w:rsidR="00D539C9" w:rsidRPr="00D539C9">
        <w:fldChar w:fldCharType="end"/>
      </w:r>
      <w:r w:rsidR="00D539C9" w:rsidRPr="00D539C9">
        <w:t>)</w:t>
      </w:r>
      <w:r w:rsidRPr="00D539C9">
        <w:t>, test them</w:t>
      </w:r>
      <w:r w:rsidRPr="00262708">
        <w:t xml:space="preserve"> against realistic drone threats</w:t>
      </w:r>
      <w:r>
        <w:t xml:space="preserve"> and</w:t>
      </w:r>
      <w:r w:rsidRPr="00262708">
        <w:t xml:space="preserve"> let the results, not assumption, settle the establishment</w:t>
      </w:r>
      <w:r w:rsidRPr="00D539C9">
        <w:t xml:space="preserve">. </w:t>
      </w:r>
      <w:r w:rsidRPr="00262708">
        <w:t>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t xml:space="preserve"> and</w:t>
      </w:r>
      <w:r w:rsidRPr="00262708">
        <w:t xml:space="preserve"> none waits on a procurement cycle. The first move is organisational, not financial</w:t>
      </w:r>
      <w:r>
        <w:t xml:space="preserve"> — </w:t>
      </w:r>
      <w:r w:rsidRPr="00262708">
        <w:t>which is precisely why the constraint that stalled Irish defence no longer holds.</w:t>
      </w:r>
    </w:p>
    <w:p w14:paraId="2A8DE71D" w14:textId="21BF1C2F" w:rsidR="00FD26A9" w:rsidRDefault="00D539C9" w:rsidP="00FD26A9">
      <w:pPr>
        <w:keepNext/>
        <w:jc w:val="center"/>
      </w:pPr>
      <w:r w:rsidRPr="00D539C9">
        <w:rPr>
          <w:noProof/>
        </w:rPr>
        <w:drawing>
          <wp:inline distT="0" distB="0" distL="0" distR="0" wp14:anchorId="3BA8F21E" wp14:editId="0F6E14AC">
            <wp:extent cx="2709073" cy="1655277"/>
            <wp:effectExtent l="0" t="0" r="0" b="2540"/>
            <wp:docPr id="194437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79885" name=""/>
                    <pic:cNvPicPr/>
                  </pic:nvPicPr>
                  <pic:blipFill>
                    <a:blip r:embed="rId10"/>
                    <a:stretch>
                      <a:fillRect/>
                    </a:stretch>
                  </pic:blipFill>
                  <pic:spPr>
                    <a:xfrm>
                      <a:off x="0" y="0"/>
                      <a:ext cx="2723776" cy="1664261"/>
                    </a:xfrm>
                    <a:prstGeom prst="rect">
                      <a:avLst/>
                    </a:prstGeom>
                  </pic:spPr>
                </pic:pic>
              </a:graphicData>
            </a:graphic>
          </wp:inline>
        </w:drawing>
      </w:r>
      <w:r w:rsidR="00FD26A9" w:rsidRPr="00FD26A9">
        <w:rPr>
          <w:noProof/>
        </w:rPr>
        <w:drawing>
          <wp:inline distT="0" distB="0" distL="0" distR="0" wp14:anchorId="5294252E" wp14:editId="7ABFAEE1">
            <wp:extent cx="2907102" cy="1736016"/>
            <wp:effectExtent l="0" t="0" r="7620" b="0"/>
            <wp:docPr id="198120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126" name=""/>
                    <pic:cNvPicPr/>
                  </pic:nvPicPr>
                  <pic:blipFill>
                    <a:blip r:embed="rId11"/>
                    <a:stretch>
                      <a:fillRect/>
                    </a:stretch>
                  </pic:blipFill>
                  <pic:spPr>
                    <a:xfrm>
                      <a:off x="0" y="0"/>
                      <a:ext cx="2918337" cy="1742725"/>
                    </a:xfrm>
                    <a:prstGeom prst="rect">
                      <a:avLst/>
                    </a:prstGeom>
                  </pic:spPr>
                </pic:pic>
              </a:graphicData>
            </a:graphic>
          </wp:inline>
        </w:drawing>
      </w:r>
    </w:p>
    <w:p w14:paraId="55D10960" w14:textId="61C0DAF9" w:rsidR="00FD26A9" w:rsidRPr="00FD26A9" w:rsidRDefault="00FD26A9" w:rsidP="00FD26A9">
      <w:pPr>
        <w:pStyle w:val="Caption"/>
        <w:jc w:val="center"/>
      </w:pPr>
      <w:bookmarkStart w:id="1" w:name="_Ref233060645"/>
      <w:r>
        <w:t xml:space="preserve">Figure </w:t>
      </w:r>
      <w:r>
        <w:fldChar w:fldCharType="begin"/>
      </w:r>
      <w:r>
        <w:instrText xml:space="preserve"> SEQ Figure \* ARABIC </w:instrText>
      </w:r>
      <w:r>
        <w:fldChar w:fldCharType="separate"/>
      </w:r>
      <w:r>
        <w:rPr>
          <w:noProof/>
        </w:rPr>
        <w:t>1</w:t>
      </w:r>
      <w:r>
        <w:rPr>
          <w:noProof/>
        </w:rPr>
        <w:fldChar w:fldCharType="end"/>
      </w:r>
      <w:bookmarkEnd w:id="1"/>
      <w:r>
        <w:t xml:space="preserve">. </w:t>
      </w:r>
      <w:r w:rsidRPr="00E1430B">
        <w:t xml:space="preserve"> </w:t>
      </w:r>
      <w:r w:rsidR="00AE6C88">
        <w:t>Fourteen and f</w:t>
      </w:r>
      <w:r w:rsidRPr="00E1430B">
        <w:t>ifteen-soldier section</w:t>
      </w:r>
      <w:r w:rsidR="001C70DF">
        <w:t>s</w:t>
      </w:r>
      <w:r w:rsidRPr="00E1430B">
        <w:t xml:space="preserve"> with organic FPVD, support detachment and separate commander</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1B71B" w14:textId="77777777" w:rsidR="00E75F84" w:rsidRDefault="00E75F84" w:rsidP="008F41DA">
      <w:pPr>
        <w:spacing w:after="0" w:line="240" w:lineRule="auto"/>
      </w:pPr>
      <w:r>
        <w:separator/>
      </w:r>
    </w:p>
  </w:endnote>
  <w:endnote w:type="continuationSeparator" w:id="0">
    <w:p w14:paraId="5D484530" w14:textId="77777777" w:rsidR="00E75F84" w:rsidRDefault="00E75F8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3787D" w14:textId="77777777" w:rsidR="00E75F84" w:rsidRDefault="00E75F84" w:rsidP="008F41DA">
      <w:pPr>
        <w:spacing w:after="0" w:line="240" w:lineRule="auto"/>
      </w:pPr>
      <w:r>
        <w:separator/>
      </w:r>
    </w:p>
  </w:footnote>
  <w:footnote w:type="continuationSeparator" w:id="0">
    <w:p w14:paraId="148D2D95" w14:textId="77777777" w:rsidR="00E75F84" w:rsidRDefault="00E75F84"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77BF9B15" w14:textId="467DCECF" w:rsidR="00EC7C68" w:rsidRDefault="00EC7C68">
      <w:pPr>
        <w:pStyle w:val="FootnoteText"/>
      </w:pPr>
      <w:r>
        <w:rPr>
          <w:rStyle w:val="FootnoteReference"/>
        </w:rPr>
        <w:footnoteRef/>
      </w:r>
      <w:r>
        <w:t xml:space="preserve"> </w:t>
      </w:r>
      <w:r w:rsidRPr="00EC7C68">
        <w:t xml:space="preserve">Spencer, J. </w:t>
      </w:r>
      <w:r w:rsidRPr="00EC7C68">
        <w:rPr>
          <w:i/>
          <w:iCs/>
        </w:rPr>
        <w:t>Creating a Unit Optimized for Urban Warfare</w:t>
      </w:r>
      <w:r w:rsidRPr="00EC7C68">
        <w:t xml:space="preserve">. </w:t>
      </w:r>
      <w:r w:rsidRPr="00EC7C68">
        <w:rPr>
          <w:i/>
          <w:iCs/>
        </w:rPr>
        <w:t>Modern War Institute at West Point</w:t>
      </w:r>
      <w:r w:rsidRPr="00EC7C68">
        <w:t xml:space="preserve">, 18 August 2023. Available at: </w:t>
      </w:r>
      <w:hyperlink r:id="rId5" w:history="1">
        <w:r w:rsidRPr="00EC7C68">
          <w:rPr>
            <w:rStyle w:val="Hyperlink"/>
          </w:rPr>
          <w:t>https://mwi.westpoint.edu/creating-a-unit-optimized-for-urban-warfare/</w:t>
        </w:r>
      </w:hyperlink>
      <w:r w:rsidRPr="00EC7C68">
        <w:t xml:space="preserve"> (accessed 22 June 2026).</w:t>
      </w:r>
    </w:p>
  </w:footnote>
  <w:footnote w:id="11">
    <w:p w14:paraId="33B38925" w14:textId="77777777" w:rsidR="003C060B" w:rsidRDefault="003C060B" w:rsidP="003C060B">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6" w:tgtFrame="_new" w:history="1">
        <w:r w:rsidRPr="002405F1">
          <w:rPr>
            <w:rStyle w:val="Hyperlink"/>
          </w:rPr>
          <w:t>https://www.defense.gouv.fr/terre/actualites/gevaudan-26-legionnaires-au-combat</w:t>
        </w:r>
      </w:hyperlink>
      <w:r w:rsidRPr="002405F1">
        <w:t xml:space="preserve"> (accessed 1 April 2026).</w:t>
      </w:r>
    </w:p>
  </w:footnote>
  <w:footnote w:id="12">
    <w:p w14:paraId="53DBF4BD" w14:textId="77777777" w:rsidR="003C060B" w:rsidRDefault="003C060B" w:rsidP="003C060B">
      <w:pPr>
        <w:pStyle w:val="FootnoteText"/>
      </w:pPr>
      <w:r>
        <w:rPr>
          <w:rStyle w:val="FootnoteReference"/>
        </w:rPr>
        <w:footnoteRef/>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7" w:tgtFrame="_new" w:history="1">
        <w:r w:rsidRPr="002405F1">
          <w:rPr>
            <w:rStyle w:val="Hyperlink"/>
          </w:rPr>
          <w:t>https://www.youtube.com/watch?v=fkE1H-jy3NE</w:t>
        </w:r>
      </w:hyperlink>
      <w:r w:rsidRPr="002405F1">
        <w:t xml:space="preserve"> (accessed 1 April 2026).</w:t>
      </w:r>
    </w:p>
  </w:footnote>
  <w:footnote w:id="13">
    <w:p w14:paraId="03059764" w14:textId="77777777" w:rsidR="003C060B" w:rsidRDefault="003C060B" w:rsidP="003C060B">
      <w:pPr>
        <w:pStyle w:val="FootnoteText"/>
      </w:pPr>
      <w:r>
        <w:rPr>
          <w:rStyle w:val="FootnoteReference"/>
        </w:rPr>
        <w:footnoteRef/>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8" w:tgtFrame="_new" w:history="1">
        <w:r w:rsidRPr="002405F1">
          <w:rPr>
            <w:rStyle w:val="Hyperlink"/>
          </w:rPr>
          <w:t>https://www.wsj.com/opinion/nato-has-seen-the-future-and-is-unprepared-887eaf0f</w:t>
        </w:r>
      </w:hyperlink>
      <w:r w:rsidRPr="002405F1">
        <w:t xml:space="preserve"> (accessed 13 February 2026).</w:t>
      </w:r>
    </w:p>
  </w:footnote>
  <w:footnote w:id="14">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5">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9" w:tgtFrame="_new" w:history="1">
        <w:r w:rsidRPr="009F3487">
          <w:rPr>
            <w:rStyle w:val="Hyperlink"/>
          </w:rPr>
          <w:t>https://www.jstor.org/stable/2538780</w:t>
        </w:r>
      </w:hyperlink>
      <w:r w:rsidRPr="009F3487">
        <w:t xml:space="preserve"> (accessed 29 March 2025).</w:t>
      </w:r>
    </w:p>
  </w:footnote>
  <w:footnote w:id="16">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7">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0"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D0016"/>
    <w:rsid w:val="001E7AE7"/>
    <w:rsid w:val="00211892"/>
    <w:rsid w:val="00220651"/>
    <w:rsid w:val="0022693E"/>
    <w:rsid w:val="00230C29"/>
    <w:rsid w:val="00232127"/>
    <w:rsid w:val="002405F1"/>
    <w:rsid w:val="00240A82"/>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24F7"/>
    <w:rsid w:val="008E628C"/>
    <w:rsid w:val="008F1E30"/>
    <w:rsid w:val="008F41DA"/>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432B4"/>
    <w:rsid w:val="00A50E13"/>
    <w:rsid w:val="00A71BE2"/>
    <w:rsid w:val="00A82B6C"/>
    <w:rsid w:val="00AB0ACD"/>
    <w:rsid w:val="00AC6223"/>
    <w:rsid w:val="00AC7624"/>
    <w:rsid w:val="00AE6C88"/>
    <w:rsid w:val="00AF0C93"/>
    <w:rsid w:val="00B05986"/>
    <w:rsid w:val="00B2402D"/>
    <w:rsid w:val="00B46909"/>
    <w:rsid w:val="00B53E30"/>
    <w:rsid w:val="00B62BAA"/>
    <w:rsid w:val="00B8094F"/>
    <w:rsid w:val="00B85AC3"/>
    <w:rsid w:val="00B93E1B"/>
    <w:rsid w:val="00B94448"/>
    <w:rsid w:val="00BB2886"/>
    <w:rsid w:val="00BB3343"/>
    <w:rsid w:val="00BB3526"/>
    <w:rsid w:val="00BC252E"/>
    <w:rsid w:val="00BC4646"/>
    <w:rsid w:val="00BE2246"/>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75F84"/>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79A6"/>
    <w:rsid w:val="00F97F87"/>
    <w:rsid w:val="00FA2700"/>
    <w:rsid w:val="00FA51DA"/>
    <w:rsid w:val="00FA5A9C"/>
    <w:rsid w:val="00FB05F1"/>
    <w:rsid w:val="00FD26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wsj.com/opinion/nato-has-seen-the-future-and-is-unprepared-887eaf0f"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youtube.com/watch?v=fkE1H-jy3NE"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www.defense.gouv.fr/terre/actualites/gevaudan-26-legionnaires-au-combat" TargetMode="External"/><Relationship Id="rId5" Type="http://schemas.openxmlformats.org/officeDocument/2006/relationships/hyperlink" Target="https://mwi.westpoint.edu/creating-a-unit-optimized-for-urban-warfare/" TargetMode="External"/><Relationship Id="rId10" Type="http://schemas.openxmlformats.org/officeDocument/2006/relationships/hyperlink" Target="https://static.rusi.org/mass-precision-strike-final.pdf"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jstor.org/stable/25387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2013</Words>
  <Characters>11476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2026-06-23T08:55:00Z</dcterms:created>
  <dcterms:modified xsi:type="dcterms:W3CDTF">2026-06-23T08:55:00Z</dcterms:modified>
</cp:coreProperties>
</file>