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CD0D1" w14:textId="4BF6F284" w:rsidR="00D72570" w:rsidRDefault="00D72570" w:rsidP="00D72570">
      <w:pPr>
        <w:pStyle w:val="Heading2"/>
      </w:pPr>
      <w:r>
        <w:t>Abstract</w:t>
      </w:r>
      <w:r w:rsidR="00CB1328">
        <w:t xml:space="preserve"> (OB: I changed it because I only want to draw from chapter 3 in the thesis)</w:t>
      </w:r>
    </w:p>
    <w:p w14:paraId="31AFE4D7" w14:textId="6AA97F1F" w:rsidR="00AF0C93" w:rsidRPr="00AF0C93" w:rsidRDefault="00AF0C93" w:rsidP="00AF0C93">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 xml:space="preserve">Pervasive uncrewed systems have altered the cost structure of small-state deterrence. Low-cost </w:t>
      </w:r>
      <w:proofErr w:type="spellStart"/>
      <w:r w:rsidRPr="00AF0C93">
        <w:rPr>
          <w:rFonts w:asciiTheme="minorHAnsi" w:eastAsiaTheme="minorHAnsi" w:hAnsiTheme="minorHAnsi" w:cstheme="minorBidi"/>
          <w:color w:val="auto"/>
          <w:sz w:val="24"/>
          <w:szCs w:val="24"/>
        </w:rPr>
        <w:t>UxS</w:t>
      </w:r>
      <w:proofErr w:type="spellEnd"/>
      <w:r w:rsidRPr="00AF0C93">
        <w:rPr>
          <w:rFonts w:asciiTheme="minorHAnsi" w:eastAsiaTheme="minorHAnsi" w:hAnsiTheme="minorHAnsi" w:cstheme="minorBidi"/>
          <w:color w:val="auto"/>
          <w:sz w:val="24"/>
          <w:szCs w:val="24"/>
        </w:rPr>
        <w:t xml:space="preserve"> lower the cost of reconnaissance, precision strike and sustainment, shifting relative combat power toward a resource-constrained defender and creating asymmetric cost-imposition opportunities far cheaper than traditional platforms; the Javelin-to-FPV cost ratio runs between 1:54 and 1:144 by range. For Ireland</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an island state that has consistently declined to fund conventional mass</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 xml:space="preserve">this reframes a long-standing assumption: that credible territorial defence is financially unreachable. </w:t>
      </w:r>
    </w:p>
    <w:p w14:paraId="34E3ED01" w14:textId="43F35490" w:rsidR="00917666" w:rsidRDefault="00AF0C93" w:rsidP="00AF0C93">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The article argues that capability becomes deterrence only when four conditions hold together: it must be politically owned, credibly fielded, institutionally sustained and clearly communicated. It develops the first two</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 xml:space="preserve">the political ownership Ireland's policy void </w:t>
      </w:r>
      <w:proofErr w:type="gramStart"/>
      <w:r w:rsidRPr="00AF0C93">
        <w:rPr>
          <w:rFonts w:asciiTheme="minorHAnsi" w:eastAsiaTheme="minorHAnsi" w:hAnsiTheme="minorHAnsi" w:cstheme="minorBidi"/>
          <w:color w:val="auto"/>
          <w:sz w:val="24"/>
          <w:szCs w:val="24"/>
        </w:rPr>
        <w:t>withholds</w:t>
      </w:r>
      <w:proofErr w:type="gramEnd"/>
      <w:r w:rsidR="00262708">
        <w:rPr>
          <w:rFonts w:asciiTheme="minorHAnsi" w:eastAsiaTheme="minorHAnsi" w:hAnsiTheme="minorHAnsi" w:cstheme="minorBidi"/>
          <w:color w:val="auto"/>
          <w:sz w:val="24"/>
          <w:szCs w:val="24"/>
        </w:rPr>
        <w:t xml:space="preserve"> and</w:t>
      </w:r>
      <w:r w:rsidRPr="00AF0C93">
        <w:rPr>
          <w:rFonts w:asciiTheme="minorHAnsi" w:eastAsiaTheme="minorHAnsi" w:hAnsiTheme="minorHAnsi" w:cstheme="minorBidi"/>
          <w:color w:val="auto"/>
          <w:sz w:val="24"/>
          <w:szCs w:val="24"/>
        </w:rPr>
        <w:t xml:space="preserve"> the force redesign credible fielding demands at section level, where organic ISR, CUAS and IEDD turn the section into a micro-combined-arms unit. </w:t>
      </w:r>
    </w:p>
    <w:p w14:paraId="166316EB" w14:textId="40411996" w:rsidR="00AF0C93" w:rsidRDefault="00AF0C93" w:rsidP="00AF0C93">
      <w:pPr>
        <w:pStyle w:val="Heading2"/>
        <w:rPr>
          <w:rFonts w:asciiTheme="minorHAnsi" w:eastAsiaTheme="minorHAnsi" w:hAnsiTheme="minorHAnsi" w:cstheme="minorBidi"/>
          <w:color w:val="auto"/>
          <w:sz w:val="24"/>
          <w:szCs w:val="24"/>
        </w:rPr>
      </w:pPr>
      <w:r w:rsidRPr="00A04CA9">
        <w:rPr>
          <w:rFonts w:asciiTheme="minorHAnsi" w:eastAsiaTheme="minorHAnsi" w:hAnsiTheme="minorHAnsi" w:cstheme="minorBidi"/>
          <w:color w:val="auto"/>
          <w:sz w:val="24"/>
          <w:szCs w:val="24"/>
        </w:rPr>
        <w:t>These adaptations are feasible within Ireland's existing professional force structure, but they demand deliberate choices about doctrine, mission command and training realism</w:t>
      </w:r>
      <w:r w:rsidR="00262708">
        <w:rPr>
          <w:rFonts w:asciiTheme="minorHAnsi" w:eastAsiaTheme="minorHAnsi" w:hAnsiTheme="minorHAnsi" w:cstheme="minorBidi"/>
          <w:color w:val="auto"/>
          <w:sz w:val="24"/>
          <w:szCs w:val="24"/>
        </w:rPr>
        <w:t xml:space="preserve"> and</w:t>
      </w:r>
      <w:r w:rsidRPr="00A04CA9">
        <w:rPr>
          <w:rFonts w:asciiTheme="minorHAnsi" w:eastAsiaTheme="minorHAnsi" w:hAnsiTheme="minorHAnsi" w:cstheme="minorBidi"/>
          <w:color w:val="auto"/>
          <w:sz w:val="24"/>
          <w:szCs w:val="24"/>
        </w:rPr>
        <w:t xml:space="preserve"> they expose the acceptable limits of a drone-centric posture. The article then establishes institutional sustainment and clear communication as the conditions on which the posture's resilience</w:t>
      </w:r>
      <w:r w:rsidR="00633BB8">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and its compatibility with Irish neutrality</w:t>
      </w:r>
      <w:r w:rsidR="00633BB8">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depend. The result is a credible basis for denial against a larger adversary without mass or heavy armour, provided the Defence Forces accept the cultural and doctrinal shifts persistent ISR implies. Written for a practitioner audience, it offers concrete recommendations for Irish force-design and defence-policy choices.</w:t>
      </w:r>
    </w:p>
    <w:p w14:paraId="6BF5F6E2" w14:textId="1E7FDF65" w:rsidR="00A04CA9" w:rsidRPr="00A04CA9" w:rsidRDefault="00A04CA9" w:rsidP="00A04CA9">
      <w:r w:rsidRPr="00A04CA9">
        <w:rPr>
          <w:highlight w:val="yellow"/>
        </w:rPr>
        <w:t xml:space="preserve">OB: the abstract is only draft… let’s see where your stuff brings us. It would be best if it jumps from </w:t>
      </w:r>
      <w:proofErr w:type="gramStart"/>
      <w:r w:rsidRPr="00A04CA9">
        <w:rPr>
          <w:highlight w:val="yellow"/>
        </w:rPr>
        <w:t>mine..</w:t>
      </w:r>
      <w:proofErr w:type="gramEnd"/>
      <w:r w:rsidRPr="00A04CA9">
        <w:rPr>
          <w:highlight w:val="yellow"/>
        </w:rPr>
        <w:t xml:space="preserve"> I’ve had AI do a draft based on my ideas. YOU ARE FREE TO GO WHERE YOU WANT!</w:t>
      </w:r>
    </w:p>
    <w:p w14:paraId="77B06FF6" w14:textId="77777777" w:rsidR="000B39F2" w:rsidRDefault="000B39F2">
      <w:pPr>
        <w:rPr>
          <w:rFonts w:asciiTheme="majorHAnsi" w:eastAsiaTheme="majorEastAsia" w:hAnsiTheme="majorHAnsi" w:cstheme="majorBidi"/>
          <w:color w:val="0F4761" w:themeColor="accent1" w:themeShade="BF"/>
          <w:sz w:val="32"/>
          <w:szCs w:val="32"/>
        </w:rPr>
      </w:pPr>
      <w:r>
        <w:br w:type="page"/>
      </w:r>
    </w:p>
    <w:p w14:paraId="3700E244" w14:textId="5367EE41" w:rsidR="00D72570" w:rsidRDefault="00126E0F" w:rsidP="00AF0C93">
      <w:pPr>
        <w:pStyle w:val="Heading2"/>
      </w:pPr>
      <w:r>
        <w:lastRenderedPageBreak/>
        <w:t xml:space="preserve">ADAM </w:t>
      </w:r>
      <w:r w:rsidR="00C50339">
        <w:t>1</w:t>
      </w:r>
      <w:r w:rsidR="007E6648">
        <w:t>576</w:t>
      </w:r>
      <w:r w:rsidR="00C50339">
        <w:t xml:space="preserve"> WORDS</w:t>
      </w:r>
    </w:p>
    <w:p w14:paraId="3EB2AB7E" w14:textId="77777777" w:rsidR="00947EB5" w:rsidRPr="00262708" w:rsidRDefault="00947EB5" w:rsidP="00947EB5">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Land warfare now turns on a single question: who is observed, when</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how fast that observation becomes fire. Cheap sensors and democratised precision strike have compressed the interval between being seen and being hit to seconds</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that compression has changed what movement costs. To move is to generate signature</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across space, where a force can be seen; across time, since the longer it is exposed the more targetable it grows; and across the electromagnetic spectrum, where every emission betrays position. Manoeuvre has not been abolished, but its price has risen sharply. It survives only where sensing, concealment, electronic warfare and fires are sequenced to buy a temporary window. Exposure has therefore displaced terrain as the variable around which tactical action organises: the first question is no longer where to move, but whether movement can be afforded at all.</w:t>
      </w:r>
    </w:p>
    <w:p w14:paraId="6769E7F3" w14:textId="77777777" w:rsidR="00947EB5" w:rsidRDefault="00947EB5" w:rsidP="00947EB5">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Ireland has no national security strategy and no settled defence policy; the Defence Policy Review</w:t>
      </w:r>
      <w:r>
        <w:rPr>
          <w:rStyle w:val="FootnoteReference"/>
          <w:rFonts w:asciiTheme="minorHAnsi" w:eastAsiaTheme="minorHAnsi" w:hAnsiTheme="minorHAnsi" w:cstheme="minorBidi"/>
          <w:color w:val="auto"/>
          <w:sz w:val="24"/>
          <w:szCs w:val="24"/>
        </w:rPr>
        <w:footnoteReference w:id="1"/>
      </w:r>
      <w:r w:rsidRPr="00262708">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updates the White Paper</w:t>
      </w:r>
      <w:r>
        <w:rPr>
          <w:rStyle w:val="FootnoteReference"/>
          <w:rFonts w:asciiTheme="minorHAnsi" w:eastAsiaTheme="minorHAnsi" w:hAnsiTheme="minorHAnsi" w:cstheme="minorBidi"/>
          <w:color w:val="auto"/>
          <w:sz w:val="24"/>
          <w:szCs w:val="24"/>
        </w:rPr>
        <w:footnoteReference w:id="2"/>
      </w:r>
      <w:r>
        <w:rPr>
          <w:rFonts w:asciiTheme="minorHAnsi" w:eastAsiaTheme="minorHAnsi" w:hAnsiTheme="minorHAnsi" w:cstheme="minorBidi"/>
          <w:color w:val="auto"/>
          <w:sz w:val="24"/>
          <w:szCs w:val="24"/>
        </w:rPr>
        <w:t>, constituting</w:t>
      </w:r>
      <w:r w:rsidRPr="00262708">
        <w:rPr>
          <w:rFonts w:asciiTheme="minorHAnsi" w:eastAsiaTheme="minorHAnsi" w:hAnsiTheme="minorHAnsi" w:cstheme="minorBidi"/>
          <w:color w:val="auto"/>
          <w:sz w:val="24"/>
          <w:szCs w:val="24"/>
        </w:rPr>
        <w:t xml:space="preserve"> a de facto substitute</w:t>
      </w:r>
      <w:r>
        <w:rPr>
          <w:rFonts w:asciiTheme="minorHAnsi" w:eastAsiaTheme="minorHAnsi" w:hAnsiTheme="minorHAnsi" w:cstheme="minorBidi"/>
          <w:color w:val="auto"/>
          <w:sz w:val="24"/>
          <w:szCs w:val="24"/>
        </w:rPr>
        <w:t>. The military is tasked “</w:t>
      </w:r>
      <w:r w:rsidRPr="000E53A4">
        <w:rPr>
          <w:rFonts w:asciiTheme="minorHAnsi" w:eastAsiaTheme="minorHAnsi" w:hAnsiTheme="minorHAnsi" w:cstheme="minorBidi"/>
          <w:color w:val="auto"/>
          <w:sz w:val="24"/>
          <w:szCs w:val="24"/>
        </w:rPr>
        <w:t>To provide for the military Defence of the</w:t>
      </w:r>
      <w:r>
        <w:rPr>
          <w:rFonts w:asciiTheme="minorHAnsi" w:eastAsiaTheme="minorHAnsi" w:hAnsiTheme="minorHAnsi" w:cstheme="minorBidi"/>
          <w:color w:val="auto"/>
          <w:sz w:val="24"/>
          <w:szCs w:val="24"/>
        </w:rPr>
        <w:t xml:space="preserve"> </w:t>
      </w:r>
      <w:r w:rsidRPr="000E53A4">
        <w:rPr>
          <w:rFonts w:asciiTheme="minorHAnsi" w:eastAsiaTheme="minorHAnsi" w:hAnsiTheme="minorHAnsi" w:cstheme="minorBidi"/>
          <w:color w:val="auto"/>
          <w:sz w:val="24"/>
          <w:szCs w:val="24"/>
        </w:rPr>
        <w:t>State from armed aggression</w:t>
      </w:r>
      <w:r>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While m</w:t>
      </w:r>
      <w:r w:rsidRPr="00262708">
        <w:rPr>
          <w:rFonts w:asciiTheme="minorHAnsi" w:eastAsiaTheme="minorHAnsi" w:hAnsiTheme="minorHAnsi" w:cstheme="minorBidi"/>
          <w:color w:val="auto"/>
          <w:sz w:val="24"/>
          <w:szCs w:val="24"/>
        </w:rPr>
        <w:t xml:space="preserve">ilitary </w:t>
      </w:r>
      <w:r>
        <w:rPr>
          <w:rFonts w:asciiTheme="minorHAnsi" w:eastAsiaTheme="minorHAnsi" w:hAnsiTheme="minorHAnsi" w:cstheme="minorBidi"/>
          <w:color w:val="auto"/>
          <w:sz w:val="24"/>
          <w:szCs w:val="24"/>
        </w:rPr>
        <w:t>strategy and operations</w:t>
      </w:r>
      <w:r w:rsidRPr="00262708">
        <w:rPr>
          <w:rFonts w:asciiTheme="minorHAnsi" w:eastAsiaTheme="minorHAnsi" w:hAnsiTheme="minorHAnsi" w:cstheme="minorBidi"/>
          <w:color w:val="auto"/>
          <w:sz w:val="24"/>
          <w:szCs w:val="24"/>
        </w:rPr>
        <w:t xml:space="preserve"> can organise effort</w:t>
      </w:r>
      <w:r>
        <w:rPr>
          <w:rFonts w:asciiTheme="minorHAnsi" w:eastAsiaTheme="minorHAnsi" w:hAnsiTheme="minorHAnsi" w:cstheme="minorBidi"/>
          <w:color w:val="auto"/>
          <w:sz w:val="24"/>
          <w:szCs w:val="24"/>
        </w:rPr>
        <w:t>, policy directs</w:t>
      </w:r>
      <w:r w:rsidRPr="00262708">
        <w:rPr>
          <w:rFonts w:asciiTheme="minorHAnsi" w:eastAsiaTheme="minorHAnsi" w:hAnsiTheme="minorHAnsi" w:cstheme="minorBidi"/>
          <w:color w:val="auto"/>
          <w:sz w:val="24"/>
          <w:szCs w:val="24"/>
        </w:rPr>
        <w:t xml:space="preserve">. In that vacuum, force design drifts toward continuity. </w:t>
      </w:r>
      <w:r>
        <w:rPr>
          <w:rFonts w:asciiTheme="minorHAnsi" w:eastAsiaTheme="minorHAnsi" w:hAnsiTheme="minorHAnsi" w:cstheme="minorBidi"/>
          <w:color w:val="auto"/>
          <w:sz w:val="24"/>
          <w:szCs w:val="24"/>
        </w:rPr>
        <w:t>T</w:t>
      </w:r>
      <w:r w:rsidRPr="00CA53E2">
        <w:rPr>
          <w:rFonts w:asciiTheme="minorHAnsi" w:eastAsiaTheme="minorHAnsi" w:hAnsiTheme="minorHAnsi" w:cstheme="minorBidi"/>
          <w:color w:val="auto"/>
          <w:sz w:val="24"/>
          <w:szCs w:val="24"/>
        </w:rPr>
        <w:t xml:space="preserve">erritorial defence is no longer implausible </w:t>
      </w:r>
      <w:r>
        <w:rPr>
          <w:rFonts w:asciiTheme="minorHAnsi" w:eastAsiaTheme="minorHAnsi" w:hAnsiTheme="minorHAnsi" w:cstheme="minorBidi"/>
          <w:color w:val="auto"/>
          <w:sz w:val="24"/>
          <w:szCs w:val="24"/>
        </w:rPr>
        <w:t>—</w:t>
      </w:r>
      <w:r w:rsidRPr="00CA53E2">
        <w:rPr>
          <w:rFonts w:asciiTheme="minorHAnsi" w:eastAsiaTheme="minorHAnsi" w:hAnsiTheme="minorHAnsi" w:cstheme="minorBidi"/>
          <w:color w:val="auto"/>
          <w:sz w:val="24"/>
          <w:szCs w:val="24"/>
        </w:rPr>
        <w:t xml:space="preserve"> it is politically constrained, under-resourced and increasingly likely.</w:t>
      </w:r>
      <w:r>
        <w:rPr>
          <w:rFonts w:asciiTheme="minorHAnsi" w:eastAsiaTheme="minorHAnsi" w:hAnsiTheme="minorHAnsi" w:cstheme="minorBidi"/>
          <w:color w:val="auto"/>
          <w:sz w:val="24"/>
          <w:szCs w:val="24"/>
        </w:rPr>
        <w:t xml:space="preserve"> Recent</w:t>
      </w:r>
      <w:r w:rsidRPr="00B46909">
        <w:rPr>
          <w:rFonts w:asciiTheme="minorHAnsi" w:eastAsiaTheme="minorHAnsi" w:hAnsiTheme="minorHAnsi" w:cstheme="minorBidi"/>
          <w:color w:val="auto"/>
          <w:sz w:val="24"/>
          <w:szCs w:val="24"/>
        </w:rPr>
        <w:t xml:space="preserve"> developments</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 xml:space="preserve">among Western states </w:t>
      </w:r>
      <w:r>
        <w:rPr>
          <w:rFonts w:asciiTheme="minorHAnsi" w:eastAsiaTheme="minorHAnsi" w:hAnsiTheme="minorHAnsi" w:cstheme="minorBidi"/>
          <w:color w:val="auto"/>
          <w:sz w:val="24"/>
          <w:szCs w:val="24"/>
        </w:rPr>
        <w:t>—</w:t>
      </w:r>
      <w:r w:rsidRPr="00B46909">
        <w:rPr>
          <w:rFonts w:asciiTheme="minorHAnsi" w:eastAsiaTheme="minorHAnsi" w:hAnsiTheme="minorHAnsi" w:cstheme="minorBidi"/>
          <w:color w:val="auto"/>
          <w:sz w:val="24"/>
          <w:szCs w:val="24"/>
        </w:rPr>
        <w:t xml:space="preserve"> most notably the United States’ assertions regarding</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Greenland</w:t>
      </w:r>
      <w:r>
        <w:rPr>
          <w:rStyle w:val="FootnoteReference"/>
          <w:rFonts w:asciiTheme="minorHAnsi" w:eastAsiaTheme="minorHAnsi" w:hAnsiTheme="minorHAnsi" w:cstheme="minorBidi"/>
          <w:color w:val="auto"/>
          <w:sz w:val="24"/>
          <w:szCs w:val="24"/>
        </w:rPr>
        <w:footnoteReference w:id="3"/>
      </w:r>
      <w:r w:rsidRPr="00B46909">
        <w:rPr>
          <w:rFonts w:asciiTheme="minorHAnsi" w:eastAsiaTheme="minorHAnsi" w:hAnsiTheme="minorHAnsi" w:cstheme="minorBidi"/>
          <w:color w:val="auto"/>
          <w:sz w:val="24"/>
          <w:szCs w:val="24"/>
        </w:rPr>
        <w:t xml:space="preserve"> and Denmark’s response</w:t>
      </w:r>
      <w:r>
        <w:rPr>
          <w:rStyle w:val="FootnoteReference"/>
          <w:rFonts w:asciiTheme="minorHAnsi" w:eastAsiaTheme="minorHAnsi" w:hAnsiTheme="minorHAnsi" w:cstheme="minorBidi"/>
          <w:color w:val="auto"/>
          <w:sz w:val="24"/>
          <w:szCs w:val="24"/>
        </w:rPr>
        <w:footnoteReference w:id="4"/>
      </w:r>
      <w:r w:rsidRPr="00B46909">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w:t>
      </w:r>
      <w:r w:rsidRPr="00B46909">
        <w:rPr>
          <w:rFonts w:asciiTheme="minorHAnsi" w:eastAsiaTheme="minorHAnsi" w:hAnsiTheme="minorHAnsi" w:cstheme="minorBidi"/>
          <w:color w:val="auto"/>
          <w:sz w:val="24"/>
          <w:szCs w:val="24"/>
        </w:rPr>
        <w:t xml:space="preserve"> demonstrate that scenarios once considered unlikely can rapidly</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 xml:space="preserve">acquire </w:t>
      </w:r>
      <w:r>
        <w:rPr>
          <w:rFonts w:asciiTheme="minorHAnsi" w:eastAsiaTheme="minorHAnsi" w:hAnsiTheme="minorHAnsi" w:cstheme="minorBidi"/>
          <w:color w:val="auto"/>
          <w:sz w:val="24"/>
          <w:szCs w:val="24"/>
        </w:rPr>
        <w:t>s</w:t>
      </w:r>
      <w:r w:rsidRPr="00B46909">
        <w:rPr>
          <w:rFonts w:asciiTheme="minorHAnsi" w:eastAsiaTheme="minorHAnsi" w:hAnsiTheme="minorHAnsi" w:cstheme="minorBidi"/>
          <w:color w:val="auto"/>
          <w:sz w:val="24"/>
          <w:szCs w:val="24"/>
        </w:rPr>
        <w:t>trategic salience. The perception of threat is an unreliable indicator for future</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 xml:space="preserve">conflict. Failure to internalise the implications of </w:t>
      </w:r>
      <w:proofErr w:type="spellStart"/>
      <w:r w:rsidRPr="00B46909">
        <w:rPr>
          <w:rFonts w:asciiTheme="minorHAnsi" w:eastAsiaTheme="minorHAnsi" w:hAnsiTheme="minorHAnsi" w:cstheme="minorBidi"/>
          <w:color w:val="auto"/>
          <w:sz w:val="24"/>
          <w:szCs w:val="24"/>
        </w:rPr>
        <w:t>UxS</w:t>
      </w:r>
      <w:proofErr w:type="spellEnd"/>
      <w:r w:rsidRPr="00B46909">
        <w:rPr>
          <w:rFonts w:asciiTheme="minorHAnsi" w:eastAsiaTheme="minorHAnsi" w:hAnsiTheme="minorHAnsi" w:cstheme="minorBidi"/>
          <w:color w:val="auto"/>
          <w:sz w:val="24"/>
          <w:szCs w:val="24"/>
        </w:rPr>
        <w:t xml:space="preserve"> risks entrenching a force posture</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optimised for conditions which no longer exist</w:t>
      </w:r>
      <w:r>
        <w:rPr>
          <w:rFonts w:asciiTheme="minorHAnsi" w:eastAsiaTheme="minorHAnsi" w:hAnsiTheme="minorHAnsi" w:cstheme="minorBidi"/>
          <w:color w:val="auto"/>
          <w:sz w:val="24"/>
          <w:szCs w:val="24"/>
        </w:rPr>
        <w:t>,</w:t>
      </w:r>
      <w:r w:rsidRPr="00B46909">
        <w:rPr>
          <w:rFonts w:asciiTheme="minorHAnsi" w:eastAsiaTheme="minorHAnsi" w:hAnsiTheme="minorHAnsi" w:cstheme="minorBidi"/>
          <w:color w:val="auto"/>
          <w:sz w:val="24"/>
          <w:szCs w:val="24"/>
        </w:rPr>
        <w:t xml:space="preserve"> allowing force design decisions to prioritise</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continuity over adaptation and without articulating a theory of victory.</w:t>
      </w:r>
      <w:r>
        <w:rPr>
          <w:rFonts w:asciiTheme="minorHAnsi" w:eastAsiaTheme="minorHAnsi" w:hAnsiTheme="minorHAnsi" w:cstheme="minorBidi"/>
          <w:color w:val="auto"/>
          <w:sz w:val="24"/>
          <w:szCs w:val="24"/>
        </w:rPr>
        <w:t xml:space="preserve"> [</w:t>
      </w:r>
      <w:r w:rsidRPr="0071161B">
        <w:rPr>
          <w:rFonts w:asciiTheme="minorHAnsi" w:eastAsiaTheme="minorHAnsi" w:hAnsiTheme="minorHAnsi" w:cstheme="minorBidi"/>
          <w:color w:val="auto"/>
          <w:sz w:val="24"/>
          <w:szCs w:val="24"/>
          <w:highlight w:val="yellow"/>
        </w:rPr>
        <w:t>OB: please proof the ideas here, they’re still in draft though</w:t>
      </w:r>
      <w:r>
        <w:rPr>
          <w:rFonts w:asciiTheme="minorHAnsi" w:eastAsiaTheme="minorHAnsi" w:hAnsiTheme="minorHAnsi" w:cstheme="minorBidi"/>
          <w:color w:val="auto"/>
          <w:sz w:val="24"/>
          <w:szCs w:val="24"/>
        </w:rPr>
        <w:t>]</w:t>
      </w:r>
    </w:p>
    <w:p w14:paraId="38021E4B" w14:textId="77777777" w:rsidR="00CC44E2" w:rsidRDefault="00CC44E2">
      <w:r>
        <w:br w:type="page"/>
      </w:r>
    </w:p>
    <w:p w14:paraId="4A80005F" w14:textId="64414BB4" w:rsidR="00947EB5" w:rsidRPr="00803FC3" w:rsidRDefault="00947EB5" w:rsidP="00947EB5">
      <w:r w:rsidRPr="00803FC3">
        <w:lastRenderedPageBreak/>
        <w:t>Ireland's light infantry section is not a capability gap to be filled with equipment; it is a structure overtaken by the threat</w:t>
      </w:r>
      <w:r>
        <w:t xml:space="preserve">. </w:t>
      </w:r>
      <w:r w:rsidRPr="00803FC3">
        <w:t>Capability is sometimes reduced to equipment, but it is better understood as the synthesis described by DOTMLPF-I</w:t>
      </w:r>
      <w:r>
        <w:t>.</w:t>
      </w:r>
      <w:r>
        <w:rPr>
          <w:rStyle w:val="FootnoteReference"/>
        </w:rPr>
        <w:footnoteReference w:id="5"/>
      </w:r>
      <w:r>
        <w:t xml:space="preserve"> </w:t>
      </w:r>
      <w:r>
        <w:rPr>
          <w:rStyle w:val="FootnoteReference"/>
        </w:rPr>
        <w:footnoteReference w:id="6"/>
      </w:r>
      <w:r>
        <w:t xml:space="preserve"> O</w:t>
      </w:r>
      <w:r w:rsidRPr="00803FC3">
        <w:t>n that basis the section fails against nearly every line. Its doctrine</w:t>
      </w:r>
      <w:r>
        <w:rPr>
          <w:rStyle w:val="FootnoteReference"/>
        </w:rPr>
        <w:footnoteReference w:id="7"/>
      </w:r>
      <w:r w:rsidRPr="00803FC3">
        <w:t xml:space="preserve"> remains that of a foot-mobile light infantry section, </w:t>
      </w:r>
      <w:r w:rsidRPr="00803FC3">
        <w:rPr>
          <w:highlight w:val="yellow"/>
        </w:rPr>
        <w:t>never reconciled with the vehicles now built to carry it</w:t>
      </w:r>
      <w:r w:rsidRPr="00803FC3">
        <w:t>. Its organisation may now be rebuilt around vehicle capacity,</w:t>
      </w:r>
      <w:r w:rsidRPr="008762BE">
        <w:rPr>
          <w:rStyle w:val="FootnoteReference"/>
        </w:rPr>
        <w:t xml:space="preserve"> </w:t>
      </w:r>
      <w:r>
        <w:rPr>
          <w:rStyle w:val="FootnoteReference"/>
        </w:rPr>
        <w:footnoteReference w:id="8"/>
      </w:r>
      <w:r w:rsidRPr="00803FC3">
        <w:t xml:space="preserve"> on the assumption that one section must fit one carrier — a constraint</w:t>
      </w:r>
      <w:r>
        <w:t xml:space="preserve"> more appropriate for</w:t>
      </w:r>
      <w:r w:rsidRPr="00803FC3">
        <w:t xml:space="preserve"> mechanised and armoured formations</w:t>
      </w:r>
      <w:r>
        <w:t xml:space="preserve">. </w:t>
      </w:r>
      <w:r w:rsidRPr="00803FC3">
        <w:t>It</w:t>
      </w:r>
      <w:r>
        <w:t xml:space="preserve"> should</w:t>
      </w:r>
      <w:r w:rsidRPr="00803FC3">
        <w:t xml:space="preserve"> not bind light infantry, which moves on foot or in soft-skin vehicles, increasingly all-terrain </w:t>
      </w:r>
      <w:r>
        <w:t>vehicles</w:t>
      </w:r>
      <w:r w:rsidRPr="00803FC3">
        <w:t xml:space="preserve"> such as the ULTV.</w:t>
      </w:r>
      <w:r w:rsidRPr="008762BE">
        <w:rPr>
          <w:rStyle w:val="FootnoteReference"/>
        </w:rPr>
        <w:t xml:space="preserve"> </w:t>
      </w:r>
      <w:r>
        <w:rPr>
          <w:rStyle w:val="FootnoteReference"/>
        </w:rPr>
        <w:footnoteReference w:id="9"/>
      </w:r>
      <w:r w:rsidRPr="00803FC3">
        <w:rPr>
          <w:rStyle w:val="FootnoteReference"/>
        </w:rPr>
        <w:t xml:space="preserve"> </w:t>
      </w:r>
      <w:r>
        <w:rPr>
          <w:rStyle w:val="FootnoteReference"/>
        </w:rPr>
        <w:t xml:space="preserve"> </w:t>
      </w:r>
      <w:r>
        <w:t>I</w:t>
      </w:r>
      <w:r w:rsidRPr="00227DF4">
        <w:t xml:space="preserve">ts training still rehearses the conventional drills of the last century and the peace-support tasks of the decades since. It neglects the cognitive burden, dispersion and exposure of a section that can be found and struck on a checkpoint or logistics convoy as readily as in battle, without higher-echelon cover. Its materiel reflects a Cold War mentality. Its leadership is not configured for contemporary mission command. And it fields too few soldiers to carry the cognitive load, operate the new systems and remain cohesive once dispersed. Adding </w:t>
      </w:r>
      <w:proofErr w:type="gramStart"/>
      <w:r w:rsidRPr="00227DF4">
        <w:t>drones</w:t>
      </w:r>
      <w:proofErr w:type="gramEnd"/>
      <w:r w:rsidRPr="00227DF4">
        <w:t xml:space="preserve"> changes none of that.</w:t>
      </w:r>
    </w:p>
    <w:p w14:paraId="6928EFC3" w14:textId="77777777" w:rsidR="001D0016" w:rsidRPr="001D0016" w:rsidRDefault="001D0016" w:rsidP="001D0016">
      <w:r w:rsidRPr="001D0016">
        <w:rPr>
          <w:highlight w:val="yellow"/>
        </w:rPr>
        <w:t>OB: I will reference TM 201 as proof that doctrine hasn’t changed. However, I think I want to cite paragraph 0202 “The fundamental role of the infantry man/woman has changed little over recent centuries: their tasks are still to close with and destroy the enemy or force them to surrender, to seize and hold terrain, to dominate and control close country and finally, to carry out close surveillance”. Then we can say that the first task – their most important – cannot be achieved without substantial review of the doctrine, organisation, training, leadership, materiel,</w:t>
      </w:r>
      <w:r>
        <w:t xml:space="preserve"> </w:t>
      </w:r>
    </w:p>
    <w:p w14:paraId="7D7769F6" w14:textId="77777777" w:rsidR="001D0016" w:rsidRPr="001D0016" w:rsidRDefault="001D0016" w:rsidP="001D0016"/>
    <w:p w14:paraId="517B9CD4" w14:textId="36268342" w:rsidR="00766DD3" w:rsidRPr="00262708" w:rsidRDefault="00766DD3" w:rsidP="00766DD3">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lastRenderedPageBreak/>
        <w:t xml:space="preserve">Relative combat power </w:t>
      </w:r>
      <w:r>
        <w:rPr>
          <w:rFonts w:asciiTheme="minorHAnsi" w:eastAsiaTheme="minorHAnsi" w:hAnsiTheme="minorHAnsi" w:cstheme="minorBidi"/>
          <w:color w:val="auto"/>
          <w:sz w:val="24"/>
          <w:szCs w:val="24"/>
        </w:rPr>
        <w:t>rewards</w:t>
      </w:r>
      <w:r w:rsidRPr="00262708">
        <w:rPr>
          <w:rFonts w:asciiTheme="minorHAnsi" w:eastAsiaTheme="minorHAnsi" w:hAnsiTheme="minorHAnsi" w:cstheme="minorBidi"/>
          <w:color w:val="auto"/>
          <w:sz w:val="24"/>
          <w:szCs w:val="24"/>
        </w:rPr>
        <w:t xml:space="preserve"> the side </w:t>
      </w:r>
      <w:r>
        <w:rPr>
          <w:rFonts w:asciiTheme="minorHAnsi" w:eastAsiaTheme="minorHAnsi" w:hAnsiTheme="minorHAnsi" w:cstheme="minorBidi"/>
          <w:color w:val="auto"/>
          <w:sz w:val="24"/>
          <w:szCs w:val="24"/>
        </w:rPr>
        <w:t>which</w:t>
      </w:r>
      <w:r w:rsidRPr="00262708">
        <w:rPr>
          <w:rFonts w:asciiTheme="minorHAnsi" w:eastAsiaTheme="minorHAnsi" w:hAnsiTheme="minorHAnsi" w:cstheme="minorBidi"/>
          <w:color w:val="auto"/>
          <w:sz w:val="24"/>
          <w:szCs w:val="24"/>
        </w:rPr>
        <w:t xml:space="preserve"> can mass force and absorb loss</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 xml:space="preserve">historically the better-funded one. </w:t>
      </w:r>
      <w:r w:rsidR="00D37663" w:rsidRPr="00D37663">
        <w:rPr>
          <w:rFonts w:asciiTheme="minorHAnsi" w:eastAsiaTheme="minorHAnsi" w:hAnsiTheme="minorHAnsi" w:cstheme="minorBidi"/>
          <w:color w:val="auto"/>
          <w:sz w:val="24"/>
          <w:szCs w:val="24"/>
        </w:rPr>
        <w:t>Low-cost uncrewed systems disturb that arithmetic, a shift which</w:t>
      </w:r>
      <w:r>
        <w:rPr>
          <w:rFonts w:asciiTheme="minorHAnsi" w:eastAsiaTheme="minorHAnsi" w:hAnsiTheme="minorHAnsi" w:cstheme="minorBidi"/>
          <w:color w:val="auto"/>
          <w:sz w:val="24"/>
          <w:szCs w:val="24"/>
        </w:rPr>
        <w:t xml:space="preserve"> Lanchester Force Equations</w:t>
      </w:r>
      <w:r>
        <w:rPr>
          <w:rStyle w:val="FootnoteReference"/>
          <w:rFonts w:asciiTheme="minorHAnsi" w:eastAsiaTheme="minorHAnsi" w:hAnsiTheme="minorHAnsi" w:cstheme="minorBidi"/>
          <w:color w:val="auto"/>
          <w:sz w:val="24"/>
          <w:szCs w:val="24"/>
        </w:rPr>
        <w:footnoteReference w:id="10"/>
      </w:r>
      <w:r>
        <w:rPr>
          <w:rFonts w:asciiTheme="minorHAnsi" w:eastAsiaTheme="minorHAnsi" w:hAnsiTheme="minorHAnsi" w:cstheme="minorBidi"/>
          <w:color w:val="auto"/>
          <w:sz w:val="24"/>
          <w:szCs w:val="24"/>
        </w:rPr>
        <w:t xml:space="preserve"> and the 3:1 heuristic</w:t>
      </w:r>
      <w:r>
        <w:rPr>
          <w:rStyle w:val="FootnoteReference"/>
          <w:rFonts w:asciiTheme="minorHAnsi" w:eastAsiaTheme="minorHAnsi" w:hAnsiTheme="minorHAnsi" w:cstheme="minorBidi"/>
          <w:color w:val="auto"/>
          <w:sz w:val="24"/>
          <w:szCs w:val="24"/>
        </w:rPr>
        <w:footnoteReference w:id="11"/>
      </w:r>
      <w:r w:rsidRPr="00C03858">
        <w:rPr>
          <w:rFonts w:asciiTheme="minorHAnsi" w:eastAsiaTheme="minorHAnsi" w:hAnsiTheme="minorHAnsi" w:cstheme="minorBidi"/>
          <w:color w:val="auto"/>
          <w:sz w:val="24"/>
          <w:szCs w:val="24"/>
        </w:rPr>
        <w:t xml:space="preserve"> </w:t>
      </w:r>
      <w:r w:rsidR="00D37663" w:rsidRPr="00D37663">
        <w:rPr>
          <w:rFonts w:asciiTheme="minorHAnsi" w:eastAsiaTheme="minorHAnsi" w:hAnsiTheme="minorHAnsi" w:cstheme="minorBidi"/>
          <w:color w:val="auto"/>
          <w:sz w:val="24"/>
          <w:szCs w:val="24"/>
        </w:rPr>
        <w:t>help frame but cannot fully capture.</w:t>
      </w:r>
      <w:r w:rsidR="00D37663">
        <w:rPr>
          <w:rFonts w:asciiTheme="minorHAnsi" w:eastAsiaTheme="minorHAnsi" w:hAnsiTheme="minorHAnsi" w:cstheme="minorBidi"/>
          <w:color w:val="auto"/>
          <w:sz w:val="24"/>
          <w:szCs w:val="24"/>
        </w:rPr>
        <w:t xml:space="preserve"> </w:t>
      </w:r>
      <w:r w:rsidRPr="00C03858">
        <w:rPr>
          <w:rFonts w:asciiTheme="minorHAnsi" w:eastAsiaTheme="minorHAnsi" w:hAnsiTheme="minorHAnsi" w:cstheme="minorBidi"/>
          <w:color w:val="auto"/>
          <w:sz w:val="24"/>
          <w:szCs w:val="24"/>
        </w:rPr>
        <w:t xml:space="preserve">They drive down the price of three functions that once demanded expensive platforms: finding the enemy, striking them precisely and sustaining the force. A defender who can see, strike at range and attrit an attacker with systems costing hundreds rather than millions need not match him platform-for-platform. The asymmetry is structural: the attacker must still mass to break through, yet massing is exactly what persistent observation punishes most. For a state </w:t>
      </w:r>
      <w:r w:rsidR="003A11A1">
        <w:rPr>
          <w:rFonts w:asciiTheme="minorHAnsi" w:eastAsiaTheme="minorHAnsi" w:hAnsiTheme="minorHAnsi" w:cstheme="minorBidi"/>
          <w:color w:val="auto"/>
          <w:sz w:val="24"/>
          <w:szCs w:val="24"/>
        </w:rPr>
        <w:t>which</w:t>
      </w:r>
      <w:r w:rsidRPr="00C03858">
        <w:rPr>
          <w:rFonts w:asciiTheme="minorHAnsi" w:eastAsiaTheme="minorHAnsi" w:hAnsiTheme="minorHAnsi" w:cstheme="minorBidi"/>
          <w:color w:val="auto"/>
          <w:sz w:val="24"/>
          <w:szCs w:val="24"/>
        </w:rPr>
        <w:t xml:space="preserve"> cannot buy conventional scale, this is how scarcity stops being decisive – denial without parity.</w:t>
      </w:r>
    </w:p>
    <w:p w14:paraId="6156CECA" w14:textId="77777777" w:rsidR="00766DD3" w:rsidRDefault="00766DD3" w:rsidP="006E41D2"/>
    <w:p w14:paraId="2BCA4CB1" w14:textId="446B3ED8" w:rsidR="00656D8B" w:rsidRDefault="00EB4DCB" w:rsidP="006E41D2">
      <w:r>
        <w:fldChar w:fldCharType="begin"/>
      </w:r>
      <w:r>
        <w:instrText xml:space="preserve"> REF _Ref233053446 \h </w:instrText>
      </w:r>
      <w:r>
        <w:fldChar w:fldCharType="separate"/>
      </w:r>
      <w:r>
        <w:t xml:space="preserve">Table </w:t>
      </w:r>
      <w:r>
        <w:rPr>
          <w:noProof/>
        </w:rPr>
        <w:t>1</w:t>
      </w:r>
      <w:r>
        <w:fldChar w:fldCharType="end"/>
      </w:r>
      <w:r w:rsidR="001E7AE7" w:rsidRPr="001E7AE7">
        <w:t xml:space="preserve"> </w:t>
      </w:r>
      <w:r w:rsidR="00656D8B" w:rsidRPr="00656D8B">
        <w:t xml:space="preserve">shows that FPV-OWADs cannot be dismissed as cheap substitutes for Javelin. The operational comparison is the telling one: defeating an armoured company costs roughly €1.13 million in Javelins, compared with under €85,000 in FPV-OWADs – more than an order of magnitude less for the same task, on assumptions generous to Javelin. Ireland's recent Javelin-only procurement buys 44 missiles; the same budget fields thousands of FPV-OWADs. Javelin remains the higher-confidence kill mechanism, and FPV-OWADs may require several strikes to destroy armour, </w:t>
      </w:r>
      <w:r w:rsidR="007A6FF0" w:rsidRPr="007A6FF0">
        <w:t>but they can immobilise it for follow-on fires and reach more than an order of magnitude further.</w:t>
      </w:r>
      <w:r w:rsidR="00656D8B" w:rsidRPr="00656D8B">
        <w:t xml:space="preserve"> The direction is unambiguous: FPV-OWADs do not replace ATGMs, but they change the defensive arithmetic and can no longer be ignored</w:t>
      </w:r>
      <w:r w:rsidR="006E6DF6">
        <w:t>.</w:t>
      </w:r>
      <w:r w:rsidR="00656D8B">
        <w:rPr>
          <w:rStyle w:val="FootnoteReference"/>
        </w:rPr>
        <w:footnoteReference w:id="12"/>
      </w:r>
      <w:r w:rsidR="00C12DA0">
        <w:t xml:space="preserve"> </w:t>
      </w:r>
      <w:r w:rsidR="00C12DA0">
        <w:rPr>
          <w:rStyle w:val="FootnoteReference"/>
        </w:rPr>
        <w:footnoteReference w:id="13"/>
      </w:r>
    </w:p>
    <w:p w14:paraId="2C8ED009" w14:textId="77777777" w:rsidR="002C4F0D" w:rsidRDefault="00EE12B1" w:rsidP="002C4F0D">
      <w:pPr>
        <w:keepNext/>
      </w:pPr>
      <w:r w:rsidRPr="00EE12B1">
        <w:rPr>
          <w:noProof/>
        </w:rPr>
        <w:lastRenderedPageBreak/>
        <w:drawing>
          <wp:inline distT="0" distB="0" distL="0" distR="0" wp14:anchorId="1ED79B76" wp14:editId="6CD40A73">
            <wp:extent cx="5731510" cy="1757045"/>
            <wp:effectExtent l="0" t="0" r="2540" b="0"/>
            <wp:docPr id="177895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95998" name=""/>
                    <pic:cNvPicPr/>
                  </pic:nvPicPr>
                  <pic:blipFill>
                    <a:blip r:embed="rId8"/>
                    <a:stretch>
                      <a:fillRect/>
                    </a:stretch>
                  </pic:blipFill>
                  <pic:spPr>
                    <a:xfrm>
                      <a:off x="0" y="0"/>
                      <a:ext cx="5731510" cy="1757045"/>
                    </a:xfrm>
                    <a:prstGeom prst="rect">
                      <a:avLst/>
                    </a:prstGeom>
                  </pic:spPr>
                </pic:pic>
              </a:graphicData>
            </a:graphic>
          </wp:inline>
        </w:drawing>
      </w:r>
    </w:p>
    <w:p w14:paraId="5C9164F7" w14:textId="74ED2F81" w:rsidR="006E41D2" w:rsidRPr="00E05D57" w:rsidRDefault="002C4F0D" w:rsidP="002C4F0D">
      <w:pPr>
        <w:pStyle w:val="Caption"/>
        <w:jc w:val="center"/>
      </w:pPr>
      <w:bookmarkStart w:id="0" w:name="_Ref233053446"/>
      <w:r>
        <w:t xml:space="preserve">Table </w:t>
      </w:r>
      <w:r>
        <w:fldChar w:fldCharType="begin"/>
      </w:r>
      <w:r>
        <w:instrText xml:space="preserve"> SEQ Table \* ARABIC </w:instrText>
      </w:r>
      <w:r>
        <w:fldChar w:fldCharType="separate"/>
      </w:r>
      <w:r>
        <w:rPr>
          <w:noProof/>
        </w:rPr>
        <w:t>1</w:t>
      </w:r>
      <w:r>
        <w:fldChar w:fldCharType="end"/>
      </w:r>
      <w:bookmarkEnd w:id="0"/>
      <w:r>
        <w:t xml:space="preserve">. </w:t>
      </w:r>
      <w:r w:rsidRPr="002C4F0D">
        <w:t>Comparative Anti-Armour Cost-Imposition Model</w:t>
      </w:r>
      <w:r w:rsidRPr="00F1368C">
        <w:t>: ATGMs versus FPV-OWADs and Loitering-OWADs</w:t>
      </w:r>
    </w:p>
    <w:p w14:paraId="63EC1BBB" w14:textId="77777777" w:rsidR="008E24F7" w:rsidRDefault="008E24F7" w:rsidP="008E24F7">
      <w:pPr>
        <w:pStyle w:val="Heading2"/>
        <w:rPr>
          <w:rFonts w:asciiTheme="minorHAnsi" w:eastAsiaTheme="minorHAnsi" w:hAnsiTheme="minorHAnsi" w:cstheme="minorBidi"/>
          <w:color w:val="auto"/>
          <w:sz w:val="24"/>
          <w:szCs w:val="24"/>
        </w:rPr>
      </w:pPr>
      <w:r w:rsidRPr="00667CD1">
        <w:rPr>
          <w:rFonts w:asciiTheme="minorHAnsi" w:eastAsiaTheme="minorHAnsi" w:hAnsiTheme="minorHAnsi" w:cstheme="minorBidi"/>
          <w:color w:val="auto"/>
          <w:sz w:val="24"/>
          <w:szCs w:val="24"/>
        </w:rPr>
        <w:t xml:space="preserve">Ireland has long treated serious territorial defence as financially unreachable, because credibility was assumed to require conventional mass. </w:t>
      </w:r>
      <w:proofErr w:type="spellStart"/>
      <w:r w:rsidRPr="00667CD1">
        <w:rPr>
          <w:rFonts w:asciiTheme="minorHAnsi" w:eastAsiaTheme="minorHAnsi" w:hAnsiTheme="minorHAnsi" w:cstheme="minorBidi"/>
          <w:color w:val="auto"/>
          <w:sz w:val="24"/>
          <w:szCs w:val="24"/>
        </w:rPr>
        <w:t>UxS</w:t>
      </w:r>
      <w:proofErr w:type="spellEnd"/>
      <w:r w:rsidRPr="00667CD1">
        <w:rPr>
          <w:rFonts w:asciiTheme="minorHAnsi" w:eastAsiaTheme="minorHAnsi" w:hAnsiTheme="minorHAnsi" w:cstheme="minorBidi"/>
          <w:color w:val="auto"/>
          <w:sz w:val="24"/>
          <w:szCs w:val="24"/>
        </w:rPr>
        <w:t xml:space="preserve"> break that premise: if cheap precision systems can make lodgement, movement and sustainment costly, the constraint shifts from money to organisation. For an island state, any hostile ground force must first arrive by sea or air, concentrating at a predictable point of entry – where exposure is highest and cheap precision strike most punishing.</w:t>
      </w:r>
    </w:p>
    <w:p w14:paraId="73F0C83F" w14:textId="465AC889" w:rsidR="008E24F7" w:rsidRDefault="008E24F7" w:rsidP="008E24F7">
      <w:pPr>
        <w:pStyle w:val="Heading2"/>
        <w:rPr>
          <w:rFonts w:asciiTheme="minorHAnsi" w:eastAsiaTheme="minorHAnsi" w:hAnsiTheme="minorHAnsi" w:cstheme="minorBidi"/>
          <w:color w:val="auto"/>
          <w:sz w:val="24"/>
          <w:szCs w:val="24"/>
        </w:rPr>
      </w:pPr>
      <w:r w:rsidRPr="000773AE">
        <w:rPr>
          <w:rFonts w:asciiTheme="minorHAnsi" w:eastAsiaTheme="minorHAnsi" w:hAnsiTheme="minorHAnsi" w:cstheme="minorBidi"/>
          <w:color w:val="auto"/>
          <w:sz w:val="24"/>
          <w:szCs w:val="24"/>
        </w:rPr>
        <w:t xml:space="preserve">Deterrence-by-denial here means one thing: making an attacker doubt that victory will be quick or cheap. A defender need not win. </w:t>
      </w:r>
      <w:r>
        <w:rPr>
          <w:rFonts w:asciiTheme="minorHAnsi" w:eastAsiaTheme="minorHAnsi" w:hAnsiTheme="minorHAnsi" w:cstheme="minorBidi"/>
          <w:color w:val="auto"/>
          <w:sz w:val="24"/>
          <w:szCs w:val="24"/>
        </w:rPr>
        <w:t>They</w:t>
      </w:r>
      <w:r w:rsidRPr="000773AE">
        <w:rPr>
          <w:rFonts w:asciiTheme="minorHAnsi" w:eastAsiaTheme="minorHAnsi" w:hAnsiTheme="minorHAnsi" w:cstheme="minorBidi"/>
          <w:color w:val="auto"/>
          <w:sz w:val="24"/>
          <w:szCs w:val="24"/>
        </w:rPr>
        <w:t xml:space="preserve"> need only to impose enough delay, attrition and uncertainty that the operation's price climbs past what the aggressor will pay. It does not stop an attack; it makes the attack expensive, slow and uncertain of success. The effect is cumulative rather than decisive</w:t>
      </w:r>
      <w:r>
        <w:rPr>
          <w:rFonts w:asciiTheme="minorHAnsi" w:eastAsiaTheme="minorHAnsi" w:hAnsiTheme="minorHAnsi" w:cstheme="minorBidi"/>
          <w:color w:val="auto"/>
          <w:sz w:val="24"/>
          <w:szCs w:val="24"/>
        </w:rPr>
        <w:t xml:space="preserve"> — </w:t>
      </w:r>
      <w:r w:rsidRPr="000773AE">
        <w:rPr>
          <w:rFonts w:asciiTheme="minorHAnsi" w:eastAsiaTheme="minorHAnsi" w:hAnsiTheme="minorHAnsi" w:cstheme="minorBidi"/>
          <w:color w:val="auto"/>
          <w:sz w:val="24"/>
          <w:szCs w:val="24"/>
        </w:rPr>
        <w:t>a rising bill for movement and sustainment, presented until the bill itself deters.</w:t>
      </w:r>
    </w:p>
    <w:p w14:paraId="1715B290" w14:textId="2EF7D76E" w:rsidR="008E24F7" w:rsidRDefault="008E24F7" w:rsidP="00D539C9">
      <w:pPr>
        <w:pStyle w:val="NoSpacing"/>
      </w:pPr>
      <w:r w:rsidRPr="00262708">
        <w:t>The recommendations follow directly and cost little to begin. First, adopt the lance-corporal rank: dispersed sections need a commander in each</w:t>
      </w:r>
      <w:r>
        <w:t xml:space="preserve"> and</w:t>
      </w:r>
      <w:r w:rsidRPr="00262708">
        <w:t xml:space="preserve"> the rank structure must catch up to the tactics. Second, experiment properly rather than procure blindly</w:t>
      </w:r>
      <w:r>
        <w:t xml:space="preserve"> — </w:t>
      </w:r>
      <w:r w:rsidRPr="00262708">
        <w:t xml:space="preserve">stand up trial sections at fourteen and fifteen </w:t>
      </w:r>
      <w:r w:rsidRPr="00D539C9">
        <w:t>soldiers</w:t>
      </w:r>
      <w:r w:rsidR="00D539C9" w:rsidRPr="00D539C9">
        <w:t xml:space="preserve"> (</w:t>
      </w:r>
      <w:r w:rsidR="00D539C9" w:rsidRPr="00D539C9">
        <w:fldChar w:fldCharType="begin"/>
      </w:r>
      <w:r w:rsidR="00D539C9" w:rsidRPr="00D539C9">
        <w:instrText xml:space="preserve"> REF _Ref233060645 \h </w:instrText>
      </w:r>
      <w:r w:rsidR="00D539C9" w:rsidRPr="00D539C9">
        <w:instrText xml:space="preserve"> \* MERGEFORMAT </w:instrText>
      </w:r>
      <w:r w:rsidR="00D539C9" w:rsidRPr="00D539C9">
        <w:fldChar w:fldCharType="separate"/>
      </w:r>
      <w:r w:rsidR="00D539C9" w:rsidRPr="00D539C9">
        <w:t>Figure 1</w:t>
      </w:r>
      <w:r w:rsidR="00D539C9" w:rsidRPr="00D539C9">
        <w:fldChar w:fldCharType="end"/>
      </w:r>
      <w:r w:rsidR="00D539C9" w:rsidRPr="00D539C9">
        <w:t>)</w:t>
      </w:r>
      <w:r w:rsidRPr="00D539C9">
        <w:t>, test them</w:t>
      </w:r>
      <w:r w:rsidRPr="00262708">
        <w:t xml:space="preserve"> against realistic drone threats</w:t>
      </w:r>
      <w:r>
        <w:t xml:space="preserve"> and</w:t>
      </w:r>
      <w:r w:rsidRPr="00262708">
        <w:t xml:space="preserve"> let the results, not assumption, settle the establishment</w:t>
      </w:r>
      <w:r w:rsidRPr="00D539C9">
        <w:t xml:space="preserve">. </w:t>
      </w:r>
      <w:r w:rsidRPr="00262708">
        <w:t>Third, write exposure management into doctrine: build signature discipline, drone-halt drills and the sequencing of sensing, electronic warfare and fires into standard operating procedures, syllabi and retraining, with mobile training teams to push the new methods out quickly. None of this requires mass or heavy armour</w:t>
      </w:r>
      <w:r>
        <w:t xml:space="preserve"> and</w:t>
      </w:r>
      <w:r w:rsidRPr="00262708">
        <w:t xml:space="preserve"> none waits on a procurement cycle. The first move is organisational, not financial</w:t>
      </w:r>
      <w:r>
        <w:t xml:space="preserve"> — </w:t>
      </w:r>
      <w:r w:rsidRPr="00262708">
        <w:t>which is precisely why the constraint that stalled Irish defence no longer holds.</w:t>
      </w:r>
    </w:p>
    <w:p w14:paraId="2A8DE71D" w14:textId="21BF1C2F" w:rsidR="00FD26A9" w:rsidRDefault="00D539C9" w:rsidP="00FD26A9">
      <w:pPr>
        <w:keepNext/>
        <w:jc w:val="center"/>
      </w:pPr>
      <w:r w:rsidRPr="00D539C9">
        <w:lastRenderedPageBreak/>
        <w:drawing>
          <wp:inline distT="0" distB="0" distL="0" distR="0" wp14:anchorId="3BA8F21E" wp14:editId="0F6E14AC">
            <wp:extent cx="2709073" cy="1655277"/>
            <wp:effectExtent l="0" t="0" r="0" b="2540"/>
            <wp:docPr id="1944379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379885" name=""/>
                    <pic:cNvPicPr/>
                  </pic:nvPicPr>
                  <pic:blipFill>
                    <a:blip r:embed="rId9"/>
                    <a:stretch>
                      <a:fillRect/>
                    </a:stretch>
                  </pic:blipFill>
                  <pic:spPr>
                    <a:xfrm>
                      <a:off x="0" y="0"/>
                      <a:ext cx="2723776" cy="1664261"/>
                    </a:xfrm>
                    <a:prstGeom prst="rect">
                      <a:avLst/>
                    </a:prstGeom>
                  </pic:spPr>
                </pic:pic>
              </a:graphicData>
            </a:graphic>
          </wp:inline>
        </w:drawing>
      </w:r>
      <w:r w:rsidR="00FD26A9" w:rsidRPr="00FD26A9">
        <w:drawing>
          <wp:inline distT="0" distB="0" distL="0" distR="0" wp14:anchorId="5294252E" wp14:editId="7ABFAEE1">
            <wp:extent cx="2907102" cy="1736016"/>
            <wp:effectExtent l="0" t="0" r="7620" b="0"/>
            <wp:docPr id="1981208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208126" name=""/>
                    <pic:cNvPicPr/>
                  </pic:nvPicPr>
                  <pic:blipFill>
                    <a:blip r:embed="rId10"/>
                    <a:stretch>
                      <a:fillRect/>
                    </a:stretch>
                  </pic:blipFill>
                  <pic:spPr>
                    <a:xfrm>
                      <a:off x="0" y="0"/>
                      <a:ext cx="2918337" cy="1742725"/>
                    </a:xfrm>
                    <a:prstGeom prst="rect">
                      <a:avLst/>
                    </a:prstGeom>
                  </pic:spPr>
                </pic:pic>
              </a:graphicData>
            </a:graphic>
          </wp:inline>
        </w:drawing>
      </w:r>
    </w:p>
    <w:p w14:paraId="55D10960" w14:textId="61C0DAF9" w:rsidR="00FD26A9" w:rsidRPr="00FD26A9" w:rsidRDefault="00FD26A9" w:rsidP="00FD26A9">
      <w:pPr>
        <w:pStyle w:val="Caption"/>
        <w:jc w:val="center"/>
      </w:pPr>
      <w:bookmarkStart w:id="1" w:name="_Ref233060645"/>
      <w:r>
        <w:t xml:space="preserve">Figure </w:t>
      </w:r>
      <w:r>
        <w:fldChar w:fldCharType="begin"/>
      </w:r>
      <w:r>
        <w:instrText xml:space="preserve"> SEQ Figure \* ARABIC </w:instrText>
      </w:r>
      <w:r>
        <w:fldChar w:fldCharType="separate"/>
      </w:r>
      <w:r>
        <w:rPr>
          <w:noProof/>
        </w:rPr>
        <w:t>1</w:t>
      </w:r>
      <w:r>
        <w:fldChar w:fldCharType="end"/>
      </w:r>
      <w:bookmarkEnd w:id="1"/>
      <w:r>
        <w:t xml:space="preserve">. </w:t>
      </w:r>
      <w:r w:rsidRPr="00E1430B">
        <w:t xml:space="preserve"> </w:t>
      </w:r>
      <w:r w:rsidR="00AE6C88">
        <w:t>Fourteen and f</w:t>
      </w:r>
      <w:r w:rsidRPr="00E1430B">
        <w:t>ifteen-soldier section</w:t>
      </w:r>
      <w:r w:rsidR="001C70DF">
        <w:t>s</w:t>
      </w:r>
      <w:r w:rsidRPr="00E1430B">
        <w:t xml:space="preserve"> with organic FPVD, support detachment and separate commander</w:t>
      </w:r>
    </w:p>
    <w:p w14:paraId="4539E762" w14:textId="19379AA5" w:rsidR="000A62A6" w:rsidRDefault="0030344C" w:rsidP="006B245A">
      <w:pPr>
        <w:rPr>
          <w:rFonts w:asciiTheme="majorHAnsi" w:eastAsiaTheme="majorEastAsia" w:hAnsiTheme="majorHAnsi" w:cstheme="majorBidi"/>
          <w:color w:val="0F4761" w:themeColor="accent1" w:themeShade="BF"/>
          <w:sz w:val="32"/>
          <w:szCs w:val="32"/>
        </w:rPr>
      </w:pPr>
      <w:r w:rsidRPr="0030344C">
        <w:t xml:space="preserve">The pace of change is uncertain and programmes are mid-stream </w:t>
      </w:r>
      <w:r w:rsidR="00034CC3">
        <w:t>—</w:t>
      </w:r>
      <w:r w:rsidRPr="0030344C">
        <w:t xml:space="preserve"> so reopening the section design now looks premature. Each clause is true. Neither is a reason to stand still. The deeper objection is that force design must fit the platform: the carrier defines the section, the section sets the </w:t>
      </w:r>
      <w:r w:rsidR="00D31766">
        <w:t>capability</w:t>
      </w:r>
      <w:r w:rsidRPr="0030344C">
        <w:t xml:space="preserve">. Vehicle capacity is a real constraint </w:t>
      </w:r>
      <w:r w:rsidR="00034CC3">
        <w:t>—</w:t>
      </w:r>
      <w:r w:rsidR="00034CC3" w:rsidRPr="0030344C">
        <w:t xml:space="preserve"> </w:t>
      </w:r>
      <w:r w:rsidRPr="0030344C">
        <w:t xml:space="preserve">it drives lift, sustainment, command and tactical mobility and cannot be dismissed. But it need not come first. The threat defines force </w:t>
      </w:r>
      <w:proofErr w:type="gramStart"/>
      <w:r w:rsidRPr="0030344C">
        <w:t>protection</w:t>
      </w:r>
      <w:proofErr w:type="gramEnd"/>
      <w:r w:rsidRPr="0030344C">
        <w:t xml:space="preserve"> and force protection drives </w:t>
      </w:r>
      <w:r w:rsidR="00841CA6">
        <w:t>capability development</w:t>
      </w:r>
      <w:r w:rsidRPr="0030344C">
        <w:t xml:space="preserve">. Light infantry may not have this problem at all: it needs no armour, moving on foot or in commercial 4x4s already in Defence Forces service. A survivable light section is not an expensive structure waiting on a vehicle programme. It is a cheap one, available now </w:t>
      </w:r>
      <w:r w:rsidR="00034CC3">
        <w:t>—</w:t>
      </w:r>
      <w:r w:rsidR="00034CC3" w:rsidRPr="0030344C">
        <w:t xml:space="preserve"> </w:t>
      </w:r>
      <w:r w:rsidRPr="0030344C">
        <w:t>held back only by a constraint borrowed from a different kind of infantry.</w:t>
      </w:r>
      <w:r w:rsidR="000A62A6">
        <w:br w:type="page"/>
      </w:r>
    </w:p>
    <w:p w14:paraId="4DF60F31" w14:textId="5771D65F" w:rsidR="00CB2FEB" w:rsidRDefault="00CB2FEB" w:rsidP="005E2FA4">
      <w:pPr>
        <w:pStyle w:val="Heading2"/>
      </w:pPr>
      <w:r>
        <w:lastRenderedPageBreak/>
        <w:t>Main Body – OB</w:t>
      </w:r>
    </w:p>
    <w:p w14:paraId="732D867F" w14:textId="0012FD17" w:rsidR="00B93E1B" w:rsidRPr="00B93E1B" w:rsidRDefault="00B93E1B" w:rsidP="00B93E1B">
      <w:r w:rsidRPr="00B93E1B">
        <w:rPr>
          <w:b/>
          <w:bCs/>
        </w:rPr>
        <w:t>Main Body – OB (hooks to consider</w:t>
      </w:r>
      <w:r w:rsidR="00633BB8">
        <w:rPr>
          <w:b/>
          <w:bCs/>
        </w:rPr>
        <w:t xml:space="preserve"> – </w:t>
      </w:r>
      <w:r w:rsidRPr="00B93E1B">
        <w:rPr>
          <w:b/>
          <w:bCs/>
        </w:rPr>
        <w:t>your own ideas welcome; we'll amend the abstract together)</w:t>
      </w:r>
    </w:p>
    <w:p w14:paraId="348D9D2A" w14:textId="4D61B61D" w:rsidR="00B93E1B" w:rsidRPr="00B93E1B" w:rsidRDefault="00B93E1B" w:rsidP="00B93E1B">
      <w:r w:rsidRPr="00B93E1B">
        <w:t xml:space="preserve">Your half answers one question: </w:t>
      </w:r>
      <w:r w:rsidRPr="00B93E1B">
        <w:rPr>
          <w:i/>
          <w:iCs/>
        </w:rPr>
        <w:t>what must the Irish state and Defence Organisation do to turn the tactical mechanism into a real, credible, neutral, sustainable posture?</w:t>
      </w:r>
      <w:r w:rsidRPr="00B93E1B">
        <w:t xml:space="preserve"> Don't re-explain Ukraine, FPV tactics, section structure, ISR/CUAS/IEDD or cost ratios</w:t>
      </w:r>
      <w:r w:rsidR="00633BB8">
        <w:t xml:space="preserve"> – </w:t>
      </w:r>
      <w:r w:rsidRPr="00B93E1B">
        <w:t>those are established in the first half. Inherit the section</w:t>
      </w:r>
      <w:r w:rsidR="00633BB8">
        <w:t xml:space="preserve"> – </w:t>
      </w:r>
      <w:r w:rsidRPr="00B93E1B">
        <w:t>organic FPV, ISR, CUAS, assault-pioneer IEDD</w:t>
      </w:r>
      <w:r w:rsidR="00633BB8">
        <w:t xml:space="preserve"> – </w:t>
      </w:r>
      <w:r w:rsidRPr="00B93E1B">
        <w:t>as the thing your conditions must own, sustain and communicate.</w:t>
      </w:r>
    </w:p>
    <w:p w14:paraId="37D324CE" w14:textId="77777777" w:rsidR="00B93E1B" w:rsidRPr="00B93E1B" w:rsidRDefault="00B93E1B" w:rsidP="00B93E1B">
      <w:r w:rsidRPr="00B93E1B">
        <w:rPr>
          <w:b/>
          <w:bCs/>
        </w:rPr>
        <w:t>1. Politically owned.</w:t>
      </w:r>
      <w:r w:rsidRPr="00B93E1B">
        <w:t xml:space="preserve"> What Ireland lacks: a funded political decision that territorial defence is a real task, not an inherited abstraction.</w:t>
      </w:r>
    </w:p>
    <w:p w14:paraId="3A37D6CA" w14:textId="77777777" w:rsidR="00B93E1B" w:rsidRPr="00B93E1B" w:rsidRDefault="00B93E1B" w:rsidP="00B93E1B">
      <w:pPr>
        <w:numPr>
          <w:ilvl w:val="0"/>
          <w:numId w:val="4"/>
        </w:numPr>
      </w:pPr>
      <w:r w:rsidRPr="00B93E1B">
        <w:t>no national security strategy; Defence Policy Review as partial substitute, not full strategy</w:t>
      </w:r>
    </w:p>
    <w:p w14:paraId="0B37E910" w14:textId="77777777" w:rsidR="00B93E1B" w:rsidRPr="00B93E1B" w:rsidRDefault="00B93E1B" w:rsidP="00B93E1B">
      <w:pPr>
        <w:numPr>
          <w:ilvl w:val="0"/>
          <w:numId w:val="4"/>
        </w:numPr>
      </w:pPr>
      <w:r w:rsidRPr="00B93E1B">
        <w:t>LOA 2 / CODF implementation gap</w:t>
      </w:r>
    </w:p>
    <w:p w14:paraId="7AF4D0F1" w14:textId="77777777" w:rsidR="00B93E1B" w:rsidRPr="00B93E1B" w:rsidRDefault="00B93E1B" w:rsidP="00B93E1B">
      <w:pPr>
        <w:numPr>
          <w:ilvl w:val="0"/>
          <w:numId w:val="4"/>
        </w:numPr>
      </w:pPr>
      <w:r w:rsidRPr="00B93E1B">
        <w:t>the gap between "the DF have a task" and "Government has made a funded choice"</w:t>
      </w:r>
    </w:p>
    <w:p w14:paraId="1D00AE5B" w14:textId="77777777" w:rsidR="00B93E1B" w:rsidRPr="00B93E1B" w:rsidRDefault="00B93E1B" w:rsidP="00B93E1B">
      <w:pPr>
        <w:numPr>
          <w:ilvl w:val="0"/>
          <w:numId w:val="4"/>
        </w:numPr>
      </w:pPr>
      <w:r w:rsidRPr="00B93E1B">
        <w:t xml:space="preserve">why cheap </w:t>
      </w:r>
      <w:proofErr w:type="spellStart"/>
      <w:r w:rsidRPr="00B93E1B">
        <w:t>UxS</w:t>
      </w:r>
      <w:proofErr w:type="spellEnd"/>
      <w:r w:rsidRPr="00B93E1B">
        <w:t xml:space="preserve"> don't remove the need for political prioritisation</w:t>
      </w:r>
    </w:p>
    <w:p w14:paraId="3E2D95D3" w14:textId="77777777" w:rsidR="00B93E1B" w:rsidRPr="00B93E1B" w:rsidRDefault="00B93E1B" w:rsidP="00B93E1B">
      <w:pPr>
        <w:numPr>
          <w:ilvl w:val="0"/>
          <w:numId w:val="4"/>
        </w:numPr>
      </w:pPr>
      <w:r w:rsidRPr="00B93E1B">
        <w:rPr>
          <w:i/>
          <w:iCs/>
        </w:rPr>
        <w:t xml:space="preserve">Line to </w:t>
      </w:r>
      <w:proofErr w:type="gramStart"/>
      <w:r w:rsidRPr="00B93E1B">
        <w:rPr>
          <w:i/>
          <w:iCs/>
        </w:rPr>
        <w:t>prove:</w:t>
      </w:r>
      <w:proofErr w:type="gramEnd"/>
      <w:r w:rsidRPr="00B93E1B">
        <w:rPr>
          <w:i/>
          <w:iCs/>
        </w:rPr>
        <w:t xml:space="preserve"> drone denial is cheap against conventional mass, but still needs ownership because it reallocates doctrine, training, establishments, procurement and public explanation around territorial defence.</w:t>
      </w:r>
    </w:p>
    <w:p w14:paraId="75D9A567" w14:textId="77777777" w:rsidR="00B93E1B" w:rsidRPr="00B93E1B" w:rsidRDefault="00B93E1B" w:rsidP="00B93E1B">
      <w:r w:rsidRPr="00B93E1B">
        <w:rPr>
          <w:b/>
          <w:bCs/>
        </w:rPr>
        <w:t>2. Neutrality.</w:t>
      </w:r>
      <w:r w:rsidRPr="00B93E1B">
        <w:t xml:space="preserve"> Why drone-centric denial is neutrality-compatible: territorial, defensive, non-expeditionary, no alliance dependency, not punishment, no threat beyond Ireland.</w:t>
      </w:r>
    </w:p>
    <w:p w14:paraId="39AB53E2" w14:textId="77777777" w:rsidR="00B93E1B" w:rsidRPr="00B93E1B" w:rsidRDefault="00B93E1B" w:rsidP="00B93E1B">
      <w:pPr>
        <w:numPr>
          <w:ilvl w:val="0"/>
          <w:numId w:val="5"/>
        </w:numPr>
      </w:pPr>
      <w:r w:rsidRPr="00B93E1B">
        <w:t>distinguish it from NATO forward defence, nuclear deterrence, punishment, militarised adventurism</w:t>
      </w:r>
    </w:p>
    <w:p w14:paraId="7CBDDB7E" w14:textId="77777777" w:rsidR="00B93E1B" w:rsidRPr="00B93E1B" w:rsidRDefault="00B93E1B" w:rsidP="00B93E1B">
      <w:pPr>
        <w:numPr>
          <w:ilvl w:val="0"/>
          <w:numId w:val="5"/>
        </w:numPr>
      </w:pPr>
      <w:r w:rsidRPr="00B93E1B">
        <w:t>the affirmative claim: the credible ability to make unauthorised lodgement, movement and sustainment on Irish territory slow, costly and uncertain</w:t>
      </w:r>
    </w:p>
    <w:p w14:paraId="1A9A5B2D" w14:textId="77777777" w:rsidR="00B93E1B" w:rsidRPr="00B93E1B" w:rsidRDefault="00B93E1B" w:rsidP="00B93E1B">
      <w:pPr>
        <w:numPr>
          <w:ilvl w:val="0"/>
          <w:numId w:val="5"/>
        </w:numPr>
      </w:pPr>
      <w:r w:rsidRPr="00B93E1B">
        <w:t xml:space="preserve">where EU/EDA/PfP </w:t>
      </w:r>
      <w:r w:rsidRPr="00B93E1B">
        <w:rPr>
          <w:i/>
          <w:iCs/>
        </w:rPr>
        <w:t>resource</w:t>
      </w:r>
      <w:r w:rsidRPr="00B93E1B">
        <w:t xml:space="preserve"> the posture without compromising neutrality</w:t>
      </w:r>
    </w:p>
    <w:p w14:paraId="2EA87E21" w14:textId="2BB711BD" w:rsidR="00B93E1B" w:rsidRPr="00B93E1B" w:rsidRDefault="00B93E1B" w:rsidP="00B93E1B">
      <w:r w:rsidRPr="00B93E1B">
        <w:rPr>
          <w:b/>
          <w:bCs/>
        </w:rPr>
        <w:t>3. Clearly communicated</w:t>
      </w:r>
      <w:r w:rsidR="00633BB8">
        <w:t xml:space="preserve"> – </w:t>
      </w:r>
      <w:r w:rsidRPr="00B93E1B">
        <w:t xml:space="preserve">keep distinct from neutrality. Neutrality is legibility to </w:t>
      </w:r>
      <w:r w:rsidRPr="00B93E1B">
        <w:rPr>
          <w:i/>
          <w:iCs/>
        </w:rPr>
        <w:t>friendly</w:t>
      </w:r>
      <w:r w:rsidRPr="00B93E1B">
        <w:t xml:space="preserve"> audiences; communication is also signalling to the </w:t>
      </w:r>
      <w:r w:rsidRPr="00B93E1B">
        <w:rPr>
          <w:i/>
          <w:iCs/>
        </w:rPr>
        <w:t>adversary's staff</w:t>
      </w:r>
      <w:r w:rsidRPr="00B93E1B">
        <w:t>. Both needed.</w:t>
      </w:r>
    </w:p>
    <w:p w14:paraId="10FB74FC" w14:textId="77777777" w:rsidR="00B93E1B" w:rsidRPr="00B93E1B" w:rsidRDefault="00B93E1B" w:rsidP="00B93E1B">
      <w:pPr>
        <w:numPr>
          <w:ilvl w:val="0"/>
          <w:numId w:val="6"/>
        </w:numPr>
      </w:pPr>
      <w:r w:rsidRPr="00B93E1B">
        <w:t>policy language, exercises, doctrine, procurement visibility, public explanation, EU engagement</w:t>
      </w:r>
    </w:p>
    <w:p w14:paraId="19C3957B" w14:textId="77777777" w:rsidR="00B93E1B" w:rsidRPr="00B93E1B" w:rsidRDefault="00B93E1B" w:rsidP="00B93E1B">
      <w:pPr>
        <w:numPr>
          <w:ilvl w:val="0"/>
          <w:numId w:val="6"/>
        </w:numPr>
      </w:pPr>
      <w:r w:rsidRPr="00B93E1B">
        <w:t>how Ireland says this without sounding escalatory or ridiculous</w:t>
      </w:r>
    </w:p>
    <w:p w14:paraId="7F4A506B" w14:textId="77777777" w:rsidR="00B93E1B" w:rsidRPr="00B93E1B" w:rsidRDefault="00B93E1B" w:rsidP="00B93E1B">
      <w:r w:rsidRPr="00B93E1B">
        <w:rPr>
          <w:b/>
          <w:bCs/>
        </w:rPr>
        <w:t>4. Institutionally sustained.</w:t>
      </w:r>
      <w:r w:rsidRPr="00B93E1B">
        <w:t xml:space="preserve"> A posture only deters if it survives first contact.</w:t>
      </w:r>
    </w:p>
    <w:p w14:paraId="60FC16AD" w14:textId="77777777" w:rsidR="00B93E1B" w:rsidRPr="00B93E1B" w:rsidRDefault="00B93E1B" w:rsidP="00B93E1B">
      <w:pPr>
        <w:numPr>
          <w:ilvl w:val="0"/>
          <w:numId w:val="7"/>
        </w:numPr>
      </w:pPr>
      <w:r w:rsidRPr="00B93E1B">
        <w:lastRenderedPageBreak/>
        <w:t>stock depth, batteries, spares, repair, replacement; EW adaptation; training pipelines; standing experimentation; procurement agility; sovereign/EU supply-chain resilience; doctrinal ownership in the DF</w:t>
      </w:r>
    </w:p>
    <w:p w14:paraId="41FEC3CA" w14:textId="3E95D8CB" w:rsidR="00B93E1B" w:rsidRPr="00B93E1B" w:rsidRDefault="00B93E1B" w:rsidP="00B93E1B">
      <w:pPr>
        <w:numPr>
          <w:ilvl w:val="0"/>
          <w:numId w:val="7"/>
        </w:numPr>
      </w:pPr>
      <w:r w:rsidRPr="00B93E1B">
        <w:rPr>
          <w:i/>
          <w:iCs/>
        </w:rPr>
        <w:t>branch laydown (infantry / ordnance / CIS / engineers / artillery / cross-branch)</w:t>
      </w:r>
      <w:r w:rsidR="00633BB8">
        <w:rPr>
          <w:i/>
          <w:iCs/>
        </w:rPr>
        <w:t xml:space="preserve"> – </w:t>
      </w:r>
      <w:r w:rsidRPr="00B93E1B">
        <w:rPr>
          <w:i/>
          <w:iCs/>
        </w:rPr>
        <w:t>inherit the echelon findings already in the first half; don't relitigate them</w:t>
      </w:r>
    </w:p>
    <w:p w14:paraId="65A9E729" w14:textId="77777777" w:rsidR="00B93E1B" w:rsidRPr="00B93E1B" w:rsidRDefault="00B93E1B" w:rsidP="00B93E1B">
      <w:pPr>
        <w:numPr>
          <w:ilvl w:val="0"/>
          <w:numId w:val="7"/>
        </w:numPr>
      </w:pPr>
      <w:r w:rsidRPr="00B93E1B">
        <w:rPr>
          <w:i/>
          <w:iCs/>
        </w:rPr>
        <w:t xml:space="preserve">Line to </w:t>
      </w:r>
      <w:proofErr w:type="gramStart"/>
      <w:r w:rsidRPr="00B93E1B">
        <w:rPr>
          <w:i/>
          <w:iCs/>
        </w:rPr>
        <w:t>prove:</w:t>
      </w:r>
      <w:proofErr w:type="gramEnd"/>
      <w:r w:rsidRPr="00B93E1B">
        <w:rPr>
          <w:i/>
          <w:iCs/>
        </w:rPr>
        <w:t xml:space="preserve"> cheap systems create the opportunity; institutions create the deterrent.</w:t>
      </w:r>
    </w:p>
    <w:p w14:paraId="2C27D120" w14:textId="77777777" w:rsidR="00B93E1B" w:rsidRPr="00B93E1B" w:rsidRDefault="00B93E1B" w:rsidP="00B93E1B"/>
    <w:p w14:paraId="47F6FE2B" w14:textId="4BB44DD0" w:rsidR="008906B6" w:rsidRDefault="005E2FA4" w:rsidP="00734406">
      <w:pPr>
        <w:pStyle w:val="Heading2"/>
      </w:pPr>
      <w:r>
        <w:t>Conclusion</w:t>
      </w:r>
    </w:p>
    <w:p w14:paraId="0F6241C4" w14:textId="37D30887" w:rsidR="005E2FA4" w:rsidRPr="005E2FA4" w:rsidRDefault="00E80E03" w:rsidP="005E2FA4">
      <w:r>
        <w:t>[]</w:t>
      </w:r>
    </w:p>
    <w:sectPr w:rsidR="005E2FA4" w:rsidRPr="005E2FA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661D55" w14:textId="77777777" w:rsidR="004E3B57" w:rsidRDefault="004E3B57" w:rsidP="008F41DA">
      <w:pPr>
        <w:spacing w:after="0" w:line="240" w:lineRule="auto"/>
      </w:pPr>
      <w:r>
        <w:separator/>
      </w:r>
    </w:p>
  </w:endnote>
  <w:endnote w:type="continuationSeparator" w:id="0">
    <w:p w14:paraId="43F5BC18" w14:textId="77777777" w:rsidR="004E3B57" w:rsidRDefault="004E3B57" w:rsidP="008F4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DEB7AC" w14:textId="77777777" w:rsidR="004E3B57" w:rsidRDefault="004E3B57" w:rsidP="008F41DA">
      <w:pPr>
        <w:spacing w:after="0" w:line="240" w:lineRule="auto"/>
      </w:pPr>
      <w:r>
        <w:separator/>
      </w:r>
    </w:p>
  </w:footnote>
  <w:footnote w:type="continuationSeparator" w:id="0">
    <w:p w14:paraId="09CE65D6" w14:textId="77777777" w:rsidR="004E3B57" w:rsidRDefault="004E3B57" w:rsidP="008F41DA">
      <w:pPr>
        <w:spacing w:after="0" w:line="240" w:lineRule="auto"/>
      </w:pPr>
      <w:r>
        <w:continuationSeparator/>
      </w:r>
    </w:p>
  </w:footnote>
  <w:footnote w:id="1">
    <w:p w14:paraId="64F433AF" w14:textId="77777777" w:rsidR="00947EB5" w:rsidRDefault="00947EB5" w:rsidP="00947EB5">
      <w:pPr>
        <w:pStyle w:val="FootnoteText"/>
      </w:pPr>
      <w:r>
        <w:rPr>
          <w:rStyle w:val="FootnoteReference"/>
        </w:rPr>
        <w:footnoteRef/>
      </w:r>
      <w:r>
        <w:t xml:space="preserve"> </w:t>
      </w:r>
      <w:r w:rsidRPr="008F41DA">
        <w:t>Government of Ireland. Defence Policy Review 2024: Adjusting and Affirming Our Defence Policy in an Era of Change. Dublin: Department of Defence, 2024. Available at: https://assets.gov.ie/static/documents/defence-policy-review-2024.pdf (accessed 20 June 2026).</w:t>
      </w:r>
    </w:p>
  </w:footnote>
  <w:footnote w:id="2">
    <w:p w14:paraId="076FBBAF" w14:textId="77777777" w:rsidR="00947EB5" w:rsidRDefault="00947EB5" w:rsidP="00947EB5">
      <w:pPr>
        <w:pStyle w:val="FootnoteText"/>
      </w:pPr>
      <w:r>
        <w:rPr>
          <w:rStyle w:val="FootnoteReference"/>
        </w:rPr>
        <w:footnoteRef/>
      </w:r>
      <w:r>
        <w:t xml:space="preserve"> </w:t>
      </w:r>
      <w:r w:rsidRPr="008032E8">
        <w:t xml:space="preserve">Government of Ireland. </w:t>
      </w:r>
      <w:r w:rsidRPr="008032E8">
        <w:rPr>
          <w:i/>
          <w:iCs/>
        </w:rPr>
        <w:t>White Paper on Defence</w:t>
      </w:r>
      <w:r w:rsidRPr="008032E8">
        <w:t xml:space="preserve">. Dublin: Department of Defence, 2015. Available at: </w:t>
      </w:r>
      <w:r w:rsidRPr="007114F8">
        <w:t>https://assets.gov.ie/static/documents/white-paper-on-defence-august-2015.pdf</w:t>
      </w:r>
      <w:r w:rsidRPr="008032E8">
        <w:t xml:space="preserve"> (accessed 20 June 2026).</w:t>
      </w:r>
    </w:p>
  </w:footnote>
  <w:footnote w:id="3">
    <w:p w14:paraId="647FECC2" w14:textId="77777777" w:rsidR="00947EB5" w:rsidRDefault="00947EB5" w:rsidP="00947EB5">
      <w:pPr>
        <w:pStyle w:val="FootnoteText"/>
      </w:pPr>
      <w:r>
        <w:rPr>
          <w:rStyle w:val="FootnoteReference"/>
        </w:rPr>
        <w:footnoteRef/>
      </w:r>
      <w:r>
        <w:t xml:space="preserve"> United States Congress (2025). Congressional record: Proceedings and debates of the 119th Congress, first session. US Government Publishing Office. [online]. Available at: https://www.congress.gov/119/crec/2025/03/04/171/41/CREC-2025-03-04.pdf (accessed 1 April 2026).</w:t>
      </w:r>
    </w:p>
  </w:footnote>
  <w:footnote w:id="4">
    <w:p w14:paraId="1AAAB38F" w14:textId="77777777" w:rsidR="00947EB5" w:rsidRDefault="00947EB5" w:rsidP="00947EB5">
      <w:pPr>
        <w:pStyle w:val="FootnoteText"/>
      </w:pPr>
      <w:r>
        <w:rPr>
          <w:rStyle w:val="FootnoteReference"/>
        </w:rPr>
        <w:footnoteRef/>
      </w:r>
      <w:r>
        <w:t xml:space="preserve"> </w:t>
      </w:r>
      <w:proofErr w:type="spellStart"/>
      <w:r>
        <w:t>Statsministeriet</w:t>
      </w:r>
      <w:proofErr w:type="spellEnd"/>
      <w:r>
        <w:t xml:space="preserve"> (2026). </w:t>
      </w:r>
      <w:proofErr w:type="spellStart"/>
      <w:r>
        <w:t>Fællesudtalelse</w:t>
      </w:r>
      <w:proofErr w:type="spellEnd"/>
      <w:r>
        <w:t xml:space="preserve"> om </w:t>
      </w:r>
      <w:proofErr w:type="spellStart"/>
      <w:r>
        <w:t>Grønland</w:t>
      </w:r>
      <w:proofErr w:type="spellEnd"/>
      <w:r>
        <w:t xml:space="preserve"> [online]. Available at: https://s</w:t>
      </w:r>
    </w:p>
    <w:p w14:paraId="21B729B3" w14:textId="77777777" w:rsidR="00947EB5" w:rsidRDefault="00947EB5" w:rsidP="00947EB5">
      <w:pPr>
        <w:pStyle w:val="FootnoteText"/>
      </w:pPr>
      <w:r>
        <w:t>tm.dk/media/qo2dyzxy/erklaering-gl.pdf (accessed 1 April 2026).</w:t>
      </w:r>
    </w:p>
  </w:footnote>
  <w:footnote w:id="5">
    <w:p w14:paraId="2B9B0FD5" w14:textId="77777777" w:rsidR="00947EB5" w:rsidRDefault="00947EB5" w:rsidP="00947EB5">
      <w:pPr>
        <w:pStyle w:val="FootnoteText"/>
      </w:pPr>
      <w:r>
        <w:rPr>
          <w:rStyle w:val="FootnoteReference"/>
        </w:rPr>
        <w:footnoteRef/>
      </w:r>
      <w:r>
        <w:t xml:space="preserve"> </w:t>
      </w:r>
      <w:r w:rsidRPr="00370942">
        <w:t xml:space="preserve">European Defence Agency. </w:t>
      </w:r>
      <w:r w:rsidRPr="00370942">
        <w:rPr>
          <w:i/>
          <w:iCs/>
        </w:rPr>
        <w:t>The 2023 EU Capability Development Priorities: To Be Ready</w:t>
      </w:r>
      <w:r w:rsidRPr="00370942">
        <w:t xml:space="preserve">. Brussels: European Defence Agency, 2023. Available at: </w:t>
      </w:r>
      <w:hyperlink r:id="rId1" w:history="1">
        <w:r w:rsidRPr="00370942">
          <w:rPr>
            <w:rStyle w:val="Hyperlink"/>
          </w:rPr>
          <w:t>https://eda.europa.eu/docs/default-source/eda-publications/2023-eu-capability-development-priorities.pdf</w:t>
        </w:r>
      </w:hyperlink>
      <w:r w:rsidRPr="00370942">
        <w:t xml:space="preserve"> (accessed 22 June 2026).</w:t>
      </w:r>
    </w:p>
  </w:footnote>
  <w:footnote w:id="6">
    <w:p w14:paraId="76BB379E" w14:textId="77777777" w:rsidR="00947EB5" w:rsidRDefault="00947EB5" w:rsidP="00947EB5">
      <w:pPr>
        <w:pStyle w:val="FootnoteText"/>
      </w:pPr>
      <w:r>
        <w:rPr>
          <w:rStyle w:val="FootnoteReference"/>
        </w:rPr>
        <w:footnoteRef/>
      </w:r>
      <w:r>
        <w:t xml:space="preserve"> </w:t>
      </w:r>
      <w:r w:rsidRPr="0045714A">
        <w:t xml:space="preserve">NATO Allied Command Transformation. </w:t>
      </w:r>
      <w:r w:rsidRPr="0045714A">
        <w:rPr>
          <w:i/>
          <w:iCs/>
        </w:rPr>
        <w:t>NATO CD&amp;E Handbook: A Concept Developer's Toolbox</w:t>
      </w:r>
      <w:r w:rsidRPr="0045714A">
        <w:t xml:space="preserve">. Norfolk, VA: Allied Command Transformation, 2023. Available at: </w:t>
      </w:r>
      <w:hyperlink r:id="rId2" w:history="1">
        <w:r w:rsidRPr="0045714A">
          <w:rPr>
            <w:rStyle w:val="Hyperlink"/>
          </w:rPr>
          <w:t>https://www.act.nato.int/wp-content/uploads/2023/05/NATO-ACT-CDE-Handbook_A_Concept_Developers_Toolbox.pdf</w:t>
        </w:r>
      </w:hyperlink>
      <w:r w:rsidRPr="0045714A">
        <w:t xml:space="preserve"> (accessed 22 June 2026).</w:t>
      </w:r>
    </w:p>
  </w:footnote>
  <w:footnote w:id="7">
    <w:p w14:paraId="07518F0E" w14:textId="77777777" w:rsidR="00947EB5" w:rsidRDefault="00947EB5" w:rsidP="00947EB5">
      <w:pPr>
        <w:pStyle w:val="FootnoteText"/>
      </w:pPr>
      <w:r>
        <w:rPr>
          <w:rStyle w:val="FootnoteReference"/>
        </w:rPr>
        <w:footnoteRef/>
      </w:r>
      <w:r>
        <w:t xml:space="preserve"> TM 201</w:t>
      </w:r>
    </w:p>
  </w:footnote>
  <w:footnote w:id="8">
    <w:p w14:paraId="5EE9B9DE" w14:textId="77777777" w:rsidR="00947EB5" w:rsidRDefault="00947EB5" w:rsidP="00947EB5">
      <w:pPr>
        <w:pStyle w:val="FootnoteText"/>
      </w:pPr>
      <w:r>
        <w:rPr>
          <w:rStyle w:val="FootnoteReference"/>
        </w:rPr>
        <w:footnoteRef/>
      </w:r>
      <w:r>
        <w:t xml:space="preserve"> </w:t>
      </w:r>
      <w:r w:rsidRPr="003E5AA4">
        <w:t xml:space="preserve">O'Connor, N. </w:t>
      </w:r>
      <w:r w:rsidRPr="003E5AA4">
        <w:rPr>
          <w:i/>
          <w:iCs/>
        </w:rPr>
        <w:t>Ireland Could Be About to Sign €600m Armoured Vehicles Deal, French Arms Firm Says</w:t>
      </w:r>
      <w:r w:rsidRPr="003E5AA4">
        <w:t xml:space="preserve">. </w:t>
      </w:r>
      <w:r w:rsidRPr="003E5AA4">
        <w:rPr>
          <w:i/>
          <w:iCs/>
        </w:rPr>
        <w:t>The Journal</w:t>
      </w:r>
      <w:r w:rsidRPr="003E5AA4">
        <w:t xml:space="preserve">, 2025. Available at: </w:t>
      </w:r>
      <w:hyperlink r:id="rId3" w:tgtFrame="_new" w:history="1">
        <w:r w:rsidRPr="003E5AA4">
          <w:rPr>
            <w:rStyle w:val="Hyperlink"/>
          </w:rPr>
          <w:t>https://www.thejournal.ie/new-apc-vehicles-maybe-coming-from-france-6623112-Feb2025/</w:t>
        </w:r>
      </w:hyperlink>
      <w:r w:rsidRPr="003E5AA4">
        <w:t xml:space="preserve"> (accessed 24 February 2026).</w:t>
      </w:r>
    </w:p>
  </w:footnote>
  <w:footnote w:id="9">
    <w:p w14:paraId="478C52D0" w14:textId="77777777" w:rsidR="00947EB5" w:rsidRPr="002F0568" w:rsidRDefault="00947EB5" w:rsidP="00947EB5">
      <w:pPr>
        <w:pStyle w:val="FootnoteText"/>
      </w:pPr>
      <w:r>
        <w:rPr>
          <w:rStyle w:val="FootnoteReference"/>
        </w:rPr>
        <w:footnoteRef/>
      </w:r>
      <w:r>
        <w:t xml:space="preserve"> </w:t>
      </w:r>
      <w:r w:rsidRPr="002F0568">
        <w:t xml:space="preserve">Lopez, C. </w:t>
      </w:r>
      <w:r w:rsidRPr="002F0568">
        <w:rPr>
          <w:i/>
          <w:iCs/>
        </w:rPr>
        <w:t>The Ultra-Light Tactical Vehicle: How Working with Industry and the FMF Can Result in a Swiss Army Knife for Future Lethality</w:t>
      </w:r>
      <w:r w:rsidRPr="002F0568">
        <w:t xml:space="preserve">. </w:t>
      </w:r>
      <w:r w:rsidRPr="002F0568">
        <w:rPr>
          <w:i/>
          <w:iCs/>
        </w:rPr>
        <w:t>Marine Corps Gazette</w:t>
      </w:r>
      <w:r w:rsidRPr="002F0568">
        <w:t xml:space="preserve">, August 2021. Available at: </w:t>
      </w:r>
      <w:hyperlink r:id="rId4" w:history="1">
        <w:r w:rsidRPr="002F0568">
          <w:rPr>
            <w:rStyle w:val="Hyperlink"/>
          </w:rPr>
          <w:t>https://www.mca-marines.org/wp-content/uploads/23-The-Ultra-Light.pdf</w:t>
        </w:r>
      </w:hyperlink>
      <w:r w:rsidRPr="002F0568">
        <w:t xml:space="preserve"> (accessed 21 June 2026).</w:t>
      </w:r>
    </w:p>
    <w:p w14:paraId="6D51D53E" w14:textId="77777777" w:rsidR="00947EB5" w:rsidRDefault="00947EB5" w:rsidP="00947EB5">
      <w:pPr>
        <w:pStyle w:val="FootnoteText"/>
      </w:pPr>
    </w:p>
  </w:footnote>
  <w:footnote w:id="10">
    <w:p w14:paraId="0E3C5ECA" w14:textId="77777777" w:rsidR="00766DD3" w:rsidRDefault="00766DD3" w:rsidP="00766DD3">
      <w:pPr>
        <w:pStyle w:val="FootnoteText"/>
      </w:pPr>
      <w:r>
        <w:rPr>
          <w:rStyle w:val="FootnoteReference"/>
        </w:rPr>
        <w:footnoteRef/>
      </w:r>
      <w:r>
        <w:t xml:space="preserve"> </w:t>
      </w:r>
      <w:r w:rsidRPr="009F3487">
        <w:t xml:space="preserve">Lanchester, F. W. </w:t>
      </w:r>
      <w:r w:rsidRPr="009F3487">
        <w:rPr>
          <w:i/>
          <w:iCs/>
        </w:rPr>
        <w:t>Aircraft in Warfare: The Dawn of the Fourth Arm</w:t>
      </w:r>
      <w:r w:rsidRPr="009F3487">
        <w:t>. London: Constable and Company Limited, 1916.</w:t>
      </w:r>
    </w:p>
  </w:footnote>
  <w:footnote w:id="11">
    <w:p w14:paraId="3D0D22D5" w14:textId="77777777" w:rsidR="00766DD3" w:rsidRDefault="00766DD3" w:rsidP="00766DD3">
      <w:pPr>
        <w:pStyle w:val="FootnoteText"/>
      </w:pPr>
      <w:r>
        <w:rPr>
          <w:rStyle w:val="FootnoteReference"/>
        </w:rPr>
        <w:footnoteRef/>
      </w:r>
      <w:r>
        <w:t xml:space="preserve"> </w:t>
      </w:r>
      <w:r w:rsidRPr="009F3487">
        <w:t xml:space="preserve">Mearsheimer, J. J. </w:t>
      </w:r>
      <w:r w:rsidRPr="009F3487">
        <w:rPr>
          <w:i/>
          <w:iCs/>
        </w:rPr>
        <w:t>Assessing the Conventional Balance: The 3:1 Rule and Its Critics</w:t>
      </w:r>
      <w:r w:rsidRPr="009F3487">
        <w:t xml:space="preserve">. </w:t>
      </w:r>
      <w:r w:rsidRPr="009F3487">
        <w:rPr>
          <w:i/>
          <w:iCs/>
        </w:rPr>
        <w:t>International Security</w:t>
      </w:r>
      <w:r w:rsidRPr="009F3487">
        <w:t xml:space="preserve">, 13(4), 1989, pp. 54–89. Available at: </w:t>
      </w:r>
      <w:hyperlink r:id="rId5" w:tgtFrame="_new" w:history="1">
        <w:r w:rsidRPr="009F3487">
          <w:rPr>
            <w:rStyle w:val="Hyperlink"/>
          </w:rPr>
          <w:t>https://www.jstor.org/stable/2538780</w:t>
        </w:r>
      </w:hyperlink>
      <w:r w:rsidRPr="009F3487">
        <w:t xml:space="preserve"> (accessed 29 March 2025).</w:t>
      </w:r>
    </w:p>
  </w:footnote>
  <w:footnote w:id="12">
    <w:p w14:paraId="570252A1" w14:textId="77777777" w:rsidR="00656D8B" w:rsidRDefault="00656D8B" w:rsidP="00656D8B">
      <w:pPr>
        <w:pStyle w:val="FootnoteText"/>
      </w:pPr>
      <w:r>
        <w:rPr>
          <w:rStyle w:val="FootnoteReference"/>
        </w:rPr>
        <w:footnoteRef/>
      </w:r>
      <w:r>
        <w:t xml:space="preserve"> </w:t>
      </w:r>
      <w:r w:rsidRPr="00327715">
        <w:t xml:space="preserve">Beatty, A. </w:t>
      </w:r>
      <w:r w:rsidRPr="00327715">
        <w:rPr>
          <w:i/>
          <w:iCs/>
        </w:rPr>
        <w:t>Movement as Exposure: Uncrewed Systems and the Transformation of Light Infantry Tactics: From Tactical Adaptation to Force Design and Deterrence-by-Denial in a Small State Context</w:t>
      </w:r>
      <w:r w:rsidRPr="00327715">
        <w:t>. MA thesis, Maynooth University, 2026. Available from the Defence Forces Library.</w:t>
      </w:r>
    </w:p>
  </w:footnote>
  <w:footnote w:id="13">
    <w:p w14:paraId="1C79910A" w14:textId="733ECE66" w:rsidR="00C12DA0" w:rsidRDefault="00C12DA0">
      <w:pPr>
        <w:pStyle w:val="FootnoteText"/>
      </w:pPr>
      <w:r>
        <w:rPr>
          <w:rStyle w:val="FootnoteReference"/>
        </w:rPr>
        <w:footnoteRef/>
      </w:r>
      <w:r>
        <w:t xml:space="preserve"> </w:t>
      </w:r>
      <w:r w:rsidRPr="00C12DA0">
        <w:t xml:space="preserve">The salvo column estimates the number and cost of effectors required to defeat an armoured company. </w:t>
      </w:r>
      <w:r w:rsidR="007A6FF0" w:rsidRPr="007A6FF0">
        <w:t>Effect is normalised to delivered shaped-charge mass, not raw payload:</w:t>
      </w:r>
      <w:r w:rsidR="007A6FF0">
        <w:t xml:space="preserve"> </w:t>
      </w:r>
      <w:r w:rsidRPr="00C12DA0">
        <w:t>OWADs are calculated against the 100</w:t>
      </w:r>
      <w:r w:rsidR="00DE3CD3">
        <w:t>-</w:t>
      </w:r>
      <w:r w:rsidRPr="00C12DA0">
        <w:t>k</w:t>
      </w:r>
      <w:r w:rsidR="006B7283">
        <w:t>ilogram</w:t>
      </w:r>
      <w:r w:rsidRPr="00C12DA0">
        <w:t xml:space="preserve"> shaped-charge requirement in Bronk and Watling; Javelin is calculated as six missiles at assumed 100 percent kill probability against the 40–60 per cent immobilisation threshold – an assumption</w:t>
      </w:r>
      <w:r w:rsidR="00526588">
        <w:t xml:space="preserve"> which</w:t>
      </w:r>
      <w:r w:rsidRPr="00C12DA0">
        <w:t xml:space="preserve"> flatters Javelin and therefore understates the drone advantage. Bronk, J. and Watling, J. </w:t>
      </w:r>
      <w:r w:rsidRPr="00C12DA0">
        <w:rPr>
          <w:i/>
          <w:iCs/>
        </w:rPr>
        <w:t>Mass Precision Strike: Designing UAV Complexes for Land Forces</w:t>
      </w:r>
      <w:r w:rsidRPr="00C12DA0">
        <w:t xml:space="preserve">. London: Royal United Services Institute for Defence and Security Studies, 2024. Available at: </w:t>
      </w:r>
      <w:hyperlink r:id="rId6" w:history="1">
        <w:r w:rsidRPr="00C12DA0">
          <w:rPr>
            <w:rStyle w:val="Hyperlink"/>
          </w:rPr>
          <w:t>https://static.rusi.org/mass-precision-strike-final.pdf</w:t>
        </w:r>
      </w:hyperlink>
      <w:r w:rsidRPr="00C12DA0">
        <w:t xml:space="preserve"> (accessed 16 December 2025).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8443802">
    <w:abstractNumId w:val="1"/>
  </w:num>
  <w:num w:numId="2" w16cid:durableId="1625699588">
    <w:abstractNumId w:val="4"/>
  </w:num>
  <w:num w:numId="3" w16cid:durableId="351036008">
    <w:abstractNumId w:val="0"/>
  </w:num>
  <w:num w:numId="4" w16cid:durableId="1840726473">
    <w:abstractNumId w:val="3"/>
  </w:num>
  <w:num w:numId="5" w16cid:durableId="949435667">
    <w:abstractNumId w:val="6"/>
  </w:num>
  <w:num w:numId="6" w16cid:durableId="2129355854">
    <w:abstractNumId w:val="2"/>
  </w:num>
  <w:num w:numId="7" w16cid:durableId="17145742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17713"/>
    <w:rsid w:val="00034CC3"/>
    <w:rsid w:val="00036E74"/>
    <w:rsid w:val="000603AB"/>
    <w:rsid w:val="00063C3E"/>
    <w:rsid w:val="00065A3F"/>
    <w:rsid w:val="000773AE"/>
    <w:rsid w:val="0008463B"/>
    <w:rsid w:val="000A62A6"/>
    <w:rsid w:val="000B39F2"/>
    <w:rsid w:val="000C389C"/>
    <w:rsid w:val="000E53A4"/>
    <w:rsid w:val="000E74FD"/>
    <w:rsid w:val="00102312"/>
    <w:rsid w:val="00107A60"/>
    <w:rsid w:val="00126E0F"/>
    <w:rsid w:val="00143911"/>
    <w:rsid w:val="00172310"/>
    <w:rsid w:val="00176EA6"/>
    <w:rsid w:val="001779D4"/>
    <w:rsid w:val="001800EF"/>
    <w:rsid w:val="001822CC"/>
    <w:rsid w:val="00182D41"/>
    <w:rsid w:val="001A3844"/>
    <w:rsid w:val="001B6642"/>
    <w:rsid w:val="001C6BAB"/>
    <w:rsid w:val="001C70DF"/>
    <w:rsid w:val="001C71F6"/>
    <w:rsid w:val="001D0016"/>
    <w:rsid w:val="001E7AE7"/>
    <w:rsid w:val="00211892"/>
    <w:rsid w:val="00220651"/>
    <w:rsid w:val="0022693E"/>
    <w:rsid w:val="00230C29"/>
    <w:rsid w:val="00232127"/>
    <w:rsid w:val="00240A82"/>
    <w:rsid w:val="00262708"/>
    <w:rsid w:val="002822C2"/>
    <w:rsid w:val="00292EE9"/>
    <w:rsid w:val="002C4F0D"/>
    <w:rsid w:val="002D603F"/>
    <w:rsid w:val="002E0EF9"/>
    <w:rsid w:val="002F0568"/>
    <w:rsid w:val="002F4644"/>
    <w:rsid w:val="0030344C"/>
    <w:rsid w:val="00327715"/>
    <w:rsid w:val="0033406E"/>
    <w:rsid w:val="003615C3"/>
    <w:rsid w:val="0036390B"/>
    <w:rsid w:val="00373773"/>
    <w:rsid w:val="00392A7C"/>
    <w:rsid w:val="003A11A1"/>
    <w:rsid w:val="003A2DA1"/>
    <w:rsid w:val="003B6230"/>
    <w:rsid w:val="003E4F2A"/>
    <w:rsid w:val="003E5AA4"/>
    <w:rsid w:val="00401D26"/>
    <w:rsid w:val="004315E8"/>
    <w:rsid w:val="00431645"/>
    <w:rsid w:val="004359AF"/>
    <w:rsid w:val="00443FFE"/>
    <w:rsid w:val="00456E3A"/>
    <w:rsid w:val="0047065D"/>
    <w:rsid w:val="0047228C"/>
    <w:rsid w:val="004738DA"/>
    <w:rsid w:val="004910FE"/>
    <w:rsid w:val="004A13E6"/>
    <w:rsid w:val="004A36F5"/>
    <w:rsid w:val="004B73C3"/>
    <w:rsid w:val="004E3B57"/>
    <w:rsid w:val="004F0B7F"/>
    <w:rsid w:val="005032B0"/>
    <w:rsid w:val="00524254"/>
    <w:rsid w:val="00526588"/>
    <w:rsid w:val="005532E2"/>
    <w:rsid w:val="00572323"/>
    <w:rsid w:val="00583511"/>
    <w:rsid w:val="005859B9"/>
    <w:rsid w:val="005B47FC"/>
    <w:rsid w:val="005C4B5D"/>
    <w:rsid w:val="005D62BA"/>
    <w:rsid w:val="005D6A14"/>
    <w:rsid w:val="005E2FA4"/>
    <w:rsid w:val="005F0279"/>
    <w:rsid w:val="00602AC4"/>
    <w:rsid w:val="0060431C"/>
    <w:rsid w:val="0060740A"/>
    <w:rsid w:val="006077C5"/>
    <w:rsid w:val="00626CC9"/>
    <w:rsid w:val="0063136F"/>
    <w:rsid w:val="00633BB8"/>
    <w:rsid w:val="006376AF"/>
    <w:rsid w:val="00654E5F"/>
    <w:rsid w:val="00656D8B"/>
    <w:rsid w:val="00687BB9"/>
    <w:rsid w:val="006B245A"/>
    <w:rsid w:val="006B36F7"/>
    <w:rsid w:val="006B7283"/>
    <w:rsid w:val="006C01F9"/>
    <w:rsid w:val="006C1751"/>
    <w:rsid w:val="006D3152"/>
    <w:rsid w:val="006E0485"/>
    <w:rsid w:val="006E41D2"/>
    <w:rsid w:val="006E6DF6"/>
    <w:rsid w:val="00702A39"/>
    <w:rsid w:val="00707459"/>
    <w:rsid w:val="007114F8"/>
    <w:rsid w:val="0071161B"/>
    <w:rsid w:val="00717ED2"/>
    <w:rsid w:val="00734406"/>
    <w:rsid w:val="007539C9"/>
    <w:rsid w:val="0076059B"/>
    <w:rsid w:val="00766DD3"/>
    <w:rsid w:val="0077704F"/>
    <w:rsid w:val="007A6FF0"/>
    <w:rsid w:val="007D58F9"/>
    <w:rsid w:val="007E6648"/>
    <w:rsid w:val="007F7005"/>
    <w:rsid w:val="008008AE"/>
    <w:rsid w:val="008032E8"/>
    <w:rsid w:val="008278AC"/>
    <w:rsid w:val="00833C45"/>
    <w:rsid w:val="00841CA6"/>
    <w:rsid w:val="00847D59"/>
    <w:rsid w:val="00856A81"/>
    <w:rsid w:val="0087131C"/>
    <w:rsid w:val="00880436"/>
    <w:rsid w:val="008906B6"/>
    <w:rsid w:val="008A10CC"/>
    <w:rsid w:val="008A2BAF"/>
    <w:rsid w:val="008D1071"/>
    <w:rsid w:val="008D790E"/>
    <w:rsid w:val="008E24F7"/>
    <w:rsid w:val="008E628C"/>
    <w:rsid w:val="008F1E30"/>
    <w:rsid w:val="008F41DA"/>
    <w:rsid w:val="009145A4"/>
    <w:rsid w:val="00917666"/>
    <w:rsid w:val="00925E2F"/>
    <w:rsid w:val="009305B9"/>
    <w:rsid w:val="00947EB5"/>
    <w:rsid w:val="00971FFB"/>
    <w:rsid w:val="00996C78"/>
    <w:rsid w:val="009A2241"/>
    <w:rsid w:val="009A4725"/>
    <w:rsid w:val="009C76EC"/>
    <w:rsid w:val="009D4618"/>
    <w:rsid w:val="009E246E"/>
    <w:rsid w:val="009E28A5"/>
    <w:rsid w:val="00A04877"/>
    <w:rsid w:val="00A04CA9"/>
    <w:rsid w:val="00A23F4E"/>
    <w:rsid w:val="00A432B4"/>
    <w:rsid w:val="00A50E13"/>
    <w:rsid w:val="00A71BE2"/>
    <w:rsid w:val="00A82B6C"/>
    <w:rsid w:val="00AB0ACD"/>
    <w:rsid w:val="00AC6223"/>
    <w:rsid w:val="00AC7624"/>
    <w:rsid w:val="00AE6C88"/>
    <w:rsid w:val="00AF0C93"/>
    <w:rsid w:val="00B05986"/>
    <w:rsid w:val="00B2402D"/>
    <w:rsid w:val="00B46909"/>
    <w:rsid w:val="00B62BAA"/>
    <w:rsid w:val="00B8094F"/>
    <w:rsid w:val="00B93E1B"/>
    <w:rsid w:val="00B94448"/>
    <w:rsid w:val="00BB2886"/>
    <w:rsid w:val="00BB3343"/>
    <w:rsid w:val="00BB3526"/>
    <w:rsid w:val="00BC252E"/>
    <w:rsid w:val="00BC4646"/>
    <w:rsid w:val="00BE2246"/>
    <w:rsid w:val="00BF4B6D"/>
    <w:rsid w:val="00C12DA0"/>
    <w:rsid w:val="00C13EBD"/>
    <w:rsid w:val="00C31025"/>
    <w:rsid w:val="00C376F0"/>
    <w:rsid w:val="00C40892"/>
    <w:rsid w:val="00C446BB"/>
    <w:rsid w:val="00C50339"/>
    <w:rsid w:val="00C57783"/>
    <w:rsid w:val="00C74C84"/>
    <w:rsid w:val="00C76E0E"/>
    <w:rsid w:val="00C82EE9"/>
    <w:rsid w:val="00C9561E"/>
    <w:rsid w:val="00CA049A"/>
    <w:rsid w:val="00CA53E2"/>
    <w:rsid w:val="00CA5665"/>
    <w:rsid w:val="00CB1328"/>
    <w:rsid w:val="00CB2FEB"/>
    <w:rsid w:val="00CC44E2"/>
    <w:rsid w:val="00CD6625"/>
    <w:rsid w:val="00CE2CBB"/>
    <w:rsid w:val="00D02D50"/>
    <w:rsid w:val="00D04E62"/>
    <w:rsid w:val="00D0517E"/>
    <w:rsid w:val="00D11B48"/>
    <w:rsid w:val="00D31202"/>
    <w:rsid w:val="00D31766"/>
    <w:rsid w:val="00D33A77"/>
    <w:rsid w:val="00D37663"/>
    <w:rsid w:val="00D43EF2"/>
    <w:rsid w:val="00D533ED"/>
    <w:rsid w:val="00D539C9"/>
    <w:rsid w:val="00D55D9F"/>
    <w:rsid w:val="00D72570"/>
    <w:rsid w:val="00D80DC3"/>
    <w:rsid w:val="00D93EFA"/>
    <w:rsid w:val="00D97A55"/>
    <w:rsid w:val="00DB5050"/>
    <w:rsid w:val="00DC5778"/>
    <w:rsid w:val="00DE1E55"/>
    <w:rsid w:val="00DE3CD3"/>
    <w:rsid w:val="00DE701E"/>
    <w:rsid w:val="00DE7342"/>
    <w:rsid w:val="00DF7EB0"/>
    <w:rsid w:val="00E05D57"/>
    <w:rsid w:val="00E237FD"/>
    <w:rsid w:val="00E27349"/>
    <w:rsid w:val="00E37A49"/>
    <w:rsid w:val="00E44360"/>
    <w:rsid w:val="00E503FF"/>
    <w:rsid w:val="00E600EA"/>
    <w:rsid w:val="00E60F00"/>
    <w:rsid w:val="00E80E03"/>
    <w:rsid w:val="00E851DC"/>
    <w:rsid w:val="00EB0659"/>
    <w:rsid w:val="00EB428B"/>
    <w:rsid w:val="00EB4DCB"/>
    <w:rsid w:val="00EC66DF"/>
    <w:rsid w:val="00ED4294"/>
    <w:rsid w:val="00ED4604"/>
    <w:rsid w:val="00ED54BE"/>
    <w:rsid w:val="00EE12B1"/>
    <w:rsid w:val="00F11EA1"/>
    <w:rsid w:val="00F318C3"/>
    <w:rsid w:val="00F47AB0"/>
    <w:rsid w:val="00F553E9"/>
    <w:rsid w:val="00F979A6"/>
    <w:rsid w:val="00F97F87"/>
    <w:rsid w:val="00FA2700"/>
    <w:rsid w:val="00FA51DA"/>
    <w:rsid w:val="00FA5A9C"/>
    <w:rsid w:val="00FB05F1"/>
    <w:rsid w:val="00FD26A9"/>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semiHidden/>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2C4F0D"/>
    <w:pPr>
      <w:spacing w:after="200" w:line="240" w:lineRule="auto"/>
    </w:pPr>
    <w:rPr>
      <w:i/>
      <w:iCs/>
      <w:color w:val="0E2841" w:themeColor="text2"/>
      <w:sz w:val="18"/>
      <w:szCs w:val="18"/>
    </w:rPr>
  </w:style>
  <w:style w:type="paragraph" w:styleId="NoSpacing">
    <w:name w:val="No Spacing"/>
    <w:uiPriority w:val="1"/>
    <w:qFormat/>
    <w:rsid w:val="00D539C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_rels/footnotes.xml.rels><?xml version="1.0" encoding="UTF-8" standalone="yes"?>
<Relationships xmlns="http://schemas.openxmlformats.org/package/2006/relationships"><Relationship Id="rId3" Type="http://schemas.openxmlformats.org/officeDocument/2006/relationships/hyperlink" Target="https://www.thejournal.ie/new-apc-vehicles-maybe-coming-from-france-6623112-Feb2025/" TargetMode="External"/><Relationship Id="rId2" Type="http://schemas.openxmlformats.org/officeDocument/2006/relationships/hyperlink" Target="https://www.act.nato.int/wp-content/uploads/2023/05/NATO-ACT-CDE-Handbook_A_Concept_Developers_Toolbox.pdf" TargetMode="External"/><Relationship Id="rId1" Type="http://schemas.openxmlformats.org/officeDocument/2006/relationships/hyperlink" Target="https://eda.europa.eu/docs/default-source/eda-publications/2023-eu-capability-development-priorities.pdf" TargetMode="External"/><Relationship Id="rId6" Type="http://schemas.openxmlformats.org/officeDocument/2006/relationships/hyperlink" Target="https://static.rusi.org/mass-precision-strike-final.pdf" TargetMode="External"/><Relationship Id="rId5" Type="http://schemas.openxmlformats.org/officeDocument/2006/relationships/hyperlink" Target="https://www.jstor.org/stable/2538780" TargetMode="External"/><Relationship Id="rId4" Type="http://schemas.openxmlformats.org/officeDocument/2006/relationships/hyperlink" Target="https://www.mca-marines.org/wp-content/uploads/23-The-Ultra-Light.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1980</Words>
  <Characters>11288</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2</cp:revision>
  <dcterms:created xsi:type="dcterms:W3CDTF">2026-06-22T21:47:00Z</dcterms:created>
  <dcterms:modified xsi:type="dcterms:W3CDTF">2026-06-22T21:47:00Z</dcterms:modified>
</cp:coreProperties>
</file>