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3EB2AB7E" w14:textId="77777777" w:rsidR="00947EB5" w:rsidRPr="00262708"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6769E7F3" w14:textId="77777777" w:rsidR="00947EB5"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conflict. Failure to internalise the implications of UxS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Pr="0071161B">
        <w:rPr>
          <w:rFonts w:asciiTheme="minorHAnsi" w:eastAsiaTheme="minorHAnsi" w:hAnsiTheme="minorHAnsi" w:cstheme="minorBidi"/>
          <w:color w:val="auto"/>
          <w:sz w:val="24"/>
          <w:szCs w:val="24"/>
          <w:highlight w:val="yellow"/>
        </w:rPr>
        <w:t>OB: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4A80005F" w14:textId="64414BB4" w:rsidR="00947EB5" w:rsidRPr="00803FC3"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Its materiel reflects a Cold War mentality. Its leadership is not configured for contemporary mission command. And it fields too few soldiers to carry the cognitive load, operate the new systems and remain cohesive once dispersed. Adding drones changes none of that.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36268342"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w:t>
      </w:r>
      <w:r w:rsidR="00D37663"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0"/>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1"/>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three functions that once demanded expensive platforms: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decisive – denial without parity.</w:t>
      </w:r>
    </w:p>
    <w:p w14:paraId="6156CECA" w14:textId="77777777" w:rsidR="00766DD3" w:rsidRDefault="00766DD3" w:rsidP="006E41D2"/>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2"/>
      </w:r>
      <w:r w:rsidR="00C12DA0">
        <w:t xml:space="preserve"> </w:t>
      </w:r>
      <w:r w:rsidR="00C12DA0">
        <w:rPr>
          <w:rStyle w:val="FootnoteReference"/>
        </w:rPr>
        <w:footnoteReference w:id="13"/>
      </w:r>
    </w:p>
    <w:p w14:paraId="2C8ED009" w14:textId="77777777" w:rsidR="002C4F0D" w:rsidRDefault="00EE12B1" w:rsidP="002C4F0D">
      <w:pPr>
        <w:keepNext/>
      </w:pPr>
      <w:r w:rsidRPr="00EE12B1">
        <w:rPr>
          <w:noProof/>
        </w:rPr>
        <w:lastRenderedPageBreak/>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8"/>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Ireland has long treated serious territorial defence as financially unreachable, because credibility was assumed to require conventional mass. UxS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465AC889"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1715B290" w14:textId="2EF7D76E" w:rsidR="008E24F7" w:rsidRDefault="008E24F7" w:rsidP="00D539C9">
      <w:pPr>
        <w:pStyle w:val="NoSpacing"/>
      </w:pPr>
      <w:r w:rsidRPr="00262708">
        <w:t>The recommendations follow directly and cost little to begin. First, adopt the lance-corporal rank: dispersed sections need a commander in each</w:t>
      </w:r>
      <w:r>
        <w:t xml:space="preserve"> and</w:t>
      </w:r>
      <w:r w:rsidRPr="00262708">
        <w:t xml:space="preserve"> the rank structure must catch up to the tactics. Second, experiment properly rather than procure blindly</w:t>
      </w:r>
      <w:r>
        <w:t xml:space="preserve"> — </w:t>
      </w:r>
      <w:r w:rsidRPr="00262708">
        <w:t xml:space="preserve">stand up trial sections at fourteen and fifteen </w:t>
      </w:r>
      <w:r w:rsidRPr="00D539C9">
        <w:t>soldiers</w:t>
      </w:r>
      <w:r w:rsidR="00D539C9" w:rsidRPr="00D539C9">
        <w:t xml:space="preserve"> (</w:t>
      </w:r>
      <w:r w:rsidR="00D539C9" w:rsidRPr="00D539C9">
        <w:fldChar w:fldCharType="begin"/>
      </w:r>
      <w:r w:rsidR="00D539C9" w:rsidRPr="00D539C9">
        <w:instrText xml:space="preserve"> REF _Ref233060645 \h </w:instrText>
      </w:r>
      <w:r w:rsidR="00D539C9" w:rsidRPr="00D539C9">
        <w:instrText xml:space="preserve"> \* MERGEFORMAT </w:instrText>
      </w:r>
      <w:r w:rsidR="00D539C9" w:rsidRPr="00D539C9">
        <w:fldChar w:fldCharType="separate"/>
      </w:r>
      <w:r w:rsidR="00D539C9" w:rsidRPr="00D539C9">
        <w:t>Figure 1</w:t>
      </w:r>
      <w:r w:rsidR="00D539C9" w:rsidRPr="00D539C9">
        <w:fldChar w:fldCharType="end"/>
      </w:r>
      <w:r w:rsidR="00D539C9" w:rsidRPr="00D539C9">
        <w:t>)</w:t>
      </w:r>
      <w:r w:rsidRPr="00D539C9">
        <w:t>, test them</w:t>
      </w:r>
      <w:r w:rsidRPr="00262708">
        <w:t xml:space="preserve"> against realistic drone threats</w:t>
      </w:r>
      <w:r>
        <w:t xml:space="preserve"> and</w:t>
      </w:r>
      <w:r w:rsidRPr="00262708">
        <w:t xml:space="preserve"> let the results, not assumption, settle the establishment</w:t>
      </w:r>
      <w:r w:rsidRPr="00D539C9">
        <w:t xml:space="preserve">. </w:t>
      </w:r>
      <w:r w:rsidRPr="00262708">
        <w:t>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t xml:space="preserve"> and</w:t>
      </w:r>
      <w:r w:rsidRPr="00262708">
        <w:t xml:space="preserve"> none waits on a procurement cycle. The first move is organisational, not financial</w:t>
      </w:r>
      <w:r>
        <w:t xml:space="preserve"> — </w:t>
      </w:r>
      <w:r w:rsidRPr="00262708">
        <w:t>which is precisely why the constraint that stalled Irish defence no longer holds.</w:t>
      </w:r>
    </w:p>
    <w:p w14:paraId="2A8DE71D" w14:textId="21BF1C2F" w:rsidR="00FD26A9" w:rsidRDefault="00D539C9" w:rsidP="00FD26A9">
      <w:pPr>
        <w:keepNext/>
        <w:jc w:val="center"/>
      </w:pPr>
      <w:r w:rsidRPr="00D539C9">
        <w:lastRenderedPageBreak/>
        <w:drawing>
          <wp:inline distT="0" distB="0" distL="0" distR="0" wp14:anchorId="3BA8F21E" wp14:editId="0F6E14AC">
            <wp:extent cx="2709073" cy="1655277"/>
            <wp:effectExtent l="0" t="0" r="0" b="2540"/>
            <wp:docPr id="194437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79885" name=""/>
                    <pic:cNvPicPr/>
                  </pic:nvPicPr>
                  <pic:blipFill>
                    <a:blip r:embed="rId9"/>
                    <a:stretch>
                      <a:fillRect/>
                    </a:stretch>
                  </pic:blipFill>
                  <pic:spPr>
                    <a:xfrm>
                      <a:off x="0" y="0"/>
                      <a:ext cx="2723776" cy="1664261"/>
                    </a:xfrm>
                    <a:prstGeom prst="rect">
                      <a:avLst/>
                    </a:prstGeom>
                  </pic:spPr>
                </pic:pic>
              </a:graphicData>
            </a:graphic>
          </wp:inline>
        </w:drawing>
      </w:r>
      <w:r w:rsidR="00FD26A9" w:rsidRPr="00FD26A9">
        <w:drawing>
          <wp:inline distT="0" distB="0" distL="0" distR="0" wp14:anchorId="5294252E" wp14:editId="7ABFAEE1">
            <wp:extent cx="2907102" cy="1736016"/>
            <wp:effectExtent l="0" t="0" r="7620" b="0"/>
            <wp:docPr id="198120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08126" name=""/>
                    <pic:cNvPicPr/>
                  </pic:nvPicPr>
                  <pic:blipFill>
                    <a:blip r:embed="rId10"/>
                    <a:stretch>
                      <a:fillRect/>
                    </a:stretch>
                  </pic:blipFill>
                  <pic:spPr>
                    <a:xfrm>
                      <a:off x="0" y="0"/>
                      <a:ext cx="2918337" cy="1742725"/>
                    </a:xfrm>
                    <a:prstGeom prst="rect">
                      <a:avLst/>
                    </a:prstGeom>
                  </pic:spPr>
                </pic:pic>
              </a:graphicData>
            </a:graphic>
          </wp:inline>
        </w:drawing>
      </w:r>
    </w:p>
    <w:p w14:paraId="55D10960" w14:textId="61C0DAF9" w:rsidR="00FD26A9" w:rsidRPr="00FD26A9" w:rsidRDefault="00FD26A9" w:rsidP="00FD26A9">
      <w:pPr>
        <w:pStyle w:val="Caption"/>
        <w:jc w:val="center"/>
      </w:pPr>
      <w:bookmarkStart w:id="1" w:name="_Ref233060645"/>
      <w:r>
        <w:t xml:space="preserve">Figure </w:t>
      </w:r>
      <w:r>
        <w:fldChar w:fldCharType="begin"/>
      </w:r>
      <w:r>
        <w:instrText xml:space="preserve"> SEQ Figure \* ARABIC </w:instrText>
      </w:r>
      <w:r>
        <w:fldChar w:fldCharType="separate"/>
      </w:r>
      <w:r>
        <w:rPr>
          <w:noProof/>
        </w:rPr>
        <w:t>1</w:t>
      </w:r>
      <w:r>
        <w:fldChar w:fldCharType="end"/>
      </w:r>
      <w:bookmarkEnd w:id="1"/>
      <w:r>
        <w:t xml:space="preserve">. </w:t>
      </w:r>
      <w:r w:rsidRPr="00E1430B">
        <w:t xml:space="preserve"> </w:t>
      </w:r>
      <w:r w:rsidR="00AE6C88">
        <w:t>Fourteen and f</w:t>
      </w:r>
      <w:r w:rsidRPr="00E1430B">
        <w:t>ifteen-soldier section</w:t>
      </w:r>
      <w:r w:rsidR="001C70DF">
        <w:t>s</w:t>
      </w:r>
      <w:r w:rsidRPr="00E1430B">
        <w:t xml:space="preserve"> with organic FPVD, support detachment and separate commander</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protection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A474E" w14:textId="77777777" w:rsidR="00E27398" w:rsidRDefault="00E27398" w:rsidP="008F41DA">
      <w:pPr>
        <w:spacing w:after="0" w:line="240" w:lineRule="auto"/>
      </w:pPr>
      <w:r>
        <w:separator/>
      </w:r>
    </w:p>
  </w:endnote>
  <w:endnote w:type="continuationSeparator" w:id="0">
    <w:p w14:paraId="28F92FC9" w14:textId="77777777" w:rsidR="00E27398" w:rsidRDefault="00E27398"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05CDF" w14:textId="77777777" w:rsidR="00E27398" w:rsidRDefault="00E27398" w:rsidP="008F41DA">
      <w:pPr>
        <w:spacing w:after="0" w:line="240" w:lineRule="auto"/>
      </w:pPr>
      <w:r>
        <w:separator/>
      </w:r>
    </w:p>
  </w:footnote>
  <w:footnote w:type="continuationSeparator" w:id="0">
    <w:p w14:paraId="769C3F57" w14:textId="77777777" w:rsidR="00E27398" w:rsidRDefault="00E27398"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Statsministeriet (2026). Fællesudtalelse om Grønland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478C52D0" w14:textId="77777777" w:rsidR="00947EB5" w:rsidRPr="002F0568"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p w14:paraId="6D51D53E" w14:textId="77777777" w:rsidR="00947EB5" w:rsidRDefault="00947EB5" w:rsidP="00947EB5">
      <w:pPr>
        <w:pStyle w:val="FootnoteText"/>
      </w:pPr>
    </w:p>
  </w:footnote>
  <w:footnote w:id="10">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1">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5" w:tgtFrame="_new" w:history="1">
        <w:r w:rsidRPr="009F3487">
          <w:rPr>
            <w:rStyle w:val="Hyperlink"/>
          </w:rPr>
          <w:t>https://www.jstor.org/stable/2538780</w:t>
        </w:r>
      </w:hyperlink>
      <w:r w:rsidRPr="009F3487">
        <w:t xml:space="preserve"> (accessed 29 March 2025).</w:t>
      </w:r>
    </w:p>
  </w:footnote>
  <w:footnote w:id="12">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3">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6"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463B"/>
    <w:rsid w:val="000A62A6"/>
    <w:rsid w:val="000B39F2"/>
    <w:rsid w:val="000C389C"/>
    <w:rsid w:val="000E53A4"/>
    <w:rsid w:val="000E74FD"/>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D0016"/>
    <w:rsid w:val="001E7AE7"/>
    <w:rsid w:val="00211892"/>
    <w:rsid w:val="00220651"/>
    <w:rsid w:val="0022693E"/>
    <w:rsid w:val="00230C29"/>
    <w:rsid w:val="00232127"/>
    <w:rsid w:val="00240A82"/>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F0B7F"/>
    <w:rsid w:val="005032B0"/>
    <w:rsid w:val="00524254"/>
    <w:rsid w:val="00526588"/>
    <w:rsid w:val="005532E2"/>
    <w:rsid w:val="00572323"/>
    <w:rsid w:val="00583511"/>
    <w:rsid w:val="005859B9"/>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D1071"/>
    <w:rsid w:val="008D790E"/>
    <w:rsid w:val="008E24F7"/>
    <w:rsid w:val="008E628C"/>
    <w:rsid w:val="008F1E30"/>
    <w:rsid w:val="008F41DA"/>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432B4"/>
    <w:rsid w:val="00A50E13"/>
    <w:rsid w:val="00A71BE2"/>
    <w:rsid w:val="00A82B6C"/>
    <w:rsid w:val="00AB0ACD"/>
    <w:rsid w:val="00AC6223"/>
    <w:rsid w:val="00AC7624"/>
    <w:rsid w:val="00AE6C88"/>
    <w:rsid w:val="00AF0C93"/>
    <w:rsid w:val="00B05986"/>
    <w:rsid w:val="00B2402D"/>
    <w:rsid w:val="00B46909"/>
    <w:rsid w:val="00B62BAA"/>
    <w:rsid w:val="00B8094F"/>
    <w:rsid w:val="00B93E1B"/>
    <w:rsid w:val="00B94448"/>
    <w:rsid w:val="00BB2886"/>
    <w:rsid w:val="00BB3343"/>
    <w:rsid w:val="00BB3526"/>
    <w:rsid w:val="00BC252E"/>
    <w:rsid w:val="00BC4646"/>
    <w:rsid w:val="00BE2246"/>
    <w:rsid w:val="00BF4B6D"/>
    <w:rsid w:val="00C12DA0"/>
    <w:rsid w:val="00C13EBD"/>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237FD"/>
    <w:rsid w:val="00E27349"/>
    <w:rsid w:val="00E27398"/>
    <w:rsid w:val="00E37A49"/>
    <w:rsid w:val="00E44360"/>
    <w:rsid w:val="00E503FF"/>
    <w:rsid w:val="00E600EA"/>
    <w:rsid w:val="00E60F00"/>
    <w:rsid w:val="00E80E03"/>
    <w:rsid w:val="00E851DC"/>
    <w:rsid w:val="00EB0659"/>
    <w:rsid w:val="00EB428B"/>
    <w:rsid w:val="00EB4DCB"/>
    <w:rsid w:val="00EC66DF"/>
    <w:rsid w:val="00ED4294"/>
    <w:rsid w:val="00ED4604"/>
    <w:rsid w:val="00ED54BE"/>
    <w:rsid w:val="00EE12B1"/>
    <w:rsid w:val="00F11EA1"/>
    <w:rsid w:val="00F318C3"/>
    <w:rsid w:val="00F47AB0"/>
    <w:rsid w:val="00F553E9"/>
    <w:rsid w:val="00F979A6"/>
    <w:rsid w:val="00F97F87"/>
    <w:rsid w:val="00FA2700"/>
    <w:rsid w:val="00FA51DA"/>
    <w:rsid w:val="00FA5A9C"/>
    <w:rsid w:val="00FB05F1"/>
    <w:rsid w:val="00FD26A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www.thejournal.ie/new-apc-vehicles-maybe-coming-from-france-6623112-Feb2025/"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static.rusi.org/mass-precision-strike-final.pdf" TargetMode="External"/><Relationship Id="rId5" Type="http://schemas.openxmlformats.org/officeDocument/2006/relationships/hyperlink" Target="https://www.jstor.org/stable/2538780" TargetMode="External"/><Relationship Id="rId4" Type="http://schemas.openxmlformats.org/officeDocument/2006/relationships/hyperlink" Target="https://www.mca-marines.org/wp-content/uploads/23-The-Ultra-Ligh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8</Pages>
  <Words>1980</Words>
  <Characters>11288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82</cp:revision>
  <dcterms:created xsi:type="dcterms:W3CDTF">2026-06-21T10:00:00Z</dcterms:created>
  <dcterms:modified xsi:type="dcterms:W3CDTF">2026-06-22T21:46:00Z</dcterms:modified>
</cp:coreProperties>
</file>