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32AAD" w14:textId="77777777" w:rsidR="00566278" w:rsidRDefault="00566278" w:rsidP="00566278">
      <w:pPr>
        <w:pStyle w:val="Heading2"/>
      </w:pPr>
      <w:r>
        <w:t>Abstract (OB: I changed it because I only want to draw from chapter 3 in the thesis)</w:t>
      </w:r>
    </w:p>
    <w:p w14:paraId="5119059D" w14:textId="77777777" w:rsidR="00566278" w:rsidRPr="00AF0C93" w:rsidRDefault="00566278" w:rsidP="00566278">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47F93EE9" w14:textId="77777777" w:rsidR="00566278" w:rsidRDefault="00566278" w:rsidP="00566278">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3FEF598B" w14:textId="77777777" w:rsidR="00566278" w:rsidRDefault="00566278" w:rsidP="00566278">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5C4B0EB9" w14:textId="77777777" w:rsidR="00566278" w:rsidRPr="00A04CA9" w:rsidRDefault="00566278" w:rsidP="00566278">
      <w:r w:rsidRPr="00A04CA9">
        <w:rPr>
          <w:highlight w:val="yellow"/>
        </w:rPr>
        <w:t>OB: the abstract is only draft… let’s see where your stuff brings us. It would be best if it jumps from mine.. I’ve had AI do a draft based on my ideas. YOU ARE FREE TO GO WHERE YOU WANT!</w:t>
      </w:r>
    </w:p>
    <w:p w14:paraId="4680B842" w14:textId="77777777" w:rsidR="00566278" w:rsidRDefault="00566278" w:rsidP="00566278">
      <w:pPr>
        <w:rPr>
          <w:rFonts w:asciiTheme="majorHAnsi" w:eastAsiaTheme="majorEastAsia" w:hAnsiTheme="majorHAnsi" w:cstheme="majorBidi"/>
          <w:color w:val="0F4761" w:themeColor="accent1" w:themeShade="BF"/>
          <w:sz w:val="32"/>
          <w:szCs w:val="32"/>
        </w:rPr>
      </w:pPr>
      <w:r>
        <w:br w:type="page"/>
      </w:r>
    </w:p>
    <w:p w14:paraId="532988C7" w14:textId="77777777" w:rsidR="00566278" w:rsidRDefault="00566278" w:rsidP="00566278">
      <w:pPr>
        <w:pStyle w:val="Heading2"/>
      </w:pPr>
      <w:r>
        <w:lastRenderedPageBreak/>
        <w:t>Draft Main Body Ideas – Adam</w:t>
      </w:r>
    </w:p>
    <w:p w14:paraId="7B711B19" w14:textId="77777777" w:rsidR="00566278" w:rsidRPr="009E28A5" w:rsidRDefault="00566278" w:rsidP="00566278">
      <w:r w:rsidRPr="009E28A5">
        <w:t>Mechanism (abstract para 1):</w:t>
      </w:r>
    </w:p>
    <w:p w14:paraId="3D2981FF" w14:textId="77777777" w:rsidR="00566278" w:rsidRPr="009E28A5" w:rsidRDefault="00566278" w:rsidP="00566278">
      <w:pPr>
        <w:pStyle w:val="ListParagraph"/>
        <w:numPr>
          <w:ilvl w:val="0"/>
          <w:numId w:val="3"/>
        </w:numPr>
      </w:pPr>
      <w:r w:rsidRPr="009E28A5">
        <w:t>Why is exposure now the organising variable</w:t>
      </w:r>
      <w:r>
        <w:t xml:space="preserve"> – </w:t>
      </w:r>
      <w:r w:rsidRPr="009E28A5">
        <w:t xml:space="preserve">what makes movement the costed act? </w:t>
      </w:r>
      <w:r w:rsidRPr="00230C29">
        <w:rPr>
          <w:i/>
          <w:iCs/>
        </w:rPr>
        <w:t>(P1)</w:t>
      </w:r>
    </w:p>
    <w:p w14:paraId="7C6CED79" w14:textId="77777777" w:rsidR="00566278" w:rsidRPr="009E28A5" w:rsidRDefault="00566278" w:rsidP="00566278">
      <w:pPr>
        <w:pStyle w:val="ListParagraph"/>
        <w:numPr>
          <w:ilvl w:val="0"/>
          <w:numId w:val="3"/>
        </w:numPr>
      </w:pPr>
      <w:r w:rsidRPr="009E28A5">
        <w:t xml:space="preserve">How do low-cost UxS shift RCP toward the resource-constrained defender? </w:t>
      </w:r>
      <w:r w:rsidRPr="00230C29">
        <w:rPr>
          <w:i/>
          <w:iCs/>
        </w:rPr>
        <w:t>(P1)</w:t>
      </w:r>
    </w:p>
    <w:p w14:paraId="79DF32FD" w14:textId="77777777" w:rsidR="00566278" w:rsidRPr="009E28A5" w:rsidRDefault="00566278" w:rsidP="00566278">
      <w:pPr>
        <w:pStyle w:val="ListParagraph"/>
        <w:numPr>
          <w:ilvl w:val="0"/>
          <w:numId w:val="3"/>
        </w:numPr>
      </w:pPr>
      <w:r w:rsidRPr="009E28A5">
        <w:t>What is the cost proof</w:t>
      </w:r>
      <w:r>
        <w:t xml:space="preserve"> – </w:t>
      </w:r>
      <w:r w:rsidRPr="009E28A5">
        <w:t xml:space="preserve">and does the Javelin:FPV ratio actually hold at 1:54–1:144? </w:t>
      </w:r>
      <w:r w:rsidRPr="00230C29">
        <w:rPr>
          <w:i/>
          <w:iCs/>
        </w:rPr>
        <w:t>(P2</w:t>
      </w:r>
      <w:r>
        <w:rPr>
          <w:i/>
          <w:iCs/>
        </w:rPr>
        <w:t xml:space="preserve"> – </w:t>
      </w:r>
      <w:r w:rsidRPr="00230C29">
        <w:rPr>
          <w:i/>
          <w:iCs/>
        </w:rPr>
        <w:t>and this is the sentence with the VAT-basis seam; the question you must answer cleanly is "do the two numbers chain," and right now they don't)</w:t>
      </w:r>
    </w:p>
    <w:p w14:paraId="02B413D1" w14:textId="77777777" w:rsidR="00566278" w:rsidRPr="009E28A5" w:rsidRDefault="00566278" w:rsidP="00566278">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5168EECC" w14:textId="77777777" w:rsidR="00566278" w:rsidRPr="009E28A5" w:rsidRDefault="00566278" w:rsidP="00566278">
      <w:pPr>
        <w:pStyle w:val="ListParagraph"/>
        <w:numPr>
          <w:ilvl w:val="0"/>
          <w:numId w:val="3"/>
        </w:numPr>
      </w:pPr>
      <w:r w:rsidRPr="009E28A5">
        <w:t>What is deterrence-by-denial here</w:t>
      </w:r>
      <w:r>
        <w:t xml:space="preserve"> and</w:t>
      </w:r>
      <w:r w:rsidRPr="009E28A5">
        <w:t xml:space="preserve"> what is it </w:t>
      </w:r>
      <w:r w:rsidRPr="00230C29">
        <w:rPr>
          <w:i/>
          <w:iCs/>
        </w:rPr>
        <w:t>not</w:t>
      </w:r>
      <w:r w:rsidRPr="009E28A5">
        <w:t xml:space="preserve">? </w:t>
      </w:r>
      <w:r w:rsidRPr="00230C29">
        <w:rPr>
          <w:i/>
          <w:iCs/>
        </w:rPr>
        <w:t>(P2</w:t>
      </w:r>
      <w:r>
        <w:rPr>
          <w:i/>
          <w:iCs/>
        </w:rPr>
        <w:t xml:space="preserve"> – </w:t>
      </w:r>
      <w:r w:rsidRPr="00230C29">
        <w:rPr>
          <w:i/>
          <w:iCs/>
        </w:rPr>
        <w:t>the bound: effect of cost imposition, not a theory of deterrence)</w:t>
      </w:r>
    </w:p>
    <w:p w14:paraId="419DF8F4" w14:textId="77777777" w:rsidR="00566278" w:rsidRPr="00292EE9" w:rsidRDefault="00566278" w:rsidP="00566278">
      <w:pPr>
        <w:pStyle w:val="ListParagraph"/>
        <w:numPr>
          <w:ilvl w:val="0"/>
          <w:numId w:val="3"/>
        </w:numPr>
      </w:pPr>
      <w:r w:rsidRPr="009E28A5">
        <w:t>Why is capability not yet deterrence</w:t>
      </w:r>
      <w:r>
        <w:t xml:space="preserve"> – </w:t>
      </w:r>
      <w:r w:rsidRPr="009E28A5">
        <w:t xml:space="preserve">what are the four conditions? </w:t>
      </w:r>
      <w:r w:rsidRPr="00230C29">
        <w:rPr>
          <w:i/>
          <w:iCs/>
        </w:rPr>
        <w:t>(P3)</w:t>
      </w:r>
    </w:p>
    <w:p w14:paraId="6464883F" w14:textId="77777777" w:rsidR="00566278" w:rsidRPr="009E28A5" w:rsidRDefault="00566278" w:rsidP="00566278">
      <w:r w:rsidRPr="00A71BE2">
        <w:t xml:space="preserve">The spine and </w:t>
      </w:r>
      <w:r>
        <w:t xml:space="preserve">Adam’s two </w:t>
      </w:r>
      <w:r w:rsidRPr="00A71BE2">
        <w:t>conditions (abstract para 2):</w:t>
      </w:r>
    </w:p>
    <w:p w14:paraId="7FCBD065" w14:textId="77777777" w:rsidR="00566278" w:rsidRPr="009E28A5" w:rsidRDefault="00566278" w:rsidP="00566278">
      <w:pPr>
        <w:pStyle w:val="ListParagraph"/>
        <w:numPr>
          <w:ilvl w:val="0"/>
          <w:numId w:val="3"/>
        </w:numPr>
      </w:pPr>
      <w:r w:rsidRPr="00230C29">
        <w:rPr>
          <w:i/>
          <w:iCs/>
        </w:rPr>
        <w:t>Politically owned</w:t>
      </w:r>
      <w:r>
        <w:t xml:space="preserve"> – </w:t>
      </w:r>
      <w:r w:rsidRPr="009E28A5">
        <w:t>why is there no owner</w:t>
      </w:r>
      <w:r>
        <w:t xml:space="preserve"> and</w:t>
      </w:r>
      <w:r w:rsidRPr="009E28A5">
        <w:t xml:space="preserve"> what would ownership actually be? </w:t>
      </w:r>
      <w:r w:rsidRPr="00230C29">
        <w:rPr>
          <w:i/>
          <w:iCs/>
        </w:rPr>
        <w:t>(P4–P6: the policy void, ownership-as-reallocation, the threat-perception rebuttal)</w:t>
      </w:r>
    </w:p>
    <w:p w14:paraId="4906A807" w14:textId="77777777" w:rsidR="00566278" w:rsidRPr="009E28A5" w:rsidRDefault="00566278" w:rsidP="00566278">
      <w:pPr>
        <w:pStyle w:val="ListParagraph"/>
        <w:numPr>
          <w:ilvl w:val="0"/>
          <w:numId w:val="3"/>
        </w:numPr>
      </w:pPr>
      <w:r w:rsidRPr="00230C29">
        <w:rPr>
          <w:i/>
          <w:iCs/>
        </w:rPr>
        <w:t>Credibly fielded</w:t>
      </w:r>
      <w:r>
        <w:t xml:space="preserve"> – </w:t>
      </w:r>
      <w:r w:rsidRPr="009E28A5">
        <w:t>why is the nine-soldier section obsolete</w:t>
      </w:r>
      <w:r>
        <w:t xml:space="preserve"> and</w:t>
      </w:r>
      <w:r w:rsidRPr="009E28A5">
        <w:t xml:space="preserve"> what replaces it? </w:t>
      </w:r>
      <w:r w:rsidRPr="00230C29">
        <w:rPr>
          <w:i/>
          <w:iCs/>
        </w:rPr>
        <w:t>(P7–P9: the 14/15-soldier section, organic ISR/CUAS/IEDD, rank, training, experimentation, the external-staff test)</w:t>
      </w:r>
    </w:p>
    <w:p w14:paraId="1F68FFC5" w14:textId="77777777" w:rsidR="00566278" w:rsidRPr="009E28A5" w:rsidRDefault="00566278" w:rsidP="00566278">
      <w:pPr>
        <w:pStyle w:val="ListParagraph"/>
        <w:numPr>
          <w:ilvl w:val="0"/>
          <w:numId w:val="3"/>
        </w:numPr>
      </w:pPr>
      <w:r w:rsidRPr="009E28A5">
        <w:t>What are the force-design recommendations</w:t>
      </w:r>
      <w:r>
        <w:t xml:space="preserve"> – </w:t>
      </w:r>
      <w:r w:rsidRPr="009E28A5">
        <w:t xml:space="preserve">concrete and usable? </w:t>
      </w:r>
      <w:r w:rsidRPr="00230C29">
        <w:rPr>
          <w:i/>
          <w:iCs/>
        </w:rPr>
        <w:t>(P9: lance-corporal rank, structured experimentation, SOP embedding)</w:t>
      </w:r>
    </w:p>
    <w:p w14:paraId="1A28D946" w14:textId="77777777" w:rsidR="00566278" w:rsidRDefault="00566278" w:rsidP="00566278">
      <w:pPr>
        <w:pStyle w:val="Heading2"/>
      </w:pPr>
      <w:r>
        <w:lastRenderedPageBreak/>
        <w:t xml:space="preserve"> </w:t>
      </w:r>
    </w:p>
    <w:p w14:paraId="2C240874" w14:textId="77777777" w:rsidR="00566278" w:rsidRPr="00262708" w:rsidRDefault="00566278" w:rsidP="0056627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7D65228D" w14:textId="77777777" w:rsidR="00566278" w:rsidRDefault="00566278" w:rsidP="0056627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conflict. Failure to internalise the implications of UxS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2BEB8850" w14:textId="77777777" w:rsidR="00566278" w:rsidRPr="00803FC3" w:rsidRDefault="00566278" w:rsidP="00566278">
      <w:r w:rsidRPr="00803FC3">
        <w:t>Ireland's light infantry section is not a capability gap to be filled with equipment; it is a structure overtaken by the threat</w:t>
      </w:r>
      <w:r>
        <w:t xml:space="preserve">. </w:t>
      </w:r>
      <w:r w:rsidRPr="00803FC3">
        <w:t xml:space="preserve">Capability is sometimes reduced to equipment, but it </w:t>
      </w:r>
      <w:r w:rsidRPr="00803FC3">
        <w:lastRenderedPageBreak/>
        <w:t>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Its materiel reflects a Cold War mentality. Its leadership is not configured for contemporary mission command. And it fields too few soldiers to carry the cognitive load, operate the new systems and remain cohesive once dispersed. Adding drones changes none of that.</w:t>
      </w:r>
    </w:p>
    <w:p w14:paraId="05D9401B" w14:textId="77777777" w:rsidR="00566278" w:rsidRPr="001D0016" w:rsidRDefault="00566278" w:rsidP="00566278">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A7CF384" w14:textId="77777777" w:rsidR="00566278" w:rsidRPr="001D0016" w:rsidRDefault="00566278" w:rsidP="00566278"/>
    <w:p w14:paraId="2697197F" w14:textId="77777777" w:rsidR="00566278" w:rsidRPr="00262708" w:rsidRDefault="00566278" w:rsidP="0056627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historically the better-funded one. Low-cost uncrewed systems disturb that arithmetic</w:t>
      </w:r>
      <w:r>
        <w:rPr>
          <w:rFonts w:asciiTheme="minorHAnsi" w:eastAsiaTheme="minorHAnsi" w:hAnsiTheme="minorHAnsi" w:cstheme="minorBidi"/>
          <w:color w:val="auto"/>
          <w:sz w:val="24"/>
          <w:szCs w:val="24"/>
        </w:rPr>
        <w:t xml:space="preserve"> and is reflected in the Lanchester Force Equations</w:t>
      </w:r>
      <w:r>
        <w:rPr>
          <w:rStyle w:val="FootnoteReference"/>
          <w:rFonts w:asciiTheme="minorHAnsi" w:eastAsiaTheme="minorHAnsi" w:hAnsiTheme="minorHAnsi" w:cstheme="minorBidi"/>
          <w:color w:val="auto"/>
          <w:sz w:val="24"/>
          <w:szCs w:val="24"/>
        </w:rPr>
        <w:footnoteReference w:id="10"/>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1"/>
      </w:r>
      <w:r w:rsidRPr="00C03858">
        <w:rPr>
          <w:rFonts w:asciiTheme="minorHAnsi" w:eastAsiaTheme="minorHAnsi" w:hAnsiTheme="minorHAnsi" w:cstheme="minorBidi"/>
          <w:color w:val="auto"/>
          <w:sz w:val="24"/>
          <w:szCs w:val="24"/>
        </w:rPr>
        <w:t xml:space="preserve"> help capture. They drive down the price of three functions that once demanded expensive platforms: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that cannot buy conventional scale, this is how scarcity stops being decisive – denial without parity.</w:t>
      </w:r>
    </w:p>
    <w:p w14:paraId="0DB9F16F" w14:textId="77777777" w:rsidR="00566278" w:rsidRDefault="00566278" w:rsidP="00566278"/>
    <w:p w14:paraId="316FF010" w14:textId="77777777" w:rsidR="00566278" w:rsidRDefault="00566278" w:rsidP="00566278">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do not replace ATGMs, but they change the defensive arithmetic and can no longer be ignored</w:t>
      </w:r>
      <w:r>
        <w:t>.</w:t>
      </w:r>
      <w:r>
        <w:rPr>
          <w:rStyle w:val="FootnoteReference"/>
        </w:rPr>
        <w:footnoteReference w:id="12"/>
      </w:r>
      <w:r>
        <w:t xml:space="preserve"> </w:t>
      </w:r>
      <w:r>
        <w:rPr>
          <w:rStyle w:val="FootnoteReference"/>
        </w:rPr>
        <w:footnoteReference w:id="13"/>
      </w:r>
    </w:p>
    <w:p w14:paraId="2E596D41" w14:textId="77777777" w:rsidR="00566278" w:rsidRDefault="00566278" w:rsidP="00566278">
      <w:pPr>
        <w:keepNext/>
      </w:pPr>
      <w:r w:rsidRPr="00EE12B1">
        <w:rPr>
          <w:noProof/>
        </w:rPr>
        <w:lastRenderedPageBreak/>
        <w:drawing>
          <wp:inline distT="0" distB="0" distL="0" distR="0" wp14:anchorId="27087215" wp14:editId="0A0D5B0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8"/>
                    <a:stretch>
                      <a:fillRect/>
                    </a:stretch>
                  </pic:blipFill>
                  <pic:spPr>
                    <a:xfrm>
                      <a:off x="0" y="0"/>
                      <a:ext cx="5731510" cy="1757045"/>
                    </a:xfrm>
                    <a:prstGeom prst="rect">
                      <a:avLst/>
                    </a:prstGeom>
                  </pic:spPr>
                </pic:pic>
              </a:graphicData>
            </a:graphic>
          </wp:inline>
        </w:drawing>
      </w:r>
    </w:p>
    <w:p w14:paraId="37C12F7B" w14:textId="77777777" w:rsidR="00566278" w:rsidRPr="00E05D57" w:rsidRDefault="00566278" w:rsidP="00566278">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C4F0D">
        <w:t>Comparative Anti-Armour Cost-Imposition Model</w:t>
      </w:r>
      <w:r w:rsidRPr="00F1368C">
        <w:t>: ATGMs versus FPV-OWADs and Loitering-OWADs</w:t>
      </w:r>
    </w:p>
    <w:p w14:paraId="0947457F" w14:textId="77777777" w:rsidR="00566278" w:rsidRDefault="00566278" w:rsidP="00566278">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lastRenderedPageBreak/>
        <w:t>Ireland has long treated serious territorial defence as financially unreachable, because credibility was assumed to require conventional mass. UxS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0E41DB60" w14:textId="77777777" w:rsidR="00566278" w:rsidRDefault="00566278" w:rsidP="0056627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needs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0F89BB3C" w14:textId="77777777" w:rsidR="00566278" w:rsidRPr="00262708" w:rsidRDefault="00566278" w:rsidP="0056627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built into a force actually organised,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1E0999B" w14:textId="77777777" w:rsidR="00566278" w:rsidRDefault="00566278" w:rsidP="0056627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10719A9D" w14:textId="77777777" w:rsidR="00566278" w:rsidRDefault="00566278" w:rsidP="0056627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 </w:t>
      </w:r>
      <w:r w:rsidRPr="00262708">
        <w:rPr>
          <w:rFonts w:asciiTheme="minorHAnsi" w:eastAsiaTheme="minorHAnsi" w:hAnsiTheme="minorHAnsi" w:cstheme="minorBidi"/>
          <w:color w:val="auto"/>
          <w:sz w:val="24"/>
          <w:szCs w:val="24"/>
        </w:rPr>
        <w:t>which is precisely why the constraint that stalled Irish defence no longer holds.</w:t>
      </w:r>
    </w:p>
    <w:p w14:paraId="71454190" w14:textId="77777777" w:rsidR="00566278" w:rsidRDefault="00566278" w:rsidP="00566278">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w:t>
      </w:r>
      <w:r>
        <w:rPr>
          <w:rFonts w:asciiTheme="minorHAnsi" w:eastAsiaTheme="minorHAnsi" w:hAnsiTheme="minorHAnsi" w:cstheme="minorBidi"/>
          <w:color w:val="auto"/>
          <w:sz w:val="24"/>
          <w:szCs w:val="24"/>
        </w:rPr>
        <w:t>—</w:t>
      </w:r>
      <w:r w:rsidRPr="00443FFE">
        <w:rPr>
          <w:rFonts w:asciiTheme="minorHAnsi" w:eastAsiaTheme="minorHAnsi" w:hAnsiTheme="minorHAnsi" w:cstheme="minorBidi"/>
          <w:color w:val="auto"/>
          <w:sz w:val="24"/>
          <w:szCs w:val="24"/>
        </w:rPr>
        <w:t xml:space="preserve"> an eight-seat carrier sets the section, the section sets the fight. That inverts the logic. The threat sets the survivable section; the carrier is procurement's problem. A vehicle that seats eight when survival demands fourteen is not a cap on the section </w:t>
      </w:r>
      <w:r>
        <w:rPr>
          <w:rFonts w:asciiTheme="minorHAnsi" w:eastAsiaTheme="minorHAnsi" w:hAnsiTheme="minorHAnsi" w:cstheme="minorBidi"/>
          <w:color w:val="auto"/>
          <w:sz w:val="24"/>
          <w:szCs w:val="24"/>
        </w:rPr>
        <w:t>—</w:t>
      </w:r>
      <w:r w:rsidRPr="00443FFE">
        <w:rPr>
          <w:rFonts w:asciiTheme="minorHAnsi" w:eastAsiaTheme="minorHAnsi" w:hAnsiTheme="minorHAnsi" w:cstheme="minorBidi"/>
          <w:color w:val="auto"/>
          <w:sz w:val="24"/>
          <w:szCs w:val="24"/>
        </w:rPr>
        <w:t xml:space="preserve"> it is the wrong vehicle. Nor is experimentation the disruption the objection fears; it is the hedge against it. A trial section commits nothing and costs almost nothing </w:t>
      </w:r>
      <w:r>
        <w:rPr>
          <w:rFonts w:asciiTheme="minorHAnsi" w:eastAsiaTheme="minorHAnsi" w:hAnsiTheme="minorHAnsi" w:cstheme="minorBidi"/>
          <w:color w:val="auto"/>
          <w:sz w:val="24"/>
          <w:szCs w:val="24"/>
        </w:rPr>
        <w:t>—</w:t>
      </w:r>
      <w:r w:rsidRPr="00443FFE">
        <w:rPr>
          <w:rFonts w:asciiTheme="minorHAnsi" w:eastAsiaTheme="minorHAnsi" w:hAnsiTheme="minorHAnsi" w:cstheme="minorBidi"/>
          <w:color w:val="auto"/>
          <w:sz w:val="24"/>
          <w:szCs w:val="24"/>
        </w:rPr>
        <w:t xml:space="preserve"> the iteration a resource-uncertain force should want. The expensive mistake is not testing too early. It is fielding a structure the evidence already calls obsolete, and discovering it under fire.</w:t>
      </w:r>
    </w:p>
    <w:p w14:paraId="08F12AED" w14:textId="77777777" w:rsidR="00566278" w:rsidRDefault="00566278" w:rsidP="00566278">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73E68" w14:textId="77777777" w:rsidR="00A83814" w:rsidRDefault="00A83814" w:rsidP="008F41DA">
      <w:pPr>
        <w:spacing w:after="0" w:line="240" w:lineRule="auto"/>
      </w:pPr>
      <w:r>
        <w:separator/>
      </w:r>
    </w:p>
  </w:endnote>
  <w:endnote w:type="continuationSeparator" w:id="0">
    <w:p w14:paraId="3EA1A178" w14:textId="77777777" w:rsidR="00A83814" w:rsidRDefault="00A8381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8149C" w14:textId="77777777" w:rsidR="00A83814" w:rsidRDefault="00A83814" w:rsidP="008F41DA">
      <w:pPr>
        <w:spacing w:after="0" w:line="240" w:lineRule="auto"/>
      </w:pPr>
      <w:r>
        <w:separator/>
      </w:r>
    </w:p>
  </w:footnote>
  <w:footnote w:type="continuationSeparator" w:id="0">
    <w:p w14:paraId="7427967D" w14:textId="77777777" w:rsidR="00A83814" w:rsidRDefault="00A83814" w:rsidP="008F41DA">
      <w:pPr>
        <w:spacing w:after="0" w:line="240" w:lineRule="auto"/>
      </w:pPr>
      <w:r>
        <w:continuationSeparator/>
      </w:r>
    </w:p>
  </w:footnote>
  <w:footnote w:id="1">
    <w:p w14:paraId="3D692B3A" w14:textId="77777777" w:rsidR="00566278" w:rsidRDefault="00566278" w:rsidP="00566278">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6AC1F33" w14:textId="77777777" w:rsidR="00566278" w:rsidRDefault="00566278" w:rsidP="00566278">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143593D0" w14:textId="77777777" w:rsidR="00566278" w:rsidRDefault="00566278" w:rsidP="00566278">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66745373" w14:textId="77777777" w:rsidR="00566278" w:rsidRDefault="00566278" w:rsidP="00566278">
      <w:pPr>
        <w:pStyle w:val="FootnoteText"/>
      </w:pPr>
      <w:r>
        <w:rPr>
          <w:rStyle w:val="FootnoteReference"/>
        </w:rPr>
        <w:footnoteRef/>
      </w:r>
      <w:r>
        <w:t xml:space="preserve"> Statsministeriet (2026). Fællesudtalelse om Grønland [online]. Available at: https://s</w:t>
      </w:r>
    </w:p>
    <w:p w14:paraId="17B24828" w14:textId="77777777" w:rsidR="00566278" w:rsidRDefault="00566278" w:rsidP="00566278">
      <w:pPr>
        <w:pStyle w:val="FootnoteText"/>
      </w:pPr>
      <w:r>
        <w:t>tm.dk/media/qo2dyzxy/erklaering-gl.pdf (accessed 1 April 2026).</w:t>
      </w:r>
    </w:p>
  </w:footnote>
  <w:footnote w:id="5">
    <w:p w14:paraId="2D86F728" w14:textId="77777777" w:rsidR="00566278" w:rsidRDefault="00566278" w:rsidP="00566278">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2DC47E18" w14:textId="77777777" w:rsidR="00566278" w:rsidRDefault="00566278" w:rsidP="00566278">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662619E9" w14:textId="77777777" w:rsidR="00566278" w:rsidRDefault="00566278" w:rsidP="00566278">
      <w:pPr>
        <w:pStyle w:val="FootnoteText"/>
      </w:pPr>
      <w:r>
        <w:rPr>
          <w:rStyle w:val="FootnoteReference"/>
        </w:rPr>
        <w:footnoteRef/>
      </w:r>
      <w:r>
        <w:t xml:space="preserve"> TM 201</w:t>
      </w:r>
    </w:p>
  </w:footnote>
  <w:footnote w:id="8">
    <w:p w14:paraId="5EBCEC84" w14:textId="77777777" w:rsidR="00566278" w:rsidRDefault="00566278" w:rsidP="00566278">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10CA5AE0" w14:textId="77777777" w:rsidR="00566278" w:rsidRPr="002F0568" w:rsidRDefault="00566278" w:rsidP="0056627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p w14:paraId="3E0CEB76" w14:textId="77777777" w:rsidR="00566278" w:rsidRDefault="00566278" w:rsidP="00566278">
      <w:pPr>
        <w:pStyle w:val="FootnoteText"/>
      </w:pPr>
    </w:p>
  </w:footnote>
  <w:footnote w:id="10">
    <w:p w14:paraId="10B1EE87" w14:textId="77777777" w:rsidR="00566278" w:rsidRDefault="00566278" w:rsidP="00566278">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1">
    <w:p w14:paraId="151870A9" w14:textId="77777777" w:rsidR="00566278" w:rsidRDefault="00566278" w:rsidP="00566278">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5" w:tgtFrame="_new" w:history="1">
        <w:r w:rsidRPr="009F3487">
          <w:rPr>
            <w:rStyle w:val="Hyperlink"/>
          </w:rPr>
          <w:t>https://www.jstor.org/stable/2538780</w:t>
        </w:r>
      </w:hyperlink>
      <w:r w:rsidRPr="009F3487">
        <w:t xml:space="preserve"> (accessed 29 March 2025).</w:t>
      </w:r>
    </w:p>
  </w:footnote>
  <w:footnote w:id="12">
    <w:p w14:paraId="65A6BF09" w14:textId="77777777" w:rsidR="00566278" w:rsidRDefault="00566278" w:rsidP="00566278">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3">
    <w:p w14:paraId="48FBAC96" w14:textId="77777777" w:rsidR="00566278" w:rsidRDefault="00566278" w:rsidP="00566278">
      <w:pPr>
        <w:pStyle w:val="FootnoteText"/>
      </w:pPr>
      <w:r>
        <w:rPr>
          <w:rStyle w:val="FootnoteReference"/>
        </w:rPr>
        <w:footnoteRef/>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6"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97B17"/>
    <w:rsid w:val="000A62A6"/>
    <w:rsid w:val="000B39F2"/>
    <w:rsid w:val="000C389C"/>
    <w:rsid w:val="000E53A4"/>
    <w:rsid w:val="00143911"/>
    <w:rsid w:val="00172310"/>
    <w:rsid w:val="00176EA6"/>
    <w:rsid w:val="001779D4"/>
    <w:rsid w:val="001800EF"/>
    <w:rsid w:val="001822CC"/>
    <w:rsid w:val="00182D41"/>
    <w:rsid w:val="0019189F"/>
    <w:rsid w:val="001A3844"/>
    <w:rsid w:val="001B4DE5"/>
    <w:rsid w:val="001B6642"/>
    <w:rsid w:val="001C6BAB"/>
    <w:rsid w:val="001C71F6"/>
    <w:rsid w:val="001D0016"/>
    <w:rsid w:val="0022693E"/>
    <w:rsid w:val="00230C29"/>
    <w:rsid w:val="00232127"/>
    <w:rsid w:val="00251B3F"/>
    <w:rsid w:val="00254A7F"/>
    <w:rsid w:val="00262708"/>
    <w:rsid w:val="002679ED"/>
    <w:rsid w:val="002822C2"/>
    <w:rsid w:val="00292EE9"/>
    <w:rsid w:val="002D603F"/>
    <w:rsid w:val="002E0EF9"/>
    <w:rsid w:val="002F0568"/>
    <w:rsid w:val="002F4644"/>
    <w:rsid w:val="0036390B"/>
    <w:rsid w:val="00373038"/>
    <w:rsid w:val="00373773"/>
    <w:rsid w:val="00392A7C"/>
    <w:rsid w:val="003A2DA1"/>
    <w:rsid w:val="003E4F2A"/>
    <w:rsid w:val="003E5AA4"/>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66278"/>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6E41D2"/>
    <w:rsid w:val="00704FC1"/>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2D26"/>
    <w:rsid w:val="00925E2F"/>
    <w:rsid w:val="009305B9"/>
    <w:rsid w:val="00971FFB"/>
    <w:rsid w:val="00976662"/>
    <w:rsid w:val="00981F86"/>
    <w:rsid w:val="00996C78"/>
    <w:rsid w:val="009A2241"/>
    <w:rsid w:val="009A4725"/>
    <w:rsid w:val="009D4618"/>
    <w:rsid w:val="009E246E"/>
    <w:rsid w:val="009E28A5"/>
    <w:rsid w:val="009F3487"/>
    <w:rsid w:val="00A04877"/>
    <w:rsid w:val="00A04CA9"/>
    <w:rsid w:val="00A23F4E"/>
    <w:rsid w:val="00A3792F"/>
    <w:rsid w:val="00A432B4"/>
    <w:rsid w:val="00A453AA"/>
    <w:rsid w:val="00A71BE2"/>
    <w:rsid w:val="00A82B6C"/>
    <w:rsid w:val="00A83814"/>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0FDB"/>
    <w:rsid w:val="00C13EBD"/>
    <w:rsid w:val="00C31025"/>
    <w:rsid w:val="00C376F0"/>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46F5"/>
    <w:rsid w:val="00DB5050"/>
    <w:rsid w:val="00DC5778"/>
    <w:rsid w:val="00DE1E55"/>
    <w:rsid w:val="00DE701E"/>
    <w:rsid w:val="00DE7137"/>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5776F"/>
    <w:rsid w:val="00F87F21"/>
    <w:rsid w:val="00F979A6"/>
    <w:rsid w:val="00FA51DA"/>
    <w:rsid w:val="00FA5A9C"/>
    <w:rsid w:val="00FB05F1"/>
    <w:rsid w:val="00FE51F7"/>
    <w:rsid w:val="00FF4B0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56627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thejournal.ie/new-apc-vehicles-maybe-coming-from-france-6623112-Feb2025/"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static.rusi.org/mass-precision-strike-final.pdf" TargetMode="External"/><Relationship Id="rId5"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10</Pages>
  <Words>2313</Words>
  <Characters>13187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22</cp:revision>
  <dcterms:created xsi:type="dcterms:W3CDTF">2026-06-21T10:00:00Z</dcterms:created>
  <dcterms:modified xsi:type="dcterms:W3CDTF">2026-06-22T21:14:00Z</dcterms:modified>
</cp:coreProperties>
</file>