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2CD0D1" w14:textId="4BF6F284" w:rsidR="00D72570" w:rsidRDefault="00D72570" w:rsidP="00D72570">
      <w:pPr>
        <w:pStyle w:val="Heading2"/>
      </w:pPr>
      <w:r>
        <w:t>Abstract</w:t>
      </w:r>
      <w:r w:rsidR="00CB1328">
        <w:t xml:space="preserve"> (OB: I changed it because I only want to draw from chapter 3 in the thesis)</w:t>
      </w:r>
    </w:p>
    <w:p w14:paraId="31AFE4D7" w14:textId="6AA97F1F" w:rsidR="00AF0C93" w:rsidRPr="00AF0C93" w:rsidRDefault="00AF0C93" w:rsidP="00AF0C93">
      <w:pPr>
        <w:pStyle w:val="Heading2"/>
        <w:rPr>
          <w:rFonts w:asciiTheme="minorHAnsi" w:eastAsiaTheme="minorHAnsi" w:hAnsiTheme="minorHAnsi" w:cstheme="minorBidi"/>
          <w:color w:val="auto"/>
          <w:sz w:val="24"/>
          <w:szCs w:val="24"/>
        </w:rPr>
      </w:pPr>
      <w:r w:rsidRPr="00AF0C93">
        <w:rPr>
          <w:rFonts w:asciiTheme="minorHAnsi" w:eastAsiaTheme="minorHAnsi" w:hAnsiTheme="minorHAnsi" w:cstheme="minorBidi"/>
          <w:color w:val="auto"/>
          <w:sz w:val="24"/>
          <w:szCs w:val="24"/>
        </w:rPr>
        <w:t xml:space="preserve">Pervasive uncrewed systems have altered the cost structure of small-state deterrence. Low-cost </w:t>
      </w:r>
      <w:proofErr w:type="spellStart"/>
      <w:r w:rsidRPr="00AF0C93">
        <w:rPr>
          <w:rFonts w:asciiTheme="minorHAnsi" w:eastAsiaTheme="minorHAnsi" w:hAnsiTheme="minorHAnsi" w:cstheme="minorBidi"/>
          <w:color w:val="auto"/>
          <w:sz w:val="24"/>
          <w:szCs w:val="24"/>
        </w:rPr>
        <w:t>UxS</w:t>
      </w:r>
      <w:proofErr w:type="spellEnd"/>
      <w:r w:rsidRPr="00AF0C93">
        <w:rPr>
          <w:rFonts w:asciiTheme="minorHAnsi" w:eastAsiaTheme="minorHAnsi" w:hAnsiTheme="minorHAnsi" w:cstheme="minorBidi"/>
          <w:color w:val="auto"/>
          <w:sz w:val="24"/>
          <w:szCs w:val="24"/>
        </w:rPr>
        <w:t xml:space="preserve"> lower the cost of reconnaissance, precision strike and sustainment, shifting relative combat power toward a resource-constrained defender and creating asymmetric cost-imposition opportunities far cheaper than traditional platforms; the Javelin-to-FPV cost ratio runs between 1:54 and 1:144 by range. For Ireland</w:t>
      </w:r>
      <w:r w:rsidR="00633BB8">
        <w:rPr>
          <w:rFonts w:asciiTheme="minorHAnsi" w:eastAsiaTheme="minorHAnsi" w:hAnsiTheme="minorHAnsi" w:cstheme="minorBidi"/>
          <w:color w:val="auto"/>
          <w:sz w:val="24"/>
          <w:szCs w:val="24"/>
        </w:rPr>
        <w:t xml:space="preserve"> – </w:t>
      </w:r>
      <w:r w:rsidRPr="00AF0C93">
        <w:rPr>
          <w:rFonts w:asciiTheme="minorHAnsi" w:eastAsiaTheme="minorHAnsi" w:hAnsiTheme="minorHAnsi" w:cstheme="minorBidi"/>
          <w:color w:val="auto"/>
          <w:sz w:val="24"/>
          <w:szCs w:val="24"/>
        </w:rPr>
        <w:t>an island state that has consistently declined to fund conventional mass</w:t>
      </w:r>
      <w:r w:rsidR="00633BB8">
        <w:rPr>
          <w:rFonts w:asciiTheme="minorHAnsi" w:eastAsiaTheme="minorHAnsi" w:hAnsiTheme="minorHAnsi" w:cstheme="minorBidi"/>
          <w:color w:val="auto"/>
          <w:sz w:val="24"/>
          <w:szCs w:val="24"/>
        </w:rPr>
        <w:t xml:space="preserve"> – </w:t>
      </w:r>
      <w:r w:rsidRPr="00AF0C93">
        <w:rPr>
          <w:rFonts w:asciiTheme="minorHAnsi" w:eastAsiaTheme="minorHAnsi" w:hAnsiTheme="minorHAnsi" w:cstheme="minorBidi"/>
          <w:color w:val="auto"/>
          <w:sz w:val="24"/>
          <w:szCs w:val="24"/>
        </w:rPr>
        <w:t xml:space="preserve">this reframes a long-standing assumption: that credible territorial defence is financially unreachable. </w:t>
      </w:r>
    </w:p>
    <w:p w14:paraId="34E3ED01" w14:textId="43F35490" w:rsidR="00917666" w:rsidRDefault="00AF0C93" w:rsidP="00AF0C93">
      <w:pPr>
        <w:pStyle w:val="Heading2"/>
        <w:rPr>
          <w:rFonts w:asciiTheme="minorHAnsi" w:eastAsiaTheme="minorHAnsi" w:hAnsiTheme="minorHAnsi" w:cstheme="minorBidi"/>
          <w:color w:val="auto"/>
          <w:sz w:val="24"/>
          <w:szCs w:val="24"/>
        </w:rPr>
      </w:pPr>
      <w:r w:rsidRPr="00AF0C93">
        <w:rPr>
          <w:rFonts w:asciiTheme="minorHAnsi" w:eastAsiaTheme="minorHAnsi" w:hAnsiTheme="minorHAnsi" w:cstheme="minorBidi"/>
          <w:color w:val="auto"/>
          <w:sz w:val="24"/>
          <w:szCs w:val="24"/>
        </w:rPr>
        <w:t>The article argues that capability becomes deterrence only when four conditions hold together: it must be politically owned, credibly fielded, institutionally sustained and clearly communicated. It develops the first two</w:t>
      </w:r>
      <w:r w:rsidR="00633BB8">
        <w:rPr>
          <w:rFonts w:asciiTheme="minorHAnsi" w:eastAsiaTheme="minorHAnsi" w:hAnsiTheme="minorHAnsi" w:cstheme="minorBidi"/>
          <w:color w:val="auto"/>
          <w:sz w:val="24"/>
          <w:szCs w:val="24"/>
        </w:rPr>
        <w:t xml:space="preserve"> – </w:t>
      </w:r>
      <w:r w:rsidRPr="00AF0C93">
        <w:rPr>
          <w:rFonts w:asciiTheme="minorHAnsi" w:eastAsiaTheme="minorHAnsi" w:hAnsiTheme="minorHAnsi" w:cstheme="minorBidi"/>
          <w:color w:val="auto"/>
          <w:sz w:val="24"/>
          <w:szCs w:val="24"/>
        </w:rPr>
        <w:t xml:space="preserve">the political ownership Ireland's policy void </w:t>
      </w:r>
      <w:proofErr w:type="gramStart"/>
      <w:r w:rsidRPr="00AF0C93">
        <w:rPr>
          <w:rFonts w:asciiTheme="minorHAnsi" w:eastAsiaTheme="minorHAnsi" w:hAnsiTheme="minorHAnsi" w:cstheme="minorBidi"/>
          <w:color w:val="auto"/>
          <w:sz w:val="24"/>
          <w:szCs w:val="24"/>
        </w:rPr>
        <w:t>withholds</w:t>
      </w:r>
      <w:proofErr w:type="gramEnd"/>
      <w:r w:rsidR="00262708">
        <w:rPr>
          <w:rFonts w:asciiTheme="minorHAnsi" w:eastAsiaTheme="minorHAnsi" w:hAnsiTheme="minorHAnsi" w:cstheme="minorBidi"/>
          <w:color w:val="auto"/>
          <w:sz w:val="24"/>
          <w:szCs w:val="24"/>
        </w:rPr>
        <w:t xml:space="preserve"> and</w:t>
      </w:r>
      <w:r w:rsidRPr="00AF0C93">
        <w:rPr>
          <w:rFonts w:asciiTheme="minorHAnsi" w:eastAsiaTheme="minorHAnsi" w:hAnsiTheme="minorHAnsi" w:cstheme="minorBidi"/>
          <w:color w:val="auto"/>
          <w:sz w:val="24"/>
          <w:szCs w:val="24"/>
        </w:rPr>
        <w:t xml:space="preserve"> the force redesign credible fielding demands at section level, where organic ISR, CUAS and IEDD turn the section into a micro-combined-arms unit. </w:t>
      </w:r>
    </w:p>
    <w:p w14:paraId="166316EB" w14:textId="40411996" w:rsidR="00AF0C93" w:rsidRDefault="00AF0C93" w:rsidP="00AF0C93">
      <w:pPr>
        <w:pStyle w:val="Heading2"/>
        <w:rPr>
          <w:rFonts w:asciiTheme="minorHAnsi" w:eastAsiaTheme="minorHAnsi" w:hAnsiTheme="minorHAnsi" w:cstheme="minorBidi"/>
          <w:color w:val="auto"/>
          <w:sz w:val="24"/>
          <w:szCs w:val="24"/>
        </w:rPr>
      </w:pPr>
      <w:r w:rsidRPr="00A04CA9">
        <w:rPr>
          <w:rFonts w:asciiTheme="minorHAnsi" w:eastAsiaTheme="minorHAnsi" w:hAnsiTheme="minorHAnsi" w:cstheme="minorBidi"/>
          <w:color w:val="auto"/>
          <w:sz w:val="24"/>
          <w:szCs w:val="24"/>
        </w:rPr>
        <w:t>These adaptations are feasible within Ireland's existing professional force structure, but they demand deliberate choices about doctrine, mission command and training realism</w:t>
      </w:r>
      <w:r w:rsidR="00262708">
        <w:rPr>
          <w:rFonts w:asciiTheme="minorHAnsi" w:eastAsiaTheme="minorHAnsi" w:hAnsiTheme="minorHAnsi" w:cstheme="minorBidi"/>
          <w:color w:val="auto"/>
          <w:sz w:val="24"/>
          <w:szCs w:val="24"/>
        </w:rPr>
        <w:t xml:space="preserve"> and</w:t>
      </w:r>
      <w:r w:rsidRPr="00A04CA9">
        <w:rPr>
          <w:rFonts w:asciiTheme="minorHAnsi" w:eastAsiaTheme="minorHAnsi" w:hAnsiTheme="minorHAnsi" w:cstheme="minorBidi"/>
          <w:color w:val="auto"/>
          <w:sz w:val="24"/>
          <w:szCs w:val="24"/>
        </w:rPr>
        <w:t xml:space="preserve"> they expose the acceptable limits of a drone-centric posture. The article then establishes institutional sustainment and clear communication as the conditions on which the posture's resilience</w:t>
      </w:r>
      <w:r w:rsidR="00633BB8">
        <w:rPr>
          <w:rFonts w:asciiTheme="minorHAnsi" w:eastAsiaTheme="minorHAnsi" w:hAnsiTheme="minorHAnsi" w:cstheme="minorBidi"/>
          <w:color w:val="auto"/>
          <w:sz w:val="24"/>
          <w:szCs w:val="24"/>
        </w:rPr>
        <w:t xml:space="preserve"> – </w:t>
      </w:r>
      <w:r w:rsidRPr="00A04CA9">
        <w:rPr>
          <w:rFonts w:asciiTheme="minorHAnsi" w:eastAsiaTheme="minorHAnsi" w:hAnsiTheme="minorHAnsi" w:cstheme="minorBidi"/>
          <w:color w:val="auto"/>
          <w:sz w:val="24"/>
          <w:szCs w:val="24"/>
        </w:rPr>
        <w:t>and its compatibility with Irish neutrality</w:t>
      </w:r>
      <w:r w:rsidR="00633BB8">
        <w:rPr>
          <w:rFonts w:asciiTheme="minorHAnsi" w:eastAsiaTheme="minorHAnsi" w:hAnsiTheme="minorHAnsi" w:cstheme="minorBidi"/>
          <w:color w:val="auto"/>
          <w:sz w:val="24"/>
          <w:szCs w:val="24"/>
        </w:rPr>
        <w:t xml:space="preserve"> – </w:t>
      </w:r>
      <w:r w:rsidRPr="00A04CA9">
        <w:rPr>
          <w:rFonts w:asciiTheme="minorHAnsi" w:eastAsiaTheme="minorHAnsi" w:hAnsiTheme="minorHAnsi" w:cstheme="minorBidi"/>
          <w:color w:val="auto"/>
          <w:sz w:val="24"/>
          <w:szCs w:val="24"/>
        </w:rPr>
        <w:t>depend. The result is a credible basis for denial against a larger adversary without mass or heavy armour, provided the Defence Forces accept the cultural and doctrinal shifts persistent ISR implies. Written for a practitioner audience, it offers concrete recommendations for Irish force-design and defence-policy choices.</w:t>
      </w:r>
    </w:p>
    <w:p w14:paraId="6BF5F6E2" w14:textId="1E7FDF65" w:rsidR="00A04CA9" w:rsidRPr="00A04CA9" w:rsidRDefault="00A04CA9" w:rsidP="00A04CA9">
      <w:r w:rsidRPr="00A04CA9">
        <w:rPr>
          <w:highlight w:val="yellow"/>
        </w:rPr>
        <w:t xml:space="preserve">OB: the abstract is only draft… let’s see where your stuff brings us. It would be best if it jumps from </w:t>
      </w:r>
      <w:proofErr w:type="gramStart"/>
      <w:r w:rsidRPr="00A04CA9">
        <w:rPr>
          <w:highlight w:val="yellow"/>
        </w:rPr>
        <w:t>mine..</w:t>
      </w:r>
      <w:proofErr w:type="gramEnd"/>
      <w:r w:rsidRPr="00A04CA9">
        <w:rPr>
          <w:highlight w:val="yellow"/>
        </w:rPr>
        <w:t xml:space="preserve"> I’ve had AI do a draft based on my ideas. YOU ARE FREE TO GO WHERE YOU WANT!</w:t>
      </w:r>
    </w:p>
    <w:p w14:paraId="77B06FF6" w14:textId="77777777" w:rsidR="000B39F2" w:rsidRDefault="000B39F2">
      <w:pPr>
        <w:rPr>
          <w:rFonts w:asciiTheme="majorHAnsi" w:eastAsiaTheme="majorEastAsia" w:hAnsiTheme="majorHAnsi" w:cstheme="majorBidi"/>
          <w:color w:val="0F4761" w:themeColor="accent1" w:themeShade="BF"/>
          <w:sz w:val="32"/>
          <w:szCs w:val="32"/>
        </w:rPr>
      </w:pPr>
      <w:r>
        <w:br w:type="page"/>
      </w:r>
    </w:p>
    <w:p w14:paraId="3700E244" w14:textId="5367EE41" w:rsidR="00D72570" w:rsidRDefault="00126E0F" w:rsidP="00AF0C93">
      <w:pPr>
        <w:pStyle w:val="Heading2"/>
      </w:pPr>
      <w:r>
        <w:lastRenderedPageBreak/>
        <w:t xml:space="preserve">ADAM </w:t>
      </w:r>
      <w:r w:rsidR="00C50339">
        <w:t>1</w:t>
      </w:r>
      <w:r w:rsidR="007E6648">
        <w:t>576</w:t>
      </w:r>
      <w:r w:rsidR="00C50339">
        <w:t xml:space="preserve"> WORDS</w:t>
      </w:r>
    </w:p>
    <w:p w14:paraId="07CD3EEA" w14:textId="5CC67C22" w:rsidR="004C3B35" w:rsidRDefault="004C3B35" w:rsidP="00947EB5">
      <w:pPr>
        <w:pStyle w:val="Heading2"/>
        <w:rPr>
          <w:rFonts w:asciiTheme="minorHAnsi" w:eastAsiaTheme="minorHAnsi" w:hAnsiTheme="minorHAnsi" w:cstheme="minorBidi"/>
          <w:color w:val="auto"/>
          <w:sz w:val="24"/>
          <w:szCs w:val="24"/>
        </w:rPr>
      </w:pPr>
      <w:r w:rsidRPr="004C3B35">
        <w:rPr>
          <w:rFonts w:asciiTheme="minorHAnsi" w:eastAsiaTheme="minorHAnsi" w:hAnsiTheme="minorHAnsi" w:cstheme="minorBidi"/>
          <w:color w:val="auto"/>
          <w:sz w:val="24"/>
          <w:szCs w:val="24"/>
        </w:rPr>
        <w:t>Land warfare now turns on exposure: who is observed, when and how fast that observation becomes fire. Cheap sensors and democratised precision strike have collapsed the interval between being seen and being hit, changing what movement costs. Manoeuvre has not been abolished, but its price has risen sharply: it survives only in the windows that sensing, concealment, electronic warfare and fires can briefly open. For Ireland, the question is whether a small force can turn that exposure problem into defensive cost.</w:t>
      </w:r>
    </w:p>
    <w:p w14:paraId="4AD83F48" w14:textId="77777777" w:rsidR="00E42B4A" w:rsidRDefault="00947EB5" w:rsidP="00947EB5">
      <w:pPr>
        <w:pStyle w:val="Heading2"/>
        <w:rPr>
          <w:rFonts w:asciiTheme="minorHAnsi" w:eastAsiaTheme="minorHAnsi" w:hAnsiTheme="minorHAnsi" w:cstheme="minorBidi"/>
          <w:color w:val="auto"/>
          <w:sz w:val="24"/>
          <w:szCs w:val="24"/>
        </w:rPr>
      </w:pPr>
      <w:r w:rsidRPr="00262708">
        <w:rPr>
          <w:rFonts w:asciiTheme="minorHAnsi" w:eastAsiaTheme="minorHAnsi" w:hAnsiTheme="minorHAnsi" w:cstheme="minorBidi"/>
          <w:color w:val="auto"/>
          <w:sz w:val="24"/>
          <w:szCs w:val="24"/>
        </w:rPr>
        <w:t>Ireland has no national security strategy and no settled defence policy; the Defence Policy Review</w:t>
      </w:r>
      <w:r>
        <w:rPr>
          <w:rStyle w:val="FootnoteReference"/>
          <w:rFonts w:asciiTheme="minorHAnsi" w:eastAsiaTheme="minorHAnsi" w:hAnsiTheme="minorHAnsi" w:cstheme="minorBidi"/>
          <w:color w:val="auto"/>
          <w:sz w:val="24"/>
          <w:szCs w:val="24"/>
        </w:rPr>
        <w:footnoteReference w:id="1"/>
      </w:r>
      <w:r w:rsidRPr="00262708">
        <w:rPr>
          <w:rFonts w:asciiTheme="minorHAnsi" w:eastAsiaTheme="minorHAnsi" w:hAnsiTheme="minorHAnsi" w:cstheme="minorBidi"/>
          <w:color w:val="auto"/>
          <w:sz w:val="24"/>
          <w:szCs w:val="24"/>
        </w:rPr>
        <w:t xml:space="preserve"> </w:t>
      </w:r>
      <w:r>
        <w:rPr>
          <w:rFonts w:asciiTheme="minorHAnsi" w:eastAsiaTheme="minorHAnsi" w:hAnsiTheme="minorHAnsi" w:cstheme="minorBidi"/>
          <w:color w:val="auto"/>
          <w:sz w:val="24"/>
          <w:szCs w:val="24"/>
        </w:rPr>
        <w:t>updates the White Paper</w:t>
      </w:r>
      <w:r>
        <w:rPr>
          <w:rStyle w:val="FootnoteReference"/>
          <w:rFonts w:asciiTheme="minorHAnsi" w:eastAsiaTheme="minorHAnsi" w:hAnsiTheme="minorHAnsi" w:cstheme="minorBidi"/>
          <w:color w:val="auto"/>
          <w:sz w:val="24"/>
          <w:szCs w:val="24"/>
        </w:rPr>
        <w:footnoteReference w:id="2"/>
      </w:r>
      <w:r>
        <w:rPr>
          <w:rFonts w:asciiTheme="minorHAnsi" w:eastAsiaTheme="minorHAnsi" w:hAnsiTheme="minorHAnsi" w:cstheme="minorBidi"/>
          <w:color w:val="auto"/>
          <w:sz w:val="24"/>
          <w:szCs w:val="24"/>
        </w:rPr>
        <w:t>, constituting</w:t>
      </w:r>
      <w:r w:rsidRPr="00262708">
        <w:rPr>
          <w:rFonts w:asciiTheme="minorHAnsi" w:eastAsiaTheme="minorHAnsi" w:hAnsiTheme="minorHAnsi" w:cstheme="minorBidi"/>
          <w:color w:val="auto"/>
          <w:sz w:val="24"/>
          <w:szCs w:val="24"/>
        </w:rPr>
        <w:t xml:space="preserve"> a de facto substitute</w:t>
      </w:r>
      <w:r>
        <w:rPr>
          <w:rFonts w:asciiTheme="minorHAnsi" w:eastAsiaTheme="minorHAnsi" w:hAnsiTheme="minorHAnsi" w:cstheme="minorBidi"/>
          <w:color w:val="auto"/>
          <w:sz w:val="24"/>
          <w:szCs w:val="24"/>
        </w:rPr>
        <w:t>. The military is tasked “</w:t>
      </w:r>
      <w:r w:rsidRPr="000E53A4">
        <w:rPr>
          <w:rFonts w:asciiTheme="minorHAnsi" w:eastAsiaTheme="minorHAnsi" w:hAnsiTheme="minorHAnsi" w:cstheme="minorBidi"/>
          <w:color w:val="auto"/>
          <w:sz w:val="24"/>
          <w:szCs w:val="24"/>
        </w:rPr>
        <w:t>To provide for the military Defence of the</w:t>
      </w:r>
      <w:r>
        <w:rPr>
          <w:rFonts w:asciiTheme="minorHAnsi" w:eastAsiaTheme="minorHAnsi" w:hAnsiTheme="minorHAnsi" w:cstheme="minorBidi"/>
          <w:color w:val="auto"/>
          <w:sz w:val="24"/>
          <w:szCs w:val="24"/>
        </w:rPr>
        <w:t xml:space="preserve"> </w:t>
      </w:r>
      <w:r w:rsidRPr="000E53A4">
        <w:rPr>
          <w:rFonts w:asciiTheme="minorHAnsi" w:eastAsiaTheme="minorHAnsi" w:hAnsiTheme="minorHAnsi" w:cstheme="minorBidi"/>
          <w:color w:val="auto"/>
          <w:sz w:val="24"/>
          <w:szCs w:val="24"/>
        </w:rPr>
        <w:t>State from armed aggression</w:t>
      </w:r>
      <w:r>
        <w:rPr>
          <w:rFonts w:asciiTheme="minorHAnsi" w:eastAsiaTheme="minorHAnsi" w:hAnsiTheme="minorHAnsi" w:cstheme="minorBidi"/>
          <w:color w:val="auto"/>
          <w:sz w:val="24"/>
          <w:szCs w:val="24"/>
        </w:rPr>
        <w:t>”.</w:t>
      </w:r>
      <w:r w:rsidRPr="00262708">
        <w:rPr>
          <w:rFonts w:asciiTheme="minorHAnsi" w:eastAsiaTheme="minorHAnsi" w:hAnsiTheme="minorHAnsi" w:cstheme="minorBidi"/>
          <w:color w:val="auto"/>
          <w:sz w:val="24"/>
          <w:szCs w:val="24"/>
        </w:rPr>
        <w:t xml:space="preserve"> </w:t>
      </w:r>
      <w:r>
        <w:rPr>
          <w:rFonts w:asciiTheme="minorHAnsi" w:eastAsiaTheme="minorHAnsi" w:hAnsiTheme="minorHAnsi" w:cstheme="minorBidi"/>
          <w:color w:val="auto"/>
          <w:sz w:val="24"/>
          <w:szCs w:val="24"/>
        </w:rPr>
        <w:t>While m</w:t>
      </w:r>
      <w:r w:rsidRPr="00262708">
        <w:rPr>
          <w:rFonts w:asciiTheme="minorHAnsi" w:eastAsiaTheme="minorHAnsi" w:hAnsiTheme="minorHAnsi" w:cstheme="minorBidi"/>
          <w:color w:val="auto"/>
          <w:sz w:val="24"/>
          <w:szCs w:val="24"/>
        </w:rPr>
        <w:t xml:space="preserve">ilitary </w:t>
      </w:r>
      <w:r>
        <w:rPr>
          <w:rFonts w:asciiTheme="minorHAnsi" w:eastAsiaTheme="minorHAnsi" w:hAnsiTheme="minorHAnsi" w:cstheme="minorBidi"/>
          <w:color w:val="auto"/>
          <w:sz w:val="24"/>
          <w:szCs w:val="24"/>
        </w:rPr>
        <w:t>strategy and operations</w:t>
      </w:r>
      <w:r w:rsidRPr="00262708">
        <w:rPr>
          <w:rFonts w:asciiTheme="minorHAnsi" w:eastAsiaTheme="minorHAnsi" w:hAnsiTheme="minorHAnsi" w:cstheme="minorBidi"/>
          <w:color w:val="auto"/>
          <w:sz w:val="24"/>
          <w:szCs w:val="24"/>
        </w:rPr>
        <w:t xml:space="preserve"> can organise effort</w:t>
      </w:r>
      <w:r>
        <w:rPr>
          <w:rFonts w:asciiTheme="minorHAnsi" w:eastAsiaTheme="minorHAnsi" w:hAnsiTheme="minorHAnsi" w:cstheme="minorBidi"/>
          <w:color w:val="auto"/>
          <w:sz w:val="24"/>
          <w:szCs w:val="24"/>
        </w:rPr>
        <w:t>, policy directs</w:t>
      </w:r>
      <w:r w:rsidRPr="00262708">
        <w:rPr>
          <w:rFonts w:asciiTheme="minorHAnsi" w:eastAsiaTheme="minorHAnsi" w:hAnsiTheme="minorHAnsi" w:cstheme="minorBidi"/>
          <w:color w:val="auto"/>
          <w:sz w:val="24"/>
          <w:szCs w:val="24"/>
        </w:rPr>
        <w:t xml:space="preserve">. In that vacuum, force design drifts toward continuity. </w:t>
      </w:r>
    </w:p>
    <w:p w14:paraId="6769E7F3" w14:textId="43E14C7A" w:rsidR="00947EB5" w:rsidRDefault="00947EB5" w:rsidP="00947EB5">
      <w:pPr>
        <w:pStyle w:val="Heading2"/>
        <w:rPr>
          <w:rFonts w:asciiTheme="minorHAnsi" w:eastAsiaTheme="minorHAnsi" w:hAnsiTheme="minorHAnsi" w:cstheme="minorBidi"/>
          <w:color w:val="auto"/>
          <w:sz w:val="24"/>
          <w:szCs w:val="24"/>
        </w:rPr>
      </w:pPr>
      <w:r>
        <w:rPr>
          <w:rFonts w:asciiTheme="minorHAnsi" w:eastAsiaTheme="minorHAnsi" w:hAnsiTheme="minorHAnsi" w:cstheme="minorBidi"/>
          <w:color w:val="auto"/>
          <w:sz w:val="24"/>
          <w:szCs w:val="24"/>
        </w:rPr>
        <w:t>T</w:t>
      </w:r>
      <w:r w:rsidRPr="00CA53E2">
        <w:rPr>
          <w:rFonts w:asciiTheme="minorHAnsi" w:eastAsiaTheme="minorHAnsi" w:hAnsiTheme="minorHAnsi" w:cstheme="minorBidi"/>
          <w:color w:val="auto"/>
          <w:sz w:val="24"/>
          <w:szCs w:val="24"/>
        </w:rPr>
        <w:t xml:space="preserve">erritorial defence is no longer implausible </w:t>
      </w:r>
      <w:r>
        <w:rPr>
          <w:rFonts w:asciiTheme="minorHAnsi" w:eastAsiaTheme="minorHAnsi" w:hAnsiTheme="minorHAnsi" w:cstheme="minorBidi"/>
          <w:color w:val="auto"/>
          <w:sz w:val="24"/>
          <w:szCs w:val="24"/>
        </w:rPr>
        <w:t>—</w:t>
      </w:r>
      <w:r w:rsidRPr="00CA53E2">
        <w:rPr>
          <w:rFonts w:asciiTheme="minorHAnsi" w:eastAsiaTheme="minorHAnsi" w:hAnsiTheme="minorHAnsi" w:cstheme="minorBidi"/>
          <w:color w:val="auto"/>
          <w:sz w:val="24"/>
          <w:szCs w:val="24"/>
        </w:rPr>
        <w:t xml:space="preserve"> it is politically constrained, under-resourced and increasingly likely.</w:t>
      </w:r>
      <w:r>
        <w:rPr>
          <w:rFonts w:asciiTheme="minorHAnsi" w:eastAsiaTheme="minorHAnsi" w:hAnsiTheme="minorHAnsi" w:cstheme="minorBidi"/>
          <w:color w:val="auto"/>
          <w:sz w:val="24"/>
          <w:szCs w:val="24"/>
        </w:rPr>
        <w:t xml:space="preserve"> Recent</w:t>
      </w:r>
      <w:r w:rsidRPr="00B46909">
        <w:rPr>
          <w:rFonts w:asciiTheme="minorHAnsi" w:eastAsiaTheme="minorHAnsi" w:hAnsiTheme="minorHAnsi" w:cstheme="minorBidi"/>
          <w:color w:val="auto"/>
          <w:sz w:val="24"/>
          <w:szCs w:val="24"/>
        </w:rPr>
        <w:t xml:space="preserve"> developments</w:t>
      </w:r>
      <w:r>
        <w:rPr>
          <w:rFonts w:asciiTheme="minorHAnsi" w:eastAsiaTheme="minorHAnsi" w:hAnsiTheme="minorHAnsi" w:cstheme="minorBidi"/>
          <w:color w:val="auto"/>
          <w:sz w:val="24"/>
          <w:szCs w:val="24"/>
        </w:rPr>
        <w:t xml:space="preserve"> </w:t>
      </w:r>
      <w:r w:rsidRPr="00B46909">
        <w:rPr>
          <w:rFonts w:asciiTheme="minorHAnsi" w:eastAsiaTheme="minorHAnsi" w:hAnsiTheme="minorHAnsi" w:cstheme="minorBidi"/>
          <w:color w:val="auto"/>
          <w:sz w:val="24"/>
          <w:szCs w:val="24"/>
        </w:rPr>
        <w:t xml:space="preserve">among Western states </w:t>
      </w:r>
      <w:r>
        <w:rPr>
          <w:rFonts w:asciiTheme="minorHAnsi" w:eastAsiaTheme="minorHAnsi" w:hAnsiTheme="minorHAnsi" w:cstheme="minorBidi"/>
          <w:color w:val="auto"/>
          <w:sz w:val="24"/>
          <w:szCs w:val="24"/>
        </w:rPr>
        <w:t>—</w:t>
      </w:r>
      <w:r w:rsidRPr="00B46909">
        <w:rPr>
          <w:rFonts w:asciiTheme="minorHAnsi" w:eastAsiaTheme="minorHAnsi" w:hAnsiTheme="minorHAnsi" w:cstheme="minorBidi"/>
          <w:color w:val="auto"/>
          <w:sz w:val="24"/>
          <w:szCs w:val="24"/>
        </w:rPr>
        <w:t xml:space="preserve"> most notably the United States’ assertions regarding</w:t>
      </w:r>
      <w:r>
        <w:rPr>
          <w:rFonts w:asciiTheme="minorHAnsi" w:eastAsiaTheme="minorHAnsi" w:hAnsiTheme="minorHAnsi" w:cstheme="minorBidi"/>
          <w:color w:val="auto"/>
          <w:sz w:val="24"/>
          <w:szCs w:val="24"/>
        </w:rPr>
        <w:t xml:space="preserve"> </w:t>
      </w:r>
      <w:r w:rsidRPr="00B46909">
        <w:rPr>
          <w:rFonts w:asciiTheme="minorHAnsi" w:eastAsiaTheme="minorHAnsi" w:hAnsiTheme="minorHAnsi" w:cstheme="minorBidi"/>
          <w:color w:val="auto"/>
          <w:sz w:val="24"/>
          <w:szCs w:val="24"/>
        </w:rPr>
        <w:t>Greenland</w:t>
      </w:r>
      <w:r>
        <w:rPr>
          <w:rStyle w:val="FootnoteReference"/>
          <w:rFonts w:asciiTheme="minorHAnsi" w:eastAsiaTheme="minorHAnsi" w:hAnsiTheme="minorHAnsi" w:cstheme="minorBidi"/>
          <w:color w:val="auto"/>
          <w:sz w:val="24"/>
          <w:szCs w:val="24"/>
        </w:rPr>
        <w:footnoteReference w:id="3"/>
      </w:r>
      <w:r w:rsidRPr="00B46909">
        <w:rPr>
          <w:rFonts w:asciiTheme="minorHAnsi" w:eastAsiaTheme="minorHAnsi" w:hAnsiTheme="minorHAnsi" w:cstheme="minorBidi"/>
          <w:color w:val="auto"/>
          <w:sz w:val="24"/>
          <w:szCs w:val="24"/>
        </w:rPr>
        <w:t xml:space="preserve"> and Denmark’s response</w:t>
      </w:r>
      <w:r>
        <w:rPr>
          <w:rStyle w:val="FootnoteReference"/>
          <w:rFonts w:asciiTheme="minorHAnsi" w:eastAsiaTheme="minorHAnsi" w:hAnsiTheme="minorHAnsi" w:cstheme="minorBidi"/>
          <w:color w:val="auto"/>
          <w:sz w:val="24"/>
          <w:szCs w:val="24"/>
        </w:rPr>
        <w:footnoteReference w:id="4"/>
      </w:r>
      <w:r w:rsidRPr="00B46909">
        <w:rPr>
          <w:rFonts w:asciiTheme="minorHAnsi" w:eastAsiaTheme="minorHAnsi" w:hAnsiTheme="minorHAnsi" w:cstheme="minorBidi"/>
          <w:color w:val="auto"/>
          <w:sz w:val="24"/>
          <w:szCs w:val="24"/>
        </w:rPr>
        <w:t xml:space="preserve">  </w:t>
      </w:r>
      <w:r>
        <w:rPr>
          <w:rFonts w:asciiTheme="minorHAnsi" w:eastAsiaTheme="minorHAnsi" w:hAnsiTheme="minorHAnsi" w:cstheme="minorBidi"/>
          <w:color w:val="auto"/>
          <w:sz w:val="24"/>
          <w:szCs w:val="24"/>
        </w:rPr>
        <w:t>—</w:t>
      </w:r>
      <w:r w:rsidRPr="00B46909">
        <w:rPr>
          <w:rFonts w:asciiTheme="minorHAnsi" w:eastAsiaTheme="minorHAnsi" w:hAnsiTheme="minorHAnsi" w:cstheme="minorBidi"/>
          <w:color w:val="auto"/>
          <w:sz w:val="24"/>
          <w:szCs w:val="24"/>
        </w:rPr>
        <w:t xml:space="preserve"> demonstrate that scenarios once considered unlikely can rapidly</w:t>
      </w:r>
      <w:r>
        <w:rPr>
          <w:rFonts w:asciiTheme="minorHAnsi" w:eastAsiaTheme="minorHAnsi" w:hAnsiTheme="minorHAnsi" w:cstheme="minorBidi"/>
          <w:color w:val="auto"/>
          <w:sz w:val="24"/>
          <w:szCs w:val="24"/>
        </w:rPr>
        <w:t xml:space="preserve"> </w:t>
      </w:r>
      <w:r w:rsidRPr="00B46909">
        <w:rPr>
          <w:rFonts w:asciiTheme="minorHAnsi" w:eastAsiaTheme="minorHAnsi" w:hAnsiTheme="minorHAnsi" w:cstheme="minorBidi"/>
          <w:color w:val="auto"/>
          <w:sz w:val="24"/>
          <w:szCs w:val="24"/>
        </w:rPr>
        <w:t xml:space="preserve">acquire </w:t>
      </w:r>
      <w:r>
        <w:rPr>
          <w:rFonts w:asciiTheme="minorHAnsi" w:eastAsiaTheme="minorHAnsi" w:hAnsiTheme="minorHAnsi" w:cstheme="minorBidi"/>
          <w:color w:val="auto"/>
          <w:sz w:val="24"/>
          <w:szCs w:val="24"/>
        </w:rPr>
        <w:t>s</w:t>
      </w:r>
      <w:r w:rsidRPr="00B46909">
        <w:rPr>
          <w:rFonts w:asciiTheme="minorHAnsi" w:eastAsiaTheme="minorHAnsi" w:hAnsiTheme="minorHAnsi" w:cstheme="minorBidi"/>
          <w:color w:val="auto"/>
          <w:sz w:val="24"/>
          <w:szCs w:val="24"/>
        </w:rPr>
        <w:t>trategic salience. The perception of threat is an unreliable indicator for future</w:t>
      </w:r>
      <w:r>
        <w:rPr>
          <w:rFonts w:asciiTheme="minorHAnsi" w:eastAsiaTheme="minorHAnsi" w:hAnsiTheme="minorHAnsi" w:cstheme="minorBidi"/>
          <w:color w:val="auto"/>
          <w:sz w:val="24"/>
          <w:szCs w:val="24"/>
        </w:rPr>
        <w:t xml:space="preserve"> </w:t>
      </w:r>
      <w:r w:rsidRPr="00B46909">
        <w:rPr>
          <w:rFonts w:asciiTheme="minorHAnsi" w:eastAsiaTheme="minorHAnsi" w:hAnsiTheme="minorHAnsi" w:cstheme="minorBidi"/>
          <w:color w:val="auto"/>
          <w:sz w:val="24"/>
          <w:szCs w:val="24"/>
        </w:rPr>
        <w:t xml:space="preserve">conflict. Failure to internalise the implications of </w:t>
      </w:r>
      <w:proofErr w:type="spellStart"/>
      <w:r w:rsidRPr="00B46909">
        <w:rPr>
          <w:rFonts w:asciiTheme="minorHAnsi" w:eastAsiaTheme="minorHAnsi" w:hAnsiTheme="minorHAnsi" w:cstheme="minorBidi"/>
          <w:color w:val="auto"/>
          <w:sz w:val="24"/>
          <w:szCs w:val="24"/>
        </w:rPr>
        <w:t>UxS</w:t>
      </w:r>
      <w:proofErr w:type="spellEnd"/>
      <w:r w:rsidRPr="00B46909">
        <w:rPr>
          <w:rFonts w:asciiTheme="minorHAnsi" w:eastAsiaTheme="minorHAnsi" w:hAnsiTheme="minorHAnsi" w:cstheme="minorBidi"/>
          <w:color w:val="auto"/>
          <w:sz w:val="24"/>
          <w:szCs w:val="24"/>
        </w:rPr>
        <w:t xml:space="preserve"> risks entrenching a force posture</w:t>
      </w:r>
      <w:r>
        <w:rPr>
          <w:rFonts w:asciiTheme="minorHAnsi" w:eastAsiaTheme="minorHAnsi" w:hAnsiTheme="minorHAnsi" w:cstheme="minorBidi"/>
          <w:color w:val="auto"/>
          <w:sz w:val="24"/>
          <w:szCs w:val="24"/>
        </w:rPr>
        <w:t xml:space="preserve"> </w:t>
      </w:r>
      <w:r w:rsidRPr="00B46909">
        <w:rPr>
          <w:rFonts w:asciiTheme="minorHAnsi" w:eastAsiaTheme="minorHAnsi" w:hAnsiTheme="minorHAnsi" w:cstheme="minorBidi"/>
          <w:color w:val="auto"/>
          <w:sz w:val="24"/>
          <w:szCs w:val="24"/>
        </w:rPr>
        <w:t>optimised for conditions which no longer exist</w:t>
      </w:r>
      <w:r>
        <w:rPr>
          <w:rFonts w:asciiTheme="minorHAnsi" w:eastAsiaTheme="minorHAnsi" w:hAnsiTheme="minorHAnsi" w:cstheme="minorBidi"/>
          <w:color w:val="auto"/>
          <w:sz w:val="24"/>
          <w:szCs w:val="24"/>
        </w:rPr>
        <w:t>,</w:t>
      </w:r>
      <w:r w:rsidRPr="00B46909">
        <w:rPr>
          <w:rFonts w:asciiTheme="minorHAnsi" w:eastAsiaTheme="minorHAnsi" w:hAnsiTheme="minorHAnsi" w:cstheme="minorBidi"/>
          <w:color w:val="auto"/>
          <w:sz w:val="24"/>
          <w:szCs w:val="24"/>
        </w:rPr>
        <w:t xml:space="preserve"> allowing force design decisions to prioritise</w:t>
      </w:r>
      <w:r>
        <w:rPr>
          <w:rFonts w:asciiTheme="minorHAnsi" w:eastAsiaTheme="minorHAnsi" w:hAnsiTheme="minorHAnsi" w:cstheme="minorBidi"/>
          <w:color w:val="auto"/>
          <w:sz w:val="24"/>
          <w:szCs w:val="24"/>
        </w:rPr>
        <w:t xml:space="preserve"> </w:t>
      </w:r>
      <w:r w:rsidRPr="00B46909">
        <w:rPr>
          <w:rFonts w:asciiTheme="minorHAnsi" w:eastAsiaTheme="minorHAnsi" w:hAnsiTheme="minorHAnsi" w:cstheme="minorBidi"/>
          <w:color w:val="auto"/>
          <w:sz w:val="24"/>
          <w:szCs w:val="24"/>
        </w:rPr>
        <w:t>continuity over adaptation and without articulating a theory of victory.</w:t>
      </w:r>
      <w:r>
        <w:rPr>
          <w:rFonts w:asciiTheme="minorHAnsi" w:eastAsiaTheme="minorHAnsi" w:hAnsiTheme="minorHAnsi" w:cstheme="minorBidi"/>
          <w:color w:val="auto"/>
          <w:sz w:val="24"/>
          <w:szCs w:val="24"/>
        </w:rPr>
        <w:t xml:space="preserve"> </w:t>
      </w:r>
      <w:r w:rsidR="00BF065B" w:rsidRPr="00BF065B">
        <w:rPr>
          <w:rFonts w:asciiTheme="minorHAnsi" w:eastAsiaTheme="minorHAnsi" w:hAnsiTheme="minorHAnsi" w:cstheme="minorBidi"/>
          <w:color w:val="auto"/>
          <w:sz w:val="24"/>
          <w:szCs w:val="24"/>
        </w:rPr>
        <w:t xml:space="preserve">For </w:t>
      </w:r>
      <w:r w:rsidR="00BF065B">
        <w:rPr>
          <w:rFonts w:asciiTheme="minorHAnsi" w:eastAsiaTheme="minorHAnsi" w:hAnsiTheme="minorHAnsi" w:cstheme="minorBidi"/>
          <w:color w:val="auto"/>
          <w:sz w:val="24"/>
          <w:szCs w:val="24"/>
        </w:rPr>
        <w:t>Ireland</w:t>
      </w:r>
      <w:r w:rsidR="00BF065B" w:rsidRPr="00BF065B">
        <w:rPr>
          <w:rFonts w:asciiTheme="minorHAnsi" w:eastAsiaTheme="minorHAnsi" w:hAnsiTheme="minorHAnsi" w:cstheme="minorBidi"/>
          <w:color w:val="auto"/>
          <w:sz w:val="24"/>
          <w:szCs w:val="24"/>
        </w:rPr>
        <w:t xml:space="preserve"> that defence </w:t>
      </w:r>
      <w:r w:rsidR="00A36721">
        <w:rPr>
          <w:rFonts w:asciiTheme="minorHAnsi" w:eastAsiaTheme="minorHAnsi" w:hAnsiTheme="minorHAnsi" w:cstheme="minorBidi"/>
          <w:color w:val="auto"/>
          <w:sz w:val="24"/>
          <w:szCs w:val="24"/>
        </w:rPr>
        <w:t xml:space="preserve">perhaps </w:t>
      </w:r>
      <w:r w:rsidR="00BF065B" w:rsidRPr="00BF065B">
        <w:rPr>
          <w:rFonts w:asciiTheme="minorHAnsi" w:eastAsiaTheme="minorHAnsi" w:hAnsiTheme="minorHAnsi" w:cstheme="minorBidi"/>
          <w:color w:val="auto"/>
          <w:sz w:val="24"/>
          <w:szCs w:val="24"/>
        </w:rPr>
        <w:t>falls primarily to light infantry. That makes the section</w:t>
      </w:r>
      <w:r w:rsidR="00BF065B">
        <w:rPr>
          <w:rFonts w:asciiTheme="minorHAnsi" w:eastAsiaTheme="minorHAnsi" w:hAnsiTheme="minorHAnsi" w:cstheme="minorBidi"/>
          <w:color w:val="auto"/>
          <w:sz w:val="24"/>
          <w:szCs w:val="24"/>
        </w:rPr>
        <w:t xml:space="preserve"> the</w:t>
      </w:r>
      <w:r w:rsidR="00BF065B" w:rsidRPr="00BF065B">
        <w:rPr>
          <w:rFonts w:asciiTheme="minorHAnsi" w:eastAsiaTheme="minorHAnsi" w:hAnsiTheme="minorHAnsi" w:cstheme="minorBidi"/>
          <w:color w:val="auto"/>
          <w:sz w:val="24"/>
          <w:szCs w:val="24"/>
        </w:rPr>
        <w:t xml:space="preserve"> critical unit of analysis.</w:t>
      </w:r>
      <w:r w:rsidR="00BF065B" w:rsidRPr="00BF065B">
        <w:rPr>
          <w:rFonts w:asciiTheme="minorHAnsi" w:eastAsiaTheme="minorHAnsi" w:hAnsiTheme="minorHAnsi" w:cstheme="minorBidi"/>
          <w:color w:val="auto"/>
          <w:sz w:val="24"/>
          <w:szCs w:val="24"/>
        </w:rPr>
        <w:t xml:space="preserve"> </w:t>
      </w:r>
      <w:r>
        <w:rPr>
          <w:rFonts w:asciiTheme="minorHAnsi" w:eastAsiaTheme="minorHAnsi" w:hAnsiTheme="minorHAnsi" w:cstheme="minorBidi"/>
          <w:color w:val="auto"/>
          <w:sz w:val="24"/>
          <w:szCs w:val="24"/>
        </w:rPr>
        <w:t>[</w:t>
      </w:r>
      <w:r w:rsidRPr="0071161B">
        <w:rPr>
          <w:rFonts w:asciiTheme="minorHAnsi" w:eastAsiaTheme="minorHAnsi" w:hAnsiTheme="minorHAnsi" w:cstheme="minorBidi"/>
          <w:color w:val="auto"/>
          <w:sz w:val="24"/>
          <w:szCs w:val="24"/>
          <w:highlight w:val="yellow"/>
        </w:rPr>
        <w:t xml:space="preserve"> please proof the ideas here, they’re still in draft though</w:t>
      </w:r>
      <w:r>
        <w:rPr>
          <w:rFonts w:asciiTheme="minorHAnsi" w:eastAsiaTheme="minorHAnsi" w:hAnsiTheme="minorHAnsi" w:cstheme="minorBidi"/>
          <w:color w:val="auto"/>
          <w:sz w:val="24"/>
          <w:szCs w:val="24"/>
        </w:rPr>
        <w:t>]</w:t>
      </w:r>
    </w:p>
    <w:p w14:paraId="38021E4B" w14:textId="77777777" w:rsidR="00CC44E2" w:rsidRDefault="00CC44E2">
      <w:r>
        <w:br w:type="page"/>
      </w:r>
    </w:p>
    <w:p w14:paraId="5AB6E8DB" w14:textId="77777777" w:rsidR="003C060B" w:rsidRDefault="00947EB5" w:rsidP="00947EB5">
      <w:r w:rsidRPr="00803FC3">
        <w:lastRenderedPageBreak/>
        <w:t>Ireland's light infantry section is not a capability gap to be filled with equipment; it is a structure overtaken by the threat</w:t>
      </w:r>
      <w:r>
        <w:t xml:space="preserve">. </w:t>
      </w:r>
      <w:r w:rsidRPr="00803FC3">
        <w:t>Capability is sometimes reduced to equipment, but it is better understood as the synthesis described by DOTMLPF-I</w:t>
      </w:r>
      <w:r>
        <w:t>.</w:t>
      </w:r>
      <w:r>
        <w:rPr>
          <w:rStyle w:val="FootnoteReference"/>
        </w:rPr>
        <w:footnoteReference w:id="5"/>
      </w:r>
      <w:r>
        <w:t xml:space="preserve"> </w:t>
      </w:r>
      <w:r>
        <w:rPr>
          <w:rStyle w:val="FootnoteReference"/>
        </w:rPr>
        <w:footnoteReference w:id="6"/>
      </w:r>
      <w:r>
        <w:t xml:space="preserve"> O</w:t>
      </w:r>
      <w:r w:rsidRPr="00803FC3">
        <w:t>n that basis the section fails against nearly every line. Its doctrine</w:t>
      </w:r>
      <w:r>
        <w:rPr>
          <w:rStyle w:val="FootnoteReference"/>
        </w:rPr>
        <w:footnoteReference w:id="7"/>
      </w:r>
      <w:r w:rsidRPr="00803FC3">
        <w:t xml:space="preserve"> remains that of a foot-mobile light infantry section, </w:t>
      </w:r>
      <w:r w:rsidRPr="00803FC3">
        <w:rPr>
          <w:highlight w:val="yellow"/>
        </w:rPr>
        <w:t>never reconciled with the vehicles now built to carry it</w:t>
      </w:r>
      <w:r w:rsidRPr="00803FC3">
        <w:t>. Its organisation may now be rebuilt around vehicle capacity,</w:t>
      </w:r>
      <w:r w:rsidRPr="008762BE">
        <w:rPr>
          <w:rStyle w:val="FootnoteReference"/>
        </w:rPr>
        <w:t xml:space="preserve"> </w:t>
      </w:r>
      <w:r>
        <w:rPr>
          <w:rStyle w:val="FootnoteReference"/>
        </w:rPr>
        <w:footnoteReference w:id="8"/>
      </w:r>
      <w:r w:rsidRPr="00803FC3">
        <w:t xml:space="preserve"> on the assumption that one section must fit one carrier — a constraint</w:t>
      </w:r>
      <w:r>
        <w:t xml:space="preserve"> more appropriate for</w:t>
      </w:r>
      <w:r w:rsidRPr="00803FC3">
        <w:t xml:space="preserve"> mechanised and armoured formations</w:t>
      </w:r>
      <w:r>
        <w:t xml:space="preserve">. </w:t>
      </w:r>
      <w:r w:rsidRPr="00803FC3">
        <w:t>It</w:t>
      </w:r>
      <w:r>
        <w:t xml:space="preserve"> should</w:t>
      </w:r>
      <w:r w:rsidRPr="00803FC3">
        <w:t xml:space="preserve"> not bind light infantry, which moves on foot or in soft-skin vehicles, increasingly all-terrain </w:t>
      </w:r>
      <w:r>
        <w:t>vehicles</w:t>
      </w:r>
      <w:r w:rsidRPr="00803FC3">
        <w:t xml:space="preserve"> such as the ULTV.</w:t>
      </w:r>
      <w:r w:rsidRPr="008762BE">
        <w:rPr>
          <w:rStyle w:val="FootnoteReference"/>
        </w:rPr>
        <w:t xml:space="preserve"> </w:t>
      </w:r>
      <w:r>
        <w:rPr>
          <w:rStyle w:val="FootnoteReference"/>
        </w:rPr>
        <w:footnoteReference w:id="9"/>
      </w:r>
      <w:r w:rsidRPr="00803FC3">
        <w:rPr>
          <w:rStyle w:val="FootnoteReference"/>
        </w:rPr>
        <w:t xml:space="preserve"> </w:t>
      </w:r>
      <w:r>
        <w:rPr>
          <w:rStyle w:val="FootnoteReference"/>
        </w:rPr>
        <w:t xml:space="preserve"> </w:t>
      </w:r>
      <w:r>
        <w:t>I</w:t>
      </w:r>
      <w:r w:rsidRPr="00227DF4">
        <w:t xml:space="preserve">ts training still rehearses the conventional drills of the last century and the peace-support tasks of the decades since. It neglects the cognitive burden, dispersion and exposure of a section that can be found and struck on a checkpoint or logistics convoy as readily as in battle, without higher-echelon cover. </w:t>
      </w:r>
      <w:r w:rsidR="003C060B" w:rsidRPr="003C060B">
        <w:t xml:space="preserve">Its materiel reflects a Cold War mentality. Its leadership is not configured for mission command under persistent observation. And it fields too few soldiers to carry the cognitive load, operate the new systems and remain cohesive once dispersed. Adding </w:t>
      </w:r>
      <w:proofErr w:type="gramStart"/>
      <w:r w:rsidR="003C060B" w:rsidRPr="003C060B">
        <w:t>drones</w:t>
      </w:r>
      <w:proofErr w:type="gramEnd"/>
      <w:r w:rsidR="003C060B" w:rsidRPr="003C060B">
        <w:t xml:space="preserve"> changes none of that. </w:t>
      </w:r>
    </w:p>
    <w:p w14:paraId="1ED1A5A1" w14:textId="5C5F755C" w:rsidR="00B47134" w:rsidRPr="00B47134" w:rsidRDefault="00B47134" w:rsidP="00B47134">
      <w:r w:rsidRPr="00B47134">
        <w:t>These are not uniquely Irish problems. Section design, vehicle capacity, organic support weapons and UAS integration are being reconsidered elsewhere. French RI 2030 reform shows one mechanised answer: the vehicle acts as a mission-configurable “weapons store”, anti-armour is distributed across combat groups</w:t>
      </w:r>
      <w:r w:rsidR="004D0C8F">
        <w:t xml:space="preserve"> and</w:t>
      </w:r>
      <w:r w:rsidRPr="00B47134">
        <w:t xml:space="preserve"> platoon</w:t>
      </w:r>
      <w:r w:rsidR="004D0C8F">
        <w:t>-</w:t>
      </w:r>
      <w:r w:rsidRPr="00B47134">
        <w:t>level</w:t>
      </w:r>
      <w:r w:rsidR="004D0C8F">
        <w:t xml:space="preserve"> UAS while</w:t>
      </w:r>
      <w:r w:rsidRPr="00B47134">
        <w:t xml:space="preserve"> heavier UAS, EW and robotic effects remain </w:t>
      </w:r>
      <w:r w:rsidR="004D0C8F">
        <w:t>separate</w:t>
      </w:r>
      <w:r w:rsidRPr="00B47134">
        <w:t>.</w:t>
      </w:r>
      <w:r w:rsidR="008E0498">
        <w:t xml:space="preserve"> </w:t>
      </w:r>
      <w:r w:rsidR="008E0498">
        <w:rPr>
          <w:rStyle w:val="FootnoteReference"/>
        </w:rPr>
        <w:footnoteReference w:id="10"/>
      </w:r>
      <w:r w:rsidRPr="00B47134">
        <w:t xml:space="preserve"> </w:t>
      </w:r>
      <w:r w:rsidR="00A72C99" w:rsidRPr="00A72C99">
        <w:t>For a mechanised force, that is coherent: the platform supplies protection, mobility, firepower and carried stores. For Irish light</w:t>
      </w:r>
      <w:r w:rsidR="004D0C8F">
        <w:t xml:space="preserve"> and mechanised</w:t>
      </w:r>
      <w:r w:rsidR="00A72C99" w:rsidRPr="00A72C99">
        <w:t xml:space="preserve"> infantry, it</w:t>
      </w:r>
      <w:r w:rsidR="004D0C8F">
        <w:t xml:space="preserve"> may not </w:t>
      </w:r>
      <w:r w:rsidR="001C75AE">
        <w:t>suffice</w:t>
      </w:r>
      <w:r w:rsidR="00A72C99" w:rsidRPr="00A72C99">
        <w:t xml:space="preserve">. </w:t>
      </w:r>
      <w:r w:rsidRPr="00B47134">
        <w:t xml:space="preserve">The British Army’s experimental Phalanx Platoon </w:t>
      </w:r>
      <w:r>
        <w:t>C</w:t>
      </w:r>
      <w:r w:rsidRPr="00B47134">
        <w:t>oncept</w:t>
      </w:r>
      <w:r>
        <w:t xml:space="preserve"> </w:t>
      </w:r>
      <w:r>
        <w:rPr>
          <w:rStyle w:val="FootnoteReference"/>
        </w:rPr>
        <w:footnoteReference w:id="11"/>
      </w:r>
      <w:r w:rsidRPr="00B47134">
        <w:t xml:space="preserve"> points in the same direction from a different angle, </w:t>
      </w:r>
      <w:r w:rsidRPr="00B47134">
        <w:lastRenderedPageBreak/>
        <w:t xml:space="preserve">redesigning the platoon for urban </w:t>
      </w:r>
      <w:r>
        <w:t>operations</w:t>
      </w:r>
      <w:r w:rsidRPr="00B47134">
        <w:t xml:space="preserve">. Yet adaptation remains uneven. Exercises such as </w:t>
      </w:r>
      <w:proofErr w:type="spellStart"/>
      <w:r w:rsidR="00F92358" w:rsidRPr="00F92358">
        <w:rPr>
          <w:i/>
          <w:iCs/>
        </w:rPr>
        <w:t>Gévaudan</w:t>
      </w:r>
      <w:proofErr w:type="spellEnd"/>
      <w:r w:rsidR="00F92358" w:rsidRPr="00F92358">
        <w:rPr>
          <w:i/>
          <w:iCs/>
        </w:rPr>
        <w:t xml:space="preserve"> 26</w:t>
      </w:r>
      <w:r w:rsidR="00F92358" w:rsidRPr="003C060B">
        <w:t xml:space="preserve"> </w:t>
      </w:r>
      <w:r w:rsidR="00F92358">
        <w:t xml:space="preserve">and </w:t>
      </w:r>
      <w:r w:rsidR="00F92358" w:rsidRPr="00F92358">
        <w:rPr>
          <w:i/>
          <w:iCs/>
        </w:rPr>
        <w:t>Hedgehog</w:t>
      </w:r>
      <w:r w:rsidR="00F92358">
        <w:t xml:space="preserve"> </w:t>
      </w:r>
      <w:r w:rsidR="00F92358">
        <w:rPr>
          <w:rStyle w:val="FootnoteReference"/>
        </w:rPr>
        <w:footnoteReference w:id="12"/>
      </w:r>
      <w:r w:rsidR="00B86BAF">
        <w:t xml:space="preserve"> </w:t>
      </w:r>
      <w:r w:rsidRPr="00B47134">
        <w:t xml:space="preserve">suggest that integrating drones is easier than adapting </w:t>
      </w:r>
      <w:r w:rsidR="0021641C">
        <w:t>to the implications of</w:t>
      </w:r>
      <w:r w:rsidRPr="00B47134">
        <w:t xml:space="preserve"> persistent observation. The challenge is therefore not acquiring uncrewed </w:t>
      </w:r>
      <w:proofErr w:type="gramStart"/>
      <w:r w:rsidRPr="00B47134">
        <w:t>systems, but</w:t>
      </w:r>
      <w:proofErr w:type="gramEnd"/>
      <w:r w:rsidRPr="00B47134">
        <w:t xml:space="preserve"> redesigning the infantry section around the battlefield they have created.</w:t>
      </w:r>
    </w:p>
    <w:p w14:paraId="449AE38F" w14:textId="7078BD46" w:rsidR="00B47134" w:rsidRDefault="00B47134" w:rsidP="00947EB5"/>
    <w:p w14:paraId="2F040274" w14:textId="3AE854E9" w:rsidR="00B53E30" w:rsidRPr="001C75AE" w:rsidRDefault="00FA5FF6" w:rsidP="00947EB5">
      <w:pPr>
        <w:rPr>
          <w:highlight w:val="yellow"/>
        </w:rPr>
      </w:pPr>
      <w:r w:rsidRPr="001C75AE">
        <w:rPr>
          <w:highlight w:val="yellow"/>
        </w:rPr>
        <w:t>Need access to this janes article</w:t>
      </w:r>
      <w:r w:rsidR="004D0C8F" w:rsidRPr="001C75AE">
        <w:rPr>
          <w:highlight w:val="yellow"/>
        </w:rPr>
        <w:t xml:space="preserve">: </w:t>
      </w:r>
      <w:hyperlink r:id="rId8" w:history="1">
        <w:r w:rsidR="004D0C8F" w:rsidRPr="001C75AE">
          <w:rPr>
            <w:rStyle w:val="Hyperlink"/>
            <w:highlight w:val="yellow"/>
          </w:rPr>
          <w:t>https://www.janes.com/defence-intelligence-insights/defence-news/air/french-army-restructures-its-infantry-battalions</w:t>
        </w:r>
      </w:hyperlink>
    </w:p>
    <w:p w14:paraId="72C41B37" w14:textId="0970070F" w:rsidR="00B53E30" w:rsidRPr="00803FC3" w:rsidRDefault="004D0C8F" w:rsidP="00947EB5">
      <w:r w:rsidRPr="001C75AE">
        <w:rPr>
          <w:highlight w:val="yellow"/>
        </w:rPr>
        <w:t>n</w:t>
      </w:r>
      <w:r w:rsidRPr="001C75AE">
        <w:rPr>
          <w:highlight w:val="yellow"/>
        </w:rPr>
        <w:t xml:space="preserve">eed access to this janes article: </w:t>
      </w:r>
      <w:r w:rsidR="00B53E30" w:rsidRPr="001C75AE">
        <w:rPr>
          <w:highlight w:val="yellow"/>
        </w:rPr>
        <w:t>https://www.janes.com/defence-intelligence-insights/defence-news/weapons/italian-army-improves-infantry-equipment-restructures-units</w:t>
      </w:r>
    </w:p>
    <w:p w14:paraId="6928EFC3" w14:textId="35CECDD7" w:rsidR="001D0016" w:rsidRPr="001D0016" w:rsidRDefault="001D0016" w:rsidP="001D0016">
      <w:r w:rsidRPr="001D0016">
        <w:rPr>
          <w:highlight w:val="yellow"/>
        </w:rPr>
        <w:t xml:space="preserve"> I will reference TM 201 as proof that doctrine hasn’t changed. However, I think I want to cite paragraph 0202 “The fundamental role of the infantry man/woman has changed little over recent centuries: their tasks are still to close with and destroy the enemy or force them to surrender, to seize and hold terrain, to dominate and control close country and finally, to carry out close surveillance”. Then we can say that the first task – their most important – cannot be achieved without substantial review of the doctrine, organisation, training, leadership, materiel,</w:t>
      </w:r>
      <w:r>
        <w:t xml:space="preserve"> </w:t>
      </w:r>
    </w:p>
    <w:p w14:paraId="7D7769F6" w14:textId="77777777" w:rsidR="001D0016" w:rsidRPr="001D0016" w:rsidRDefault="001D0016" w:rsidP="001D0016"/>
    <w:p w14:paraId="517B9CD4" w14:textId="17EA7E15" w:rsidR="00766DD3" w:rsidRPr="00262708" w:rsidRDefault="00766DD3" w:rsidP="00766DD3">
      <w:pPr>
        <w:pStyle w:val="Heading2"/>
        <w:rPr>
          <w:rFonts w:asciiTheme="minorHAnsi" w:eastAsiaTheme="minorHAnsi" w:hAnsiTheme="minorHAnsi" w:cstheme="minorBidi"/>
          <w:color w:val="auto"/>
          <w:sz w:val="24"/>
          <w:szCs w:val="24"/>
        </w:rPr>
      </w:pPr>
      <w:r w:rsidRPr="00262708">
        <w:rPr>
          <w:rFonts w:asciiTheme="minorHAnsi" w:eastAsiaTheme="minorHAnsi" w:hAnsiTheme="minorHAnsi" w:cstheme="minorBidi"/>
          <w:color w:val="auto"/>
          <w:sz w:val="24"/>
          <w:szCs w:val="24"/>
        </w:rPr>
        <w:lastRenderedPageBreak/>
        <w:t xml:space="preserve">Relative combat power </w:t>
      </w:r>
      <w:r>
        <w:rPr>
          <w:rFonts w:asciiTheme="minorHAnsi" w:eastAsiaTheme="minorHAnsi" w:hAnsiTheme="minorHAnsi" w:cstheme="minorBidi"/>
          <w:color w:val="auto"/>
          <w:sz w:val="24"/>
          <w:szCs w:val="24"/>
        </w:rPr>
        <w:t>rewards</w:t>
      </w:r>
      <w:r w:rsidRPr="00262708">
        <w:rPr>
          <w:rFonts w:asciiTheme="minorHAnsi" w:eastAsiaTheme="minorHAnsi" w:hAnsiTheme="minorHAnsi" w:cstheme="minorBidi"/>
          <w:color w:val="auto"/>
          <w:sz w:val="24"/>
          <w:szCs w:val="24"/>
        </w:rPr>
        <w:t xml:space="preserve"> the side </w:t>
      </w:r>
      <w:r>
        <w:rPr>
          <w:rFonts w:asciiTheme="minorHAnsi" w:eastAsiaTheme="minorHAnsi" w:hAnsiTheme="minorHAnsi" w:cstheme="minorBidi"/>
          <w:color w:val="auto"/>
          <w:sz w:val="24"/>
          <w:szCs w:val="24"/>
        </w:rPr>
        <w:t>which</w:t>
      </w:r>
      <w:r w:rsidRPr="00262708">
        <w:rPr>
          <w:rFonts w:asciiTheme="minorHAnsi" w:eastAsiaTheme="minorHAnsi" w:hAnsiTheme="minorHAnsi" w:cstheme="minorBidi"/>
          <w:color w:val="auto"/>
          <w:sz w:val="24"/>
          <w:szCs w:val="24"/>
        </w:rPr>
        <w:t xml:space="preserve"> can mass force and absorb loss</w:t>
      </w:r>
      <w:r w:rsidR="00E15ABA">
        <w:rPr>
          <w:rFonts w:asciiTheme="minorHAnsi" w:eastAsiaTheme="minorHAnsi" w:hAnsiTheme="minorHAnsi" w:cstheme="minorBidi"/>
          <w:color w:val="auto"/>
          <w:sz w:val="24"/>
          <w:szCs w:val="24"/>
        </w:rPr>
        <w:t>.</w:t>
      </w:r>
      <w:r w:rsidRPr="00262708">
        <w:rPr>
          <w:rFonts w:asciiTheme="minorHAnsi" w:eastAsiaTheme="minorHAnsi" w:hAnsiTheme="minorHAnsi" w:cstheme="minorBidi"/>
          <w:color w:val="auto"/>
          <w:sz w:val="24"/>
          <w:szCs w:val="24"/>
        </w:rPr>
        <w:t xml:space="preserve"> </w:t>
      </w:r>
      <w:r w:rsidR="00D37663" w:rsidRPr="00D37663">
        <w:rPr>
          <w:rFonts w:asciiTheme="minorHAnsi" w:eastAsiaTheme="minorHAnsi" w:hAnsiTheme="minorHAnsi" w:cstheme="minorBidi"/>
          <w:color w:val="auto"/>
          <w:sz w:val="24"/>
          <w:szCs w:val="24"/>
        </w:rPr>
        <w:t>Low-cost uncrewed systems disturb that arithmetic, a shift which</w:t>
      </w:r>
      <w:r w:rsidR="00092ECB">
        <w:rPr>
          <w:rFonts w:asciiTheme="minorHAnsi" w:eastAsiaTheme="minorHAnsi" w:hAnsiTheme="minorHAnsi" w:cstheme="minorBidi"/>
          <w:color w:val="auto"/>
          <w:sz w:val="24"/>
          <w:szCs w:val="24"/>
        </w:rPr>
        <w:t xml:space="preserve"> the</w:t>
      </w:r>
      <w:r>
        <w:rPr>
          <w:rFonts w:asciiTheme="minorHAnsi" w:eastAsiaTheme="minorHAnsi" w:hAnsiTheme="minorHAnsi" w:cstheme="minorBidi"/>
          <w:color w:val="auto"/>
          <w:sz w:val="24"/>
          <w:szCs w:val="24"/>
        </w:rPr>
        <w:t xml:space="preserve"> Lanchester Force Equations</w:t>
      </w:r>
      <w:r>
        <w:rPr>
          <w:rStyle w:val="FootnoteReference"/>
          <w:rFonts w:asciiTheme="minorHAnsi" w:eastAsiaTheme="minorHAnsi" w:hAnsiTheme="minorHAnsi" w:cstheme="minorBidi"/>
          <w:color w:val="auto"/>
          <w:sz w:val="24"/>
          <w:szCs w:val="24"/>
        </w:rPr>
        <w:footnoteReference w:id="13"/>
      </w:r>
      <w:r>
        <w:rPr>
          <w:rFonts w:asciiTheme="minorHAnsi" w:eastAsiaTheme="minorHAnsi" w:hAnsiTheme="minorHAnsi" w:cstheme="minorBidi"/>
          <w:color w:val="auto"/>
          <w:sz w:val="24"/>
          <w:szCs w:val="24"/>
        </w:rPr>
        <w:t xml:space="preserve"> and the 3:1 heuristic</w:t>
      </w:r>
      <w:r>
        <w:rPr>
          <w:rStyle w:val="FootnoteReference"/>
          <w:rFonts w:asciiTheme="minorHAnsi" w:eastAsiaTheme="minorHAnsi" w:hAnsiTheme="minorHAnsi" w:cstheme="minorBidi"/>
          <w:color w:val="auto"/>
          <w:sz w:val="24"/>
          <w:szCs w:val="24"/>
        </w:rPr>
        <w:footnoteReference w:id="14"/>
      </w:r>
      <w:r w:rsidRPr="00C03858">
        <w:rPr>
          <w:rFonts w:asciiTheme="minorHAnsi" w:eastAsiaTheme="minorHAnsi" w:hAnsiTheme="minorHAnsi" w:cstheme="minorBidi"/>
          <w:color w:val="auto"/>
          <w:sz w:val="24"/>
          <w:szCs w:val="24"/>
        </w:rPr>
        <w:t xml:space="preserve"> </w:t>
      </w:r>
      <w:r w:rsidR="00D37663" w:rsidRPr="00D37663">
        <w:rPr>
          <w:rFonts w:asciiTheme="minorHAnsi" w:eastAsiaTheme="minorHAnsi" w:hAnsiTheme="minorHAnsi" w:cstheme="minorBidi"/>
          <w:color w:val="auto"/>
          <w:sz w:val="24"/>
          <w:szCs w:val="24"/>
        </w:rPr>
        <w:t>help frame but cannot fully capture.</w:t>
      </w:r>
      <w:r w:rsidR="00D37663">
        <w:rPr>
          <w:rFonts w:asciiTheme="minorHAnsi" w:eastAsiaTheme="minorHAnsi" w:hAnsiTheme="minorHAnsi" w:cstheme="minorBidi"/>
          <w:color w:val="auto"/>
          <w:sz w:val="24"/>
          <w:szCs w:val="24"/>
        </w:rPr>
        <w:t xml:space="preserve"> </w:t>
      </w:r>
      <w:r w:rsidRPr="00C03858">
        <w:rPr>
          <w:rFonts w:asciiTheme="minorHAnsi" w:eastAsiaTheme="minorHAnsi" w:hAnsiTheme="minorHAnsi" w:cstheme="minorBidi"/>
          <w:color w:val="auto"/>
          <w:sz w:val="24"/>
          <w:szCs w:val="24"/>
        </w:rPr>
        <w:t xml:space="preserve">They drive down the price of finding the enemy, striking them precisely and sustaining the force. A defender who can see, strike at range and attrit an attacker with systems costing hundreds rather than millions need not match him platform-for-platform. The asymmetry is structural: the attacker must still mass to break through, yet massing is exactly what persistent observation punishes most. For a state </w:t>
      </w:r>
      <w:r w:rsidR="003A11A1">
        <w:rPr>
          <w:rFonts w:asciiTheme="minorHAnsi" w:eastAsiaTheme="minorHAnsi" w:hAnsiTheme="minorHAnsi" w:cstheme="minorBidi"/>
          <w:color w:val="auto"/>
          <w:sz w:val="24"/>
          <w:szCs w:val="24"/>
        </w:rPr>
        <w:t>which</w:t>
      </w:r>
      <w:r w:rsidRPr="00C03858">
        <w:rPr>
          <w:rFonts w:asciiTheme="minorHAnsi" w:eastAsiaTheme="minorHAnsi" w:hAnsiTheme="minorHAnsi" w:cstheme="minorBidi"/>
          <w:color w:val="auto"/>
          <w:sz w:val="24"/>
          <w:szCs w:val="24"/>
        </w:rPr>
        <w:t xml:space="preserve"> cannot buy conventional scale, this is how scarcity stops being </w:t>
      </w:r>
      <w:r w:rsidR="00E15ABA">
        <w:rPr>
          <w:rFonts w:asciiTheme="minorHAnsi" w:eastAsiaTheme="minorHAnsi" w:hAnsiTheme="minorHAnsi" w:cstheme="minorBidi"/>
          <w:color w:val="auto"/>
          <w:sz w:val="24"/>
          <w:szCs w:val="24"/>
        </w:rPr>
        <w:t>decisive.</w:t>
      </w:r>
    </w:p>
    <w:p w14:paraId="2BCA4CB1" w14:textId="446B3ED8" w:rsidR="00656D8B" w:rsidRDefault="00EB4DCB" w:rsidP="006E41D2">
      <w:r>
        <w:fldChar w:fldCharType="begin"/>
      </w:r>
      <w:r>
        <w:instrText xml:space="preserve"> REF _Ref233053446 \h </w:instrText>
      </w:r>
      <w:r>
        <w:fldChar w:fldCharType="separate"/>
      </w:r>
      <w:r>
        <w:t xml:space="preserve">Table </w:t>
      </w:r>
      <w:r>
        <w:rPr>
          <w:noProof/>
        </w:rPr>
        <w:t>1</w:t>
      </w:r>
      <w:r>
        <w:fldChar w:fldCharType="end"/>
      </w:r>
      <w:r w:rsidR="001E7AE7" w:rsidRPr="001E7AE7">
        <w:t xml:space="preserve"> </w:t>
      </w:r>
      <w:r w:rsidR="00656D8B" w:rsidRPr="00656D8B">
        <w:t xml:space="preserve">shows that FPV-OWADs cannot be dismissed as cheap substitutes for Javelin. The operational comparison is the telling one: defeating an armoured company costs roughly €1.13 million in Javelins, compared with under €85,000 in FPV-OWADs – more than an order of magnitude less for the same task, on assumptions generous to Javelin. Ireland's recent Javelin-only procurement buys 44 missiles; the same budget fields thousands of FPV-OWADs. Javelin remains the higher-confidence kill mechanism, and FPV-OWADs may require several strikes to destroy armour, </w:t>
      </w:r>
      <w:r w:rsidR="007A6FF0" w:rsidRPr="007A6FF0">
        <w:t>but they can immobilise it for follow-on fires and reach more than an order of magnitude further.</w:t>
      </w:r>
      <w:r w:rsidR="00656D8B" w:rsidRPr="00656D8B">
        <w:t xml:space="preserve"> The direction is unambiguous: FPV-OWADs do not replace ATGMs, but they change the defensive arithmetic and can no longer be ignored</w:t>
      </w:r>
      <w:r w:rsidR="006E6DF6">
        <w:t>.</w:t>
      </w:r>
      <w:r w:rsidR="00656D8B">
        <w:rPr>
          <w:rStyle w:val="FootnoteReference"/>
        </w:rPr>
        <w:footnoteReference w:id="15"/>
      </w:r>
      <w:r w:rsidR="00C12DA0">
        <w:t xml:space="preserve"> </w:t>
      </w:r>
      <w:r w:rsidR="00C12DA0">
        <w:rPr>
          <w:rStyle w:val="FootnoteReference"/>
        </w:rPr>
        <w:footnoteReference w:id="16"/>
      </w:r>
    </w:p>
    <w:p w14:paraId="2C8ED009" w14:textId="77777777" w:rsidR="002C4F0D" w:rsidRDefault="00EE12B1" w:rsidP="002C4F0D">
      <w:pPr>
        <w:keepNext/>
      </w:pPr>
      <w:r w:rsidRPr="00EE12B1">
        <w:rPr>
          <w:noProof/>
        </w:rPr>
        <w:lastRenderedPageBreak/>
        <w:drawing>
          <wp:inline distT="0" distB="0" distL="0" distR="0" wp14:anchorId="1ED79B76" wp14:editId="6CD40A73">
            <wp:extent cx="5731510" cy="1757045"/>
            <wp:effectExtent l="0" t="0" r="2540" b="0"/>
            <wp:docPr id="177895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95998" name=""/>
                    <pic:cNvPicPr/>
                  </pic:nvPicPr>
                  <pic:blipFill>
                    <a:blip r:embed="rId9"/>
                    <a:stretch>
                      <a:fillRect/>
                    </a:stretch>
                  </pic:blipFill>
                  <pic:spPr>
                    <a:xfrm>
                      <a:off x="0" y="0"/>
                      <a:ext cx="5731510" cy="1757045"/>
                    </a:xfrm>
                    <a:prstGeom prst="rect">
                      <a:avLst/>
                    </a:prstGeom>
                  </pic:spPr>
                </pic:pic>
              </a:graphicData>
            </a:graphic>
          </wp:inline>
        </w:drawing>
      </w:r>
    </w:p>
    <w:p w14:paraId="5C9164F7" w14:textId="74ED2F81" w:rsidR="006E41D2" w:rsidRPr="00E05D57" w:rsidRDefault="002C4F0D" w:rsidP="002C4F0D">
      <w:pPr>
        <w:pStyle w:val="Caption"/>
        <w:jc w:val="center"/>
      </w:pPr>
      <w:bookmarkStart w:id="0" w:name="_Ref233053446"/>
      <w:r>
        <w:t xml:space="preserve">Table </w:t>
      </w:r>
      <w:r>
        <w:fldChar w:fldCharType="begin"/>
      </w:r>
      <w:r>
        <w:instrText xml:space="preserve"> SEQ Table \* ARABIC </w:instrText>
      </w:r>
      <w:r>
        <w:fldChar w:fldCharType="separate"/>
      </w:r>
      <w:r>
        <w:rPr>
          <w:noProof/>
        </w:rPr>
        <w:t>1</w:t>
      </w:r>
      <w:r>
        <w:rPr>
          <w:noProof/>
        </w:rPr>
        <w:fldChar w:fldCharType="end"/>
      </w:r>
      <w:bookmarkEnd w:id="0"/>
      <w:r>
        <w:t xml:space="preserve">. </w:t>
      </w:r>
      <w:r w:rsidRPr="002C4F0D">
        <w:t>Comparative Anti-Armour Cost-Imposition Model</w:t>
      </w:r>
      <w:r w:rsidRPr="00F1368C">
        <w:t>: ATGMs versus FPV-OWADs and Loitering-OWADs</w:t>
      </w:r>
    </w:p>
    <w:p w14:paraId="63EC1BBB" w14:textId="77777777" w:rsidR="008E24F7" w:rsidRDefault="008E24F7" w:rsidP="008E24F7">
      <w:pPr>
        <w:pStyle w:val="Heading2"/>
        <w:rPr>
          <w:rFonts w:asciiTheme="minorHAnsi" w:eastAsiaTheme="minorHAnsi" w:hAnsiTheme="minorHAnsi" w:cstheme="minorBidi"/>
          <w:color w:val="auto"/>
          <w:sz w:val="24"/>
          <w:szCs w:val="24"/>
        </w:rPr>
      </w:pPr>
      <w:r w:rsidRPr="00667CD1">
        <w:rPr>
          <w:rFonts w:asciiTheme="minorHAnsi" w:eastAsiaTheme="minorHAnsi" w:hAnsiTheme="minorHAnsi" w:cstheme="minorBidi"/>
          <w:color w:val="auto"/>
          <w:sz w:val="24"/>
          <w:szCs w:val="24"/>
        </w:rPr>
        <w:t xml:space="preserve">Ireland has long treated serious territorial defence as financially unreachable, because credibility was assumed to require conventional mass. </w:t>
      </w:r>
      <w:proofErr w:type="spellStart"/>
      <w:r w:rsidRPr="00667CD1">
        <w:rPr>
          <w:rFonts w:asciiTheme="minorHAnsi" w:eastAsiaTheme="minorHAnsi" w:hAnsiTheme="minorHAnsi" w:cstheme="minorBidi"/>
          <w:color w:val="auto"/>
          <w:sz w:val="24"/>
          <w:szCs w:val="24"/>
        </w:rPr>
        <w:t>UxS</w:t>
      </w:r>
      <w:proofErr w:type="spellEnd"/>
      <w:r w:rsidRPr="00667CD1">
        <w:rPr>
          <w:rFonts w:asciiTheme="minorHAnsi" w:eastAsiaTheme="minorHAnsi" w:hAnsiTheme="minorHAnsi" w:cstheme="minorBidi"/>
          <w:color w:val="auto"/>
          <w:sz w:val="24"/>
          <w:szCs w:val="24"/>
        </w:rPr>
        <w:t xml:space="preserve"> break that premise: if cheap precision systems can make lodgement, movement and sustainment costly, the constraint shifts from money to organisation. For an island state, any hostile ground force must first arrive by sea or air, concentrating at a predictable point of entry – where exposure is highest and cheap precision strike most punishing.</w:t>
      </w:r>
    </w:p>
    <w:p w14:paraId="73F0C83F" w14:textId="3F12D028" w:rsidR="008E24F7" w:rsidRDefault="008E24F7" w:rsidP="008E24F7">
      <w:pPr>
        <w:pStyle w:val="Heading2"/>
        <w:rPr>
          <w:rFonts w:asciiTheme="minorHAnsi" w:eastAsiaTheme="minorHAnsi" w:hAnsiTheme="minorHAnsi" w:cstheme="minorBidi"/>
          <w:color w:val="auto"/>
          <w:sz w:val="24"/>
          <w:szCs w:val="24"/>
        </w:rPr>
      </w:pPr>
      <w:r w:rsidRPr="000773AE">
        <w:rPr>
          <w:rFonts w:asciiTheme="minorHAnsi" w:eastAsiaTheme="minorHAnsi" w:hAnsiTheme="minorHAnsi" w:cstheme="minorBidi"/>
          <w:color w:val="auto"/>
          <w:sz w:val="24"/>
          <w:szCs w:val="24"/>
        </w:rPr>
        <w:t xml:space="preserve">Deterrence-by-denial here means one thing: making an attacker doubt that victory will be quick or cheap. A defender need not win. </w:t>
      </w:r>
      <w:r>
        <w:rPr>
          <w:rFonts w:asciiTheme="minorHAnsi" w:eastAsiaTheme="minorHAnsi" w:hAnsiTheme="minorHAnsi" w:cstheme="minorBidi"/>
          <w:color w:val="auto"/>
          <w:sz w:val="24"/>
          <w:szCs w:val="24"/>
        </w:rPr>
        <w:t>They</w:t>
      </w:r>
      <w:r w:rsidRPr="000773AE">
        <w:rPr>
          <w:rFonts w:asciiTheme="minorHAnsi" w:eastAsiaTheme="minorHAnsi" w:hAnsiTheme="minorHAnsi" w:cstheme="minorBidi"/>
          <w:color w:val="auto"/>
          <w:sz w:val="24"/>
          <w:szCs w:val="24"/>
        </w:rPr>
        <w:t xml:space="preserve"> need only to impose enough delay, attrition and uncertainty that the operation's price climbs past what the aggressor will pay. It does not stop an attack; it makes the attack expensive, slow and uncertain of success. </w:t>
      </w:r>
    </w:p>
    <w:p w14:paraId="4539E762" w14:textId="19379AA5" w:rsidR="000A62A6" w:rsidRDefault="0030344C" w:rsidP="006B245A">
      <w:pPr>
        <w:rPr>
          <w:rFonts w:asciiTheme="majorHAnsi" w:eastAsiaTheme="majorEastAsia" w:hAnsiTheme="majorHAnsi" w:cstheme="majorBidi"/>
          <w:color w:val="0F4761" w:themeColor="accent1" w:themeShade="BF"/>
          <w:sz w:val="32"/>
          <w:szCs w:val="32"/>
        </w:rPr>
      </w:pPr>
      <w:r w:rsidRPr="0030344C">
        <w:t xml:space="preserve">The pace of change is uncertain and programmes are mid-stream </w:t>
      </w:r>
      <w:r w:rsidR="00034CC3">
        <w:t>—</w:t>
      </w:r>
      <w:r w:rsidRPr="0030344C">
        <w:t xml:space="preserve"> so reopening the section design now looks premature. Each clause is true. Neither is a reason to stand still. The deeper objection is that force design must fit the platform: the carrier defines the section, the section sets the </w:t>
      </w:r>
      <w:r w:rsidR="00D31766">
        <w:t>capability</w:t>
      </w:r>
      <w:r w:rsidRPr="0030344C">
        <w:t xml:space="preserve">. Vehicle capacity is a real constraint </w:t>
      </w:r>
      <w:r w:rsidR="00034CC3">
        <w:t>—</w:t>
      </w:r>
      <w:r w:rsidR="00034CC3" w:rsidRPr="0030344C">
        <w:t xml:space="preserve"> </w:t>
      </w:r>
      <w:r w:rsidRPr="0030344C">
        <w:t xml:space="preserve">it drives lift, sustainment, command and tactical mobility and cannot be dismissed. But it need not come first. The threat defines force </w:t>
      </w:r>
      <w:proofErr w:type="gramStart"/>
      <w:r w:rsidRPr="0030344C">
        <w:t>protection</w:t>
      </w:r>
      <w:proofErr w:type="gramEnd"/>
      <w:r w:rsidRPr="0030344C">
        <w:t xml:space="preserve"> and force protection drives </w:t>
      </w:r>
      <w:r w:rsidR="00841CA6">
        <w:t>capability development</w:t>
      </w:r>
      <w:r w:rsidRPr="0030344C">
        <w:t xml:space="preserve">. Light infantry may not have this problem at all: it needs no armour, moving on foot or in commercial 4x4s already in Defence Forces service. A survivable light section is not an expensive structure waiting on a vehicle programme. It is a cheap one, available now </w:t>
      </w:r>
      <w:r w:rsidR="00034CC3">
        <w:t>—</w:t>
      </w:r>
      <w:r w:rsidR="00034CC3" w:rsidRPr="0030344C">
        <w:t xml:space="preserve"> </w:t>
      </w:r>
      <w:r w:rsidRPr="0030344C">
        <w:t>held back only by a constraint borrowed from a different kind of infantry.</w:t>
      </w:r>
      <w:r w:rsidR="000A62A6">
        <w:br w:type="page"/>
      </w:r>
    </w:p>
    <w:p w14:paraId="4DF60F31" w14:textId="5771D65F" w:rsidR="00CB2FEB" w:rsidRDefault="00CB2FEB" w:rsidP="005E2FA4">
      <w:pPr>
        <w:pStyle w:val="Heading2"/>
      </w:pPr>
      <w:r>
        <w:lastRenderedPageBreak/>
        <w:t>Main Body – OB</w:t>
      </w:r>
    </w:p>
    <w:p w14:paraId="732D867F" w14:textId="0012FD17" w:rsidR="00B93E1B" w:rsidRPr="00B93E1B" w:rsidRDefault="00B93E1B" w:rsidP="00B93E1B">
      <w:r w:rsidRPr="00B93E1B">
        <w:rPr>
          <w:b/>
          <w:bCs/>
        </w:rPr>
        <w:t>Main Body – OB (hooks to consider</w:t>
      </w:r>
      <w:r w:rsidR="00633BB8">
        <w:rPr>
          <w:b/>
          <w:bCs/>
        </w:rPr>
        <w:t xml:space="preserve"> – </w:t>
      </w:r>
      <w:r w:rsidRPr="00B93E1B">
        <w:rPr>
          <w:b/>
          <w:bCs/>
        </w:rPr>
        <w:t>your own ideas welcome; we'll amend the abstract together)</w:t>
      </w:r>
    </w:p>
    <w:p w14:paraId="348D9D2A" w14:textId="4D61B61D" w:rsidR="00B93E1B" w:rsidRPr="00B93E1B" w:rsidRDefault="00B93E1B" w:rsidP="00B93E1B">
      <w:r w:rsidRPr="00B93E1B">
        <w:t xml:space="preserve">Your half answers one question: </w:t>
      </w:r>
      <w:r w:rsidRPr="00B93E1B">
        <w:rPr>
          <w:i/>
          <w:iCs/>
        </w:rPr>
        <w:t>what must the Irish state and Defence Organisation do to turn the tactical mechanism into a real, credible, neutral, sustainable posture?</w:t>
      </w:r>
      <w:r w:rsidRPr="00B93E1B">
        <w:t xml:space="preserve"> Don't re-explain Ukraine, FPV tactics, section structure, ISR/CUAS/IEDD or cost ratios</w:t>
      </w:r>
      <w:r w:rsidR="00633BB8">
        <w:t xml:space="preserve"> – </w:t>
      </w:r>
      <w:r w:rsidRPr="00B93E1B">
        <w:t>those are established in the first half. Inherit the section</w:t>
      </w:r>
      <w:r w:rsidR="00633BB8">
        <w:t xml:space="preserve"> – </w:t>
      </w:r>
      <w:r w:rsidRPr="00B93E1B">
        <w:t>organic FPV, ISR, CUAS, assault-pioneer IEDD</w:t>
      </w:r>
      <w:r w:rsidR="00633BB8">
        <w:t xml:space="preserve"> – </w:t>
      </w:r>
      <w:r w:rsidRPr="00B93E1B">
        <w:t>as the thing your conditions must own, sustain and communicate.</w:t>
      </w:r>
    </w:p>
    <w:p w14:paraId="37D324CE" w14:textId="77777777" w:rsidR="00B93E1B" w:rsidRPr="00B93E1B" w:rsidRDefault="00B93E1B" w:rsidP="00B93E1B">
      <w:r w:rsidRPr="00B93E1B">
        <w:rPr>
          <w:b/>
          <w:bCs/>
        </w:rPr>
        <w:t>1. Politically owned.</w:t>
      </w:r>
      <w:r w:rsidRPr="00B93E1B">
        <w:t xml:space="preserve"> What Ireland lacks: a funded political decision that territorial defence is a real task, not an inherited abstraction.</w:t>
      </w:r>
    </w:p>
    <w:p w14:paraId="3A37D6CA" w14:textId="77777777" w:rsidR="00B93E1B" w:rsidRPr="00B93E1B" w:rsidRDefault="00B93E1B" w:rsidP="00B93E1B">
      <w:pPr>
        <w:numPr>
          <w:ilvl w:val="0"/>
          <w:numId w:val="4"/>
        </w:numPr>
      </w:pPr>
      <w:r w:rsidRPr="00B93E1B">
        <w:t>no national security strategy; Defence Policy Review as partial substitute, not full strategy</w:t>
      </w:r>
    </w:p>
    <w:p w14:paraId="0B37E910" w14:textId="77777777" w:rsidR="00B93E1B" w:rsidRPr="00B93E1B" w:rsidRDefault="00B93E1B" w:rsidP="00B93E1B">
      <w:pPr>
        <w:numPr>
          <w:ilvl w:val="0"/>
          <w:numId w:val="4"/>
        </w:numPr>
      </w:pPr>
      <w:r w:rsidRPr="00B93E1B">
        <w:t>LOA 2 / CODF implementation gap</w:t>
      </w:r>
    </w:p>
    <w:p w14:paraId="7AF4D0F1" w14:textId="77777777" w:rsidR="00B93E1B" w:rsidRPr="00B93E1B" w:rsidRDefault="00B93E1B" w:rsidP="00B93E1B">
      <w:pPr>
        <w:numPr>
          <w:ilvl w:val="0"/>
          <w:numId w:val="4"/>
        </w:numPr>
      </w:pPr>
      <w:r w:rsidRPr="00B93E1B">
        <w:t>the gap between "the DF have a task" and "Government has made a funded choice"</w:t>
      </w:r>
    </w:p>
    <w:p w14:paraId="1D00AE5B" w14:textId="77777777" w:rsidR="00B93E1B" w:rsidRPr="00B93E1B" w:rsidRDefault="00B93E1B" w:rsidP="00B93E1B">
      <w:pPr>
        <w:numPr>
          <w:ilvl w:val="0"/>
          <w:numId w:val="4"/>
        </w:numPr>
      </w:pPr>
      <w:r w:rsidRPr="00B93E1B">
        <w:t xml:space="preserve">why cheap </w:t>
      </w:r>
      <w:proofErr w:type="spellStart"/>
      <w:r w:rsidRPr="00B93E1B">
        <w:t>UxS</w:t>
      </w:r>
      <w:proofErr w:type="spellEnd"/>
      <w:r w:rsidRPr="00B93E1B">
        <w:t xml:space="preserve"> don't remove the need for political prioritisation</w:t>
      </w:r>
    </w:p>
    <w:p w14:paraId="3E2D95D3" w14:textId="77777777" w:rsidR="00B93E1B" w:rsidRPr="00B93E1B" w:rsidRDefault="00B93E1B" w:rsidP="00B93E1B">
      <w:pPr>
        <w:numPr>
          <w:ilvl w:val="0"/>
          <w:numId w:val="4"/>
        </w:numPr>
      </w:pPr>
      <w:r w:rsidRPr="00B93E1B">
        <w:rPr>
          <w:i/>
          <w:iCs/>
        </w:rPr>
        <w:t xml:space="preserve">Line to </w:t>
      </w:r>
      <w:proofErr w:type="gramStart"/>
      <w:r w:rsidRPr="00B93E1B">
        <w:rPr>
          <w:i/>
          <w:iCs/>
        </w:rPr>
        <w:t>prove:</w:t>
      </w:r>
      <w:proofErr w:type="gramEnd"/>
      <w:r w:rsidRPr="00B93E1B">
        <w:rPr>
          <w:i/>
          <w:iCs/>
        </w:rPr>
        <w:t xml:space="preserve"> drone denial is cheap against conventional mass, but still needs ownership because it reallocates doctrine, training, establishments, procurement and public explanation around territorial defence.</w:t>
      </w:r>
    </w:p>
    <w:p w14:paraId="75D9A567" w14:textId="77777777" w:rsidR="00B93E1B" w:rsidRPr="00B93E1B" w:rsidRDefault="00B93E1B" w:rsidP="00B93E1B">
      <w:r w:rsidRPr="00B93E1B">
        <w:rPr>
          <w:b/>
          <w:bCs/>
        </w:rPr>
        <w:t>2. Neutrality.</w:t>
      </w:r>
      <w:r w:rsidRPr="00B93E1B">
        <w:t xml:space="preserve"> Why drone-centric denial is neutrality-compatible: territorial, defensive, non-expeditionary, no alliance dependency, not punishment, no threat beyond Ireland.</w:t>
      </w:r>
    </w:p>
    <w:p w14:paraId="39AB53E2" w14:textId="77777777" w:rsidR="00B93E1B" w:rsidRPr="00B93E1B" w:rsidRDefault="00B93E1B" w:rsidP="00B93E1B">
      <w:pPr>
        <w:numPr>
          <w:ilvl w:val="0"/>
          <w:numId w:val="5"/>
        </w:numPr>
      </w:pPr>
      <w:r w:rsidRPr="00B93E1B">
        <w:t>distinguish it from NATO forward defence, nuclear deterrence, punishment, militarised adventurism</w:t>
      </w:r>
    </w:p>
    <w:p w14:paraId="7CBDDB7E" w14:textId="77777777" w:rsidR="00B93E1B" w:rsidRPr="00B93E1B" w:rsidRDefault="00B93E1B" w:rsidP="00B93E1B">
      <w:pPr>
        <w:numPr>
          <w:ilvl w:val="0"/>
          <w:numId w:val="5"/>
        </w:numPr>
      </w:pPr>
      <w:r w:rsidRPr="00B93E1B">
        <w:t>the affirmative claim: the credible ability to make unauthorised lodgement, movement and sustainment on Irish territory slow, costly and uncertain</w:t>
      </w:r>
    </w:p>
    <w:p w14:paraId="1A9A5B2D" w14:textId="77777777" w:rsidR="00B93E1B" w:rsidRPr="00B93E1B" w:rsidRDefault="00B93E1B" w:rsidP="00B93E1B">
      <w:pPr>
        <w:numPr>
          <w:ilvl w:val="0"/>
          <w:numId w:val="5"/>
        </w:numPr>
      </w:pPr>
      <w:r w:rsidRPr="00B93E1B">
        <w:t xml:space="preserve">where EU/EDA/PfP </w:t>
      </w:r>
      <w:r w:rsidRPr="00B93E1B">
        <w:rPr>
          <w:i/>
          <w:iCs/>
        </w:rPr>
        <w:t>resource</w:t>
      </w:r>
      <w:r w:rsidRPr="00B93E1B">
        <w:t xml:space="preserve"> the posture without compromising neutrality</w:t>
      </w:r>
    </w:p>
    <w:p w14:paraId="2EA87E21" w14:textId="2BB711BD" w:rsidR="00B93E1B" w:rsidRPr="00B93E1B" w:rsidRDefault="00B93E1B" w:rsidP="00B93E1B">
      <w:r w:rsidRPr="00B93E1B">
        <w:rPr>
          <w:b/>
          <w:bCs/>
        </w:rPr>
        <w:t>3. Clearly communicated</w:t>
      </w:r>
      <w:r w:rsidR="00633BB8">
        <w:t xml:space="preserve"> – </w:t>
      </w:r>
      <w:r w:rsidRPr="00B93E1B">
        <w:t xml:space="preserve">keep distinct from neutrality. Neutrality is legibility to </w:t>
      </w:r>
      <w:r w:rsidRPr="00B93E1B">
        <w:rPr>
          <w:i/>
          <w:iCs/>
        </w:rPr>
        <w:t>friendly</w:t>
      </w:r>
      <w:r w:rsidRPr="00B93E1B">
        <w:t xml:space="preserve"> audiences; communication is also signalling to the </w:t>
      </w:r>
      <w:r w:rsidRPr="00B93E1B">
        <w:rPr>
          <w:i/>
          <w:iCs/>
        </w:rPr>
        <w:t>adversary's staff</w:t>
      </w:r>
      <w:r w:rsidRPr="00B93E1B">
        <w:t>. Both needed.</w:t>
      </w:r>
    </w:p>
    <w:p w14:paraId="10FB74FC" w14:textId="77777777" w:rsidR="00B93E1B" w:rsidRPr="00B93E1B" w:rsidRDefault="00B93E1B" w:rsidP="00B93E1B">
      <w:pPr>
        <w:numPr>
          <w:ilvl w:val="0"/>
          <w:numId w:val="6"/>
        </w:numPr>
      </w:pPr>
      <w:r w:rsidRPr="00B93E1B">
        <w:t>policy language, exercises, doctrine, procurement visibility, public explanation, EU engagement</w:t>
      </w:r>
    </w:p>
    <w:p w14:paraId="19C3957B" w14:textId="77777777" w:rsidR="00B93E1B" w:rsidRPr="00B93E1B" w:rsidRDefault="00B93E1B" w:rsidP="00B93E1B">
      <w:pPr>
        <w:numPr>
          <w:ilvl w:val="0"/>
          <w:numId w:val="6"/>
        </w:numPr>
      </w:pPr>
      <w:r w:rsidRPr="00B93E1B">
        <w:t>how Ireland says this without sounding escalatory or ridiculous</w:t>
      </w:r>
    </w:p>
    <w:p w14:paraId="7F4A506B" w14:textId="77777777" w:rsidR="00B93E1B" w:rsidRPr="00B93E1B" w:rsidRDefault="00B93E1B" w:rsidP="00B93E1B">
      <w:r w:rsidRPr="00B93E1B">
        <w:rPr>
          <w:b/>
          <w:bCs/>
        </w:rPr>
        <w:t>4. Institutionally sustained.</w:t>
      </w:r>
      <w:r w:rsidRPr="00B93E1B">
        <w:t xml:space="preserve"> A posture only deters if it survives first contact.</w:t>
      </w:r>
    </w:p>
    <w:p w14:paraId="60FC16AD" w14:textId="77777777" w:rsidR="00B93E1B" w:rsidRPr="00B93E1B" w:rsidRDefault="00B93E1B" w:rsidP="00B93E1B">
      <w:pPr>
        <w:numPr>
          <w:ilvl w:val="0"/>
          <w:numId w:val="7"/>
        </w:numPr>
      </w:pPr>
      <w:r w:rsidRPr="00B93E1B">
        <w:lastRenderedPageBreak/>
        <w:t>stock depth, batteries, spares, repair, replacement; EW adaptation; training pipelines; standing experimentation; procurement agility; sovereign/EU supply-chain resilience; doctrinal ownership in the DF</w:t>
      </w:r>
    </w:p>
    <w:p w14:paraId="41FEC3CA" w14:textId="3E95D8CB" w:rsidR="00B93E1B" w:rsidRPr="00B93E1B" w:rsidRDefault="00B93E1B" w:rsidP="00B93E1B">
      <w:pPr>
        <w:numPr>
          <w:ilvl w:val="0"/>
          <w:numId w:val="7"/>
        </w:numPr>
      </w:pPr>
      <w:r w:rsidRPr="00B93E1B">
        <w:rPr>
          <w:i/>
          <w:iCs/>
        </w:rPr>
        <w:t>branch laydown (infantry / ordnance / CIS / engineers / artillery / cross-branch)</w:t>
      </w:r>
      <w:r w:rsidR="00633BB8">
        <w:rPr>
          <w:i/>
          <w:iCs/>
        </w:rPr>
        <w:t xml:space="preserve"> – </w:t>
      </w:r>
      <w:r w:rsidRPr="00B93E1B">
        <w:rPr>
          <w:i/>
          <w:iCs/>
        </w:rPr>
        <w:t>inherit the echelon findings already in the first half; don't relitigate them</w:t>
      </w:r>
    </w:p>
    <w:p w14:paraId="65A9E729" w14:textId="77777777" w:rsidR="00B93E1B" w:rsidRPr="00B93E1B" w:rsidRDefault="00B93E1B" w:rsidP="00B93E1B">
      <w:pPr>
        <w:numPr>
          <w:ilvl w:val="0"/>
          <w:numId w:val="7"/>
        </w:numPr>
      </w:pPr>
      <w:r w:rsidRPr="00B93E1B">
        <w:rPr>
          <w:i/>
          <w:iCs/>
        </w:rPr>
        <w:t xml:space="preserve">Line to </w:t>
      </w:r>
      <w:proofErr w:type="gramStart"/>
      <w:r w:rsidRPr="00B93E1B">
        <w:rPr>
          <w:i/>
          <w:iCs/>
        </w:rPr>
        <w:t>prove:</w:t>
      </w:r>
      <w:proofErr w:type="gramEnd"/>
      <w:r w:rsidRPr="00B93E1B">
        <w:rPr>
          <w:i/>
          <w:iCs/>
        </w:rPr>
        <w:t xml:space="preserve"> cheap systems create the opportunity; institutions create the deterrent.</w:t>
      </w:r>
    </w:p>
    <w:p w14:paraId="2C27D120" w14:textId="77777777" w:rsidR="00B93E1B" w:rsidRPr="00B93E1B" w:rsidRDefault="00B93E1B" w:rsidP="00B93E1B"/>
    <w:p w14:paraId="47F6FE2B" w14:textId="4BB44DD0" w:rsidR="008906B6" w:rsidRDefault="005E2FA4" w:rsidP="00734406">
      <w:pPr>
        <w:pStyle w:val="Heading2"/>
      </w:pPr>
      <w:r>
        <w:t>Conclusion</w:t>
      </w:r>
    </w:p>
    <w:p w14:paraId="0F6241C4" w14:textId="37D30887" w:rsidR="005E2FA4" w:rsidRPr="005E2FA4" w:rsidRDefault="00E80E03" w:rsidP="005E2FA4">
      <w:r>
        <w:t>[]</w:t>
      </w:r>
    </w:p>
    <w:sectPr w:rsidR="005E2FA4" w:rsidRPr="005E2FA4">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881687" w14:textId="77777777" w:rsidR="00F432A5" w:rsidRDefault="00F432A5" w:rsidP="008F41DA">
      <w:pPr>
        <w:spacing w:after="0" w:line="240" w:lineRule="auto"/>
      </w:pPr>
      <w:r>
        <w:separator/>
      </w:r>
    </w:p>
  </w:endnote>
  <w:endnote w:type="continuationSeparator" w:id="0">
    <w:p w14:paraId="42CF3EF2" w14:textId="77777777" w:rsidR="00F432A5" w:rsidRDefault="00F432A5" w:rsidP="008F41D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68C413" w14:textId="77777777" w:rsidR="00F432A5" w:rsidRDefault="00F432A5" w:rsidP="008F41DA">
      <w:pPr>
        <w:spacing w:after="0" w:line="240" w:lineRule="auto"/>
      </w:pPr>
      <w:r>
        <w:separator/>
      </w:r>
    </w:p>
  </w:footnote>
  <w:footnote w:type="continuationSeparator" w:id="0">
    <w:p w14:paraId="5970900C" w14:textId="77777777" w:rsidR="00F432A5" w:rsidRDefault="00F432A5" w:rsidP="008F41DA">
      <w:pPr>
        <w:spacing w:after="0" w:line="240" w:lineRule="auto"/>
      </w:pPr>
      <w:r>
        <w:continuationSeparator/>
      </w:r>
    </w:p>
  </w:footnote>
  <w:footnote w:id="1">
    <w:p w14:paraId="64F433AF" w14:textId="77777777" w:rsidR="00947EB5" w:rsidRDefault="00947EB5" w:rsidP="00947EB5">
      <w:pPr>
        <w:pStyle w:val="FootnoteText"/>
      </w:pPr>
      <w:r>
        <w:rPr>
          <w:rStyle w:val="FootnoteReference"/>
        </w:rPr>
        <w:footnoteRef/>
      </w:r>
      <w:r>
        <w:t xml:space="preserve"> </w:t>
      </w:r>
      <w:r w:rsidRPr="008F41DA">
        <w:t>Government of Ireland. Defence Policy Review 2024: Adjusting and Affirming Our Defence Policy in an Era of Change. Dublin: Department of Defence, 2024. Available at: https://assets.gov.ie/static/documents/defence-policy-review-2024.pdf (accessed 20 June 2026).</w:t>
      </w:r>
    </w:p>
  </w:footnote>
  <w:footnote w:id="2">
    <w:p w14:paraId="076FBBAF" w14:textId="77777777" w:rsidR="00947EB5" w:rsidRDefault="00947EB5" w:rsidP="00947EB5">
      <w:pPr>
        <w:pStyle w:val="FootnoteText"/>
      </w:pPr>
      <w:r>
        <w:rPr>
          <w:rStyle w:val="FootnoteReference"/>
        </w:rPr>
        <w:footnoteRef/>
      </w:r>
      <w:r>
        <w:t xml:space="preserve"> </w:t>
      </w:r>
      <w:r w:rsidRPr="008032E8">
        <w:t xml:space="preserve">Government of Ireland. </w:t>
      </w:r>
      <w:r w:rsidRPr="008032E8">
        <w:rPr>
          <w:i/>
          <w:iCs/>
        </w:rPr>
        <w:t>White Paper on Defence</w:t>
      </w:r>
      <w:r w:rsidRPr="008032E8">
        <w:t xml:space="preserve">. Dublin: Department of Defence, 2015. Available at: </w:t>
      </w:r>
      <w:r w:rsidRPr="007114F8">
        <w:t>https://assets.gov.ie/static/documents/white-paper-on-defence-august-2015.pdf</w:t>
      </w:r>
      <w:r w:rsidRPr="008032E8">
        <w:t xml:space="preserve"> (accessed 20 June 2026).</w:t>
      </w:r>
    </w:p>
  </w:footnote>
  <w:footnote w:id="3">
    <w:p w14:paraId="647FECC2" w14:textId="77777777" w:rsidR="00947EB5" w:rsidRDefault="00947EB5" w:rsidP="00947EB5">
      <w:pPr>
        <w:pStyle w:val="FootnoteText"/>
      </w:pPr>
      <w:r>
        <w:rPr>
          <w:rStyle w:val="FootnoteReference"/>
        </w:rPr>
        <w:footnoteRef/>
      </w:r>
      <w:r>
        <w:t xml:space="preserve"> United States Congress (2025). Congressional record: Proceedings and debates of the 119th Congress, first session. US Government Publishing Office. [online]. Available at: https://www.congress.gov/119/crec/2025/03/04/171/41/CREC-2025-03-04.pdf (accessed 1 April 2026).</w:t>
      </w:r>
    </w:p>
  </w:footnote>
  <w:footnote w:id="4">
    <w:p w14:paraId="1AAAB38F" w14:textId="77777777" w:rsidR="00947EB5" w:rsidRDefault="00947EB5" w:rsidP="00947EB5">
      <w:pPr>
        <w:pStyle w:val="FootnoteText"/>
      </w:pPr>
      <w:r>
        <w:rPr>
          <w:rStyle w:val="FootnoteReference"/>
        </w:rPr>
        <w:footnoteRef/>
      </w:r>
      <w:r>
        <w:t xml:space="preserve"> </w:t>
      </w:r>
      <w:proofErr w:type="spellStart"/>
      <w:r>
        <w:t>Statsministeriet</w:t>
      </w:r>
      <w:proofErr w:type="spellEnd"/>
      <w:r>
        <w:t xml:space="preserve"> (2026). </w:t>
      </w:r>
      <w:proofErr w:type="spellStart"/>
      <w:r>
        <w:t>Fællesudtalelse</w:t>
      </w:r>
      <w:proofErr w:type="spellEnd"/>
      <w:r>
        <w:t xml:space="preserve"> om </w:t>
      </w:r>
      <w:proofErr w:type="spellStart"/>
      <w:r>
        <w:t>Grønland</w:t>
      </w:r>
      <w:proofErr w:type="spellEnd"/>
      <w:r>
        <w:t xml:space="preserve"> [online]. Available at: https://s</w:t>
      </w:r>
    </w:p>
    <w:p w14:paraId="21B729B3" w14:textId="77777777" w:rsidR="00947EB5" w:rsidRDefault="00947EB5" w:rsidP="00947EB5">
      <w:pPr>
        <w:pStyle w:val="FootnoteText"/>
      </w:pPr>
      <w:r>
        <w:t>tm.dk/media/qo2dyzxy/erklaering-gl.pdf (accessed 1 April 2026).</w:t>
      </w:r>
    </w:p>
  </w:footnote>
  <w:footnote w:id="5">
    <w:p w14:paraId="2B9B0FD5" w14:textId="77777777" w:rsidR="00947EB5" w:rsidRDefault="00947EB5" w:rsidP="00947EB5">
      <w:pPr>
        <w:pStyle w:val="FootnoteText"/>
      </w:pPr>
      <w:r>
        <w:rPr>
          <w:rStyle w:val="FootnoteReference"/>
        </w:rPr>
        <w:footnoteRef/>
      </w:r>
      <w:r>
        <w:t xml:space="preserve"> </w:t>
      </w:r>
      <w:r w:rsidRPr="00370942">
        <w:t xml:space="preserve">European Defence Agency. </w:t>
      </w:r>
      <w:r w:rsidRPr="00370942">
        <w:rPr>
          <w:i/>
          <w:iCs/>
        </w:rPr>
        <w:t>The 2023 EU Capability Development Priorities: To Be Ready</w:t>
      </w:r>
      <w:r w:rsidRPr="00370942">
        <w:t xml:space="preserve">. Brussels: European Defence Agency, 2023. Available at: </w:t>
      </w:r>
      <w:hyperlink r:id="rId1" w:history="1">
        <w:r w:rsidRPr="00370942">
          <w:rPr>
            <w:rStyle w:val="Hyperlink"/>
          </w:rPr>
          <w:t>https://eda.europa.eu/docs/default-source/eda-publications/2023-eu-capability-development-priorities.pdf</w:t>
        </w:r>
      </w:hyperlink>
      <w:r w:rsidRPr="00370942">
        <w:t xml:space="preserve"> (accessed 22 June 2026).</w:t>
      </w:r>
    </w:p>
  </w:footnote>
  <w:footnote w:id="6">
    <w:p w14:paraId="76BB379E" w14:textId="77777777" w:rsidR="00947EB5" w:rsidRDefault="00947EB5" w:rsidP="00947EB5">
      <w:pPr>
        <w:pStyle w:val="FootnoteText"/>
      </w:pPr>
      <w:r>
        <w:rPr>
          <w:rStyle w:val="FootnoteReference"/>
        </w:rPr>
        <w:footnoteRef/>
      </w:r>
      <w:r>
        <w:t xml:space="preserve"> </w:t>
      </w:r>
      <w:r w:rsidRPr="0045714A">
        <w:t xml:space="preserve">NATO Allied Command Transformation. </w:t>
      </w:r>
      <w:r w:rsidRPr="0045714A">
        <w:rPr>
          <w:i/>
          <w:iCs/>
        </w:rPr>
        <w:t>NATO CD&amp;E Handbook: A Concept Developer's Toolbox</w:t>
      </w:r>
      <w:r w:rsidRPr="0045714A">
        <w:t xml:space="preserve">. Norfolk, VA: Allied Command Transformation, 2023. Available at: </w:t>
      </w:r>
      <w:hyperlink r:id="rId2" w:history="1">
        <w:r w:rsidRPr="0045714A">
          <w:rPr>
            <w:rStyle w:val="Hyperlink"/>
          </w:rPr>
          <w:t>https://www.act.nato.int/wp-content/uploads/2023/05/NATO-ACT-CDE-Handbook_A_Concept_Developers_Toolbox.pdf</w:t>
        </w:r>
      </w:hyperlink>
      <w:r w:rsidRPr="0045714A">
        <w:t xml:space="preserve"> (accessed 22 June 2026).</w:t>
      </w:r>
    </w:p>
  </w:footnote>
  <w:footnote w:id="7">
    <w:p w14:paraId="07518F0E" w14:textId="77777777" w:rsidR="00947EB5" w:rsidRDefault="00947EB5" w:rsidP="00947EB5">
      <w:pPr>
        <w:pStyle w:val="FootnoteText"/>
      </w:pPr>
      <w:r>
        <w:rPr>
          <w:rStyle w:val="FootnoteReference"/>
        </w:rPr>
        <w:footnoteRef/>
      </w:r>
      <w:r>
        <w:t xml:space="preserve"> TM 201</w:t>
      </w:r>
    </w:p>
  </w:footnote>
  <w:footnote w:id="8">
    <w:p w14:paraId="5EE9B9DE" w14:textId="77777777" w:rsidR="00947EB5" w:rsidRDefault="00947EB5" w:rsidP="00947EB5">
      <w:pPr>
        <w:pStyle w:val="FootnoteText"/>
      </w:pPr>
      <w:r>
        <w:rPr>
          <w:rStyle w:val="FootnoteReference"/>
        </w:rPr>
        <w:footnoteRef/>
      </w:r>
      <w:r>
        <w:t xml:space="preserve"> </w:t>
      </w:r>
      <w:r w:rsidRPr="003E5AA4">
        <w:t xml:space="preserve">O'Connor, N. </w:t>
      </w:r>
      <w:r w:rsidRPr="003E5AA4">
        <w:rPr>
          <w:i/>
          <w:iCs/>
        </w:rPr>
        <w:t>Ireland Could Be About to Sign €600m Armoured Vehicles Deal, French Arms Firm Says</w:t>
      </w:r>
      <w:r w:rsidRPr="003E5AA4">
        <w:t xml:space="preserve">. </w:t>
      </w:r>
      <w:r w:rsidRPr="003E5AA4">
        <w:rPr>
          <w:i/>
          <w:iCs/>
        </w:rPr>
        <w:t>The Journal</w:t>
      </w:r>
      <w:r w:rsidRPr="003E5AA4">
        <w:t xml:space="preserve">, 2025. Available at: </w:t>
      </w:r>
      <w:hyperlink r:id="rId3" w:tgtFrame="_new" w:history="1">
        <w:r w:rsidRPr="003E5AA4">
          <w:rPr>
            <w:rStyle w:val="Hyperlink"/>
          </w:rPr>
          <w:t>https://www.thejournal.ie/new-apc-vehicles-maybe-coming-from-france-6623112-Feb2025/</w:t>
        </w:r>
      </w:hyperlink>
      <w:r w:rsidRPr="003E5AA4">
        <w:t xml:space="preserve"> (accessed 24 February 2026).</w:t>
      </w:r>
    </w:p>
  </w:footnote>
  <w:footnote w:id="9">
    <w:p w14:paraId="6D51D53E" w14:textId="768F5825" w:rsidR="00947EB5" w:rsidRDefault="00947EB5" w:rsidP="00947EB5">
      <w:pPr>
        <w:pStyle w:val="FootnoteText"/>
      </w:pPr>
      <w:r>
        <w:rPr>
          <w:rStyle w:val="FootnoteReference"/>
        </w:rPr>
        <w:footnoteRef/>
      </w:r>
      <w:r>
        <w:t xml:space="preserve"> </w:t>
      </w:r>
      <w:r w:rsidRPr="002F0568">
        <w:t xml:space="preserve">Lopez, C. </w:t>
      </w:r>
      <w:r w:rsidRPr="002F0568">
        <w:rPr>
          <w:i/>
          <w:iCs/>
        </w:rPr>
        <w:t>The Ultra-Light Tactical Vehicle: How Working with Industry and the FMF Can Result in a Swiss Army Knife for Future Lethality</w:t>
      </w:r>
      <w:r w:rsidRPr="002F0568">
        <w:t xml:space="preserve">. </w:t>
      </w:r>
      <w:r w:rsidRPr="002F0568">
        <w:rPr>
          <w:i/>
          <w:iCs/>
        </w:rPr>
        <w:t>Marine Corps Gazette</w:t>
      </w:r>
      <w:r w:rsidRPr="002F0568">
        <w:t xml:space="preserve">, August 2021. Available at: </w:t>
      </w:r>
      <w:hyperlink r:id="rId4" w:history="1">
        <w:r w:rsidRPr="002F0568">
          <w:rPr>
            <w:rStyle w:val="Hyperlink"/>
          </w:rPr>
          <w:t>https://www.mca-marines.org/wp-content/uploads/23-The-Ultra-Light.pdf</w:t>
        </w:r>
      </w:hyperlink>
      <w:r w:rsidRPr="002F0568">
        <w:t xml:space="preserve"> (accessed 21 June 2026).</w:t>
      </w:r>
    </w:p>
  </w:footnote>
  <w:footnote w:id="10">
    <w:p w14:paraId="34C04455" w14:textId="58DA3670" w:rsidR="008E0498" w:rsidRDefault="008E0498">
      <w:pPr>
        <w:pStyle w:val="FootnoteText"/>
      </w:pPr>
      <w:r>
        <w:rPr>
          <w:rStyle w:val="FootnoteReference"/>
        </w:rPr>
        <w:footnoteRef/>
      </w:r>
      <w:r>
        <w:t xml:space="preserve"> </w:t>
      </w:r>
      <w:r w:rsidRPr="008E0498">
        <w:t xml:space="preserve">Joret, G. “What Specialization of the Infantry in </w:t>
      </w:r>
      <w:proofErr w:type="spellStart"/>
      <w:r w:rsidRPr="008E0498">
        <w:t>Armored</w:t>
      </w:r>
      <w:proofErr w:type="spellEnd"/>
      <w:r w:rsidRPr="008E0498">
        <w:t xml:space="preserve"> Combat Operations?”, </w:t>
      </w:r>
      <w:proofErr w:type="spellStart"/>
      <w:r w:rsidRPr="008E0498">
        <w:t>Fantassins</w:t>
      </w:r>
      <w:proofErr w:type="spellEnd"/>
      <w:r w:rsidRPr="008E0498">
        <w:t xml:space="preserve">, no. 52, Spring–Summer 2024, pp. 125–130, pp. 129–130; Bouffard, J. “The Infantry Regiment Model 2030”, </w:t>
      </w:r>
      <w:proofErr w:type="spellStart"/>
      <w:r w:rsidRPr="008E0498">
        <w:t>Fantassins</w:t>
      </w:r>
      <w:proofErr w:type="spellEnd"/>
      <w:r w:rsidRPr="008E0498">
        <w:t>, no. 52, Spring–Summer 2024, pp. 15–20, p. 18.</w:t>
      </w:r>
    </w:p>
  </w:footnote>
  <w:footnote w:id="11">
    <w:p w14:paraId="5A5B0CDD" w14:textId="38F95567" w:rsidR="00B47134" w:rsidRDefault="00B47134">
      <w:pPr>
        <w:pStyle w:val="FootnoteText"/>
      </w:pPr>
      <w:r>
        <w:rPr>
          <w:rStyle w:val="FootnoteReference"/>
        </w:rPr>
        <w:footnoteRef/>
      </w:r>
      <w:r>
        <w:t xml:space="preserve"> </w:t>
      </w:r>
      <w:r w:rsidRPr="00B47134">
        <w:t xml:space="preserve">UK Ministry of Defence and Defence Science and Technology Laboratory. </w:t>
      </w:r>
      <w:r w:rsidRPr="00B47134">
        <w:rPr>
          <w:i/>
          <w:iCs/>
        </w:rPr>
        <w:t>British Army Experiments with Dstl Study on Urban Combat</w:t>
      </w:r>
      <w:r w:rsidRPr="00B47134">
        <w:t xml:space="preserve">. GOV.UK News Story, 30 March 2023. Available at: </w:t>
      </w:r>
      <w:hyperlink r:id="rId5" w:history="1">
        <w:r w:rsidRPr="00B47134">
          <w:rPr>
            <w:rStyle w:val="Hyperlink"/>
          </w:rPr>
          <w:t>https://www.gov.uk/government/news/british-army-experiments-with-dstl-study-on-urban-combat</w:t>
        </w:r>
      </w:hyperlink>
      <w:r w:rsidRPr="00B47134">
        <w:t xml:space="preserve"> (accessed 22 June 2026)</w:t>
      </w:r>
      <w:r w:rsidR="008E0498">
        <w:t xml:space="preserve">; </w:t>
      </w:r>
      <w:r w:rsidR="008E0498" w:rsidRPr="00B47134">
        <w:t xml:space="preserve">Spencer, J. </w:t>
      </w:r>
      <w:r w:rsidR="008E0498" w:rsidRPr="00B47134">
        <w:rPr>
          <w:i/>
          <w:iCs/>
        </w:rPr>
        <w:t>Creating a Unit Optimized for Urban Warfare</w:t>
      </w:r>
      <w:r w:rsidR="008E0498" w:rsidRPr="00B47134">
        <w:t xml:space="preserve">. </w:t>
      </w:r>
      <w:r w:rsidR="008E0498" w:rsidRPr="00B47134">
        <w:rPr>
          <w:i/>
          <w:iCs/>
        </w:rPr>
        <w:t>Modern War Institute at West Point</w:t>
      </w:r>
      <w:r w:rsidR="008E0498" w:rsidRPr="00B47134">
        <w:t xml:space="preserve">, 18 August 2023. Available at: </w:t>
      </w:r>
      <w:hyperlink r:id="rId6" w:history="1">
        <w:r w:rsidR="008E0498" w:rsidRPr="00B47134">
          <w:rPr>
            <w:rStyle w:val="Hyperlink"/>
          </w:rPr>
          <w:t>https://mwi.westpoint.edu/creating-a-unit-optimized-for-urban-warfare/</w:t>
        </w:r>
      </w:hyperlink>
      <w:r w:rsidR="008E0498" w:rsidRPr="00B47134">
        <w:t xml:space="preserve"> (accessed 22 June 2026).</w:t>
      </w:r>
    </w:p>
  </w:footnote>
  <w:footnote w:id="12">
    <w:p w14:paraId="1FA9E5CC" w14:textId="0DF40F54" w:rsidR="00F92358" w:rsidRDefault="00F92358">
      <w:pPr>
        <w:pStyle w:val="FootnoteText"/>
      </w:pPr>
      <w:r>
        <w:rPr>
          <w:rStyle w:val="FootnoteReference"/>
        </w:rPr>
        <w:footnoteRef/>
      </w:r>
      <w:r>
        <w:t xml:space="preserve"> </w:t>
      </w:r>
      <w:r w:rsidRPr="002405F1">
        <w:t xml:space="preserve">Ministère des </w:t>
      </w:r>
      <w:proofErr w:type="spellStart"/>
      <w:r w:rsidRPr="002405F1">
        <w:t>Armées</w:t>
      </w:r>
      <w:proofErr w:type="spellEnd"/>
      <w:r w:rsidRPr="002405F1">
        <w:t xml:space="preserve">. </w:t>
      </w:r>
      <w:proofErr w:type="spellStart"/>
      <w:r w:rsidRPr="002405F1">
        <w:rPr>
          <w:i/>
          <w:iCs/>
        </w:rPr>
        <w:t>Gévaudan</w:t>
      </w:r>
      <w:proofErr w:type="spellEnd"/>
      <w:r w:rsidRPr="002405F1">
        <w:rPr>
          <w:i/>
          <w:iCs/>
        </w:rPr>
        <w:t xml:space="preserve"> </w:t>
      </w:r>
      <w:proofErr w:type="gramStart"/>
      <w:r w:rsidRPr="002405F1">
        <w:rPr>
          <w:i/>
          <w:iCs/>
        </w:rPr>
        <w:t>26 :</w:t>
      </w:r>
      <w:proofErr w:type="gramEnd"/>
      <w:r w:rsidRPr="002405F1">
        <w:rPr>
          <w:i/>
          <w:iCs/>
        </w:rPr>
        <w:t xml:space="preserve"> Les </w:t>
      </w:r>
      <w:proofErr w:type="spellStart"/>
      <w:r w:rsidRPr="002405F1">
        <w:rPr>
          <w:i/>
          <w:iCs/>
        </w:rPr>
        <w:t>Légionnaires</w:t>
      </w:r>
      <w:proofErr w:type="spellEnd"/>
      <w:r w:rsidRPr="002405F1">
        <w:rPr>
          <w:i/>
          <w:iCs/>
        </w:rPr>
        <w:t xml:space="preserve"> au Combat</w:t>
      </w:r>
      <w:r w:rsidRPr="002405F1">
        <w:t xml:space="preserve">. 25 February 2026. Available at: </w:t>
      </w:r>
      <w:hyperlink r:id="rId7" w:tgtFrame="_new" w:history="1">
        <w:r w:rsidRPr="002405F1">
          <w:rPr>
            <w:rStyle w:val="Hyperlink"/>
          </w:rPr>
          <w:t>https://www.defense.gouv.fr/terre/actualites/gevaudan-26-legionnaires-au-combat</w:t>
        </w:r>
      </w:hyperlink>
      <w:r w:rsidRPr="002405F1">
        <w:t xml:space="preserve"> (accessed 1 April 2026)</w:t>
      </w:r>
      <w:r>
        <w:t xml:space="preserve">; </w:t>
      </w:r>
      <w:r w:rsidRPr="002405F1">
        <w:t xml:space="preserve">TF1 INFO. </w:t>
      </w:r>
      <w:r w:rsidRPr="002405F1">
        <w:rPr>
          <w:i/>
          <w:iCs/>
        </w:rPr>
        <w:t xml:space="preserve">Légion </w:t>
      </w:r>
      <w:proofErr w:type="spellStart"/>
      <w:proofErr w:type="gramStart"/>
      <w:r w:rsidRPr="002405F1">
        <w:rPr>
          <w:i/>
          <w:iCs/>
        </w:rPr>
        <w:t>étrangère</w:t>
      </w:r>
      <w:proofErr w:type="spellEnd"/>
      <w:r w:rsidRPr="002405F1">
        <w:rPr>
          <w:i/>
          <w:iCs/>
        </w:rPr>
        <w:t xml:space="preserve"> :</w:t>
      </w:r>
      <w:proofErr w:type="gramEnd"/>
      <w:r w:rsidRPr="002405F1">
        <w:rPr>
          <w:i/>
          <w:iCs/>
        </w:rPr>
        <w:t xml:space="preserve"> Au Coeur d'un </w:t>
      </w:r>
      <w:proofErr w:type="spellStart"/>
      <w:r w:rsidRPr="002405F1">
        <w:rPr>
          <w:i/>
          <w:iCs/>
        </w:rPr>
        <w:t>Entraînement</w:t>
      </w:r>
      <w:proofErr w:type="spellEnd"/>
      <w:r w:rsidRPr="002405F1">
        <w:rPr>
          <w:i/>
          <w:iCs/>
        </w:rPr>
        <w:t xml:space="preserve"> Plus Vrai </w:t>
      </w:r>
      <w:proofErr w:type="spellStart"/>
      <w:r w:rsidRPr="002405F1">
        <w:rPr>
          <w:i/>
          <w:iCs/>
        </w:rPr>
        <w:t>que</w:t>
      </w:r>
      <w:proofErr w:type="spellEnd"/>
      <w:r w:rsidRPr="002405F1">
        <w:rPr>
          <w:i/>
          <w:iCs/>
        </w:rPr>
        <w:t xml:space="preserve"> Nature</w:t>
      </w:r>
      <w:r w:rsidRPr="002405F1">
        <w:t xml:space="preserve">. YouTube video, 21 February 2026. Available at: </w:t>
      </w:r>
      <w:hyperlink r:id="rId8" w:tgtFrame="_new" w:history="1">
        <w:r w:rsidRPr="002405F1">
          <w:rPr>
            <w:rStyle w:val="Hyperlink"/>
          </w:rPr>
          <w:t>https://www.youtube.com/watch?v=fkE1H-jy3NE</w:t>
        </w:r>
      </w:hyperlink>
      <w:r w:rsidRPr="002405F1">
        <w:t xml:space="preserve"> (accessed 1 April 2026)</w:t>
      </w:r>
      <w:r>
        <w:t xml:space="preserve">; </w:t>
      </w:r>
      <w:r w:rsidRPr="002405F1">
        <w:t xml:space="preserve">Melchior, J. K. </w:t>
      </w:r>
      <w:r w:rsidRPr="002405F1">
        <w:rPr>
          <w:i/>
          <w:iCs/>
        </w:rPr>
        <w:t>NATO Has Seen the Future and Is Unprepared</w:t>
      </w:r>
      <w:r w:rsidRPr="002405F1">
        <w:t xml:space="preserve">. </w:t>
      </w:r>
      <w:r w:rsidRPr="002405F1">
        <w:rPr>
          <w:i/>
          <w:iCs/>
        </w:rPr>
        <w:t>Wall Street Journal</w:t>
      </w:r>
      <w:r w:rsidRPr="002405F1">
        <w:t xml:space="preserve">, 2020. Available at: </w:t>
      </w:r>
      <w:hyperlink r:id="rId9" w:tgtFrame="_new" w:history="1">
        <w:r w:rsidRPr="002405F1">
          <w:rPr>
            <w:rStyle w:val="Hyperlink"/>
          </w:rPr>
          <w:t>https://www.wsj.com/opinion/nato-has-seen-the-future-and-is-unprepared-887eaf0f</w:t>
        </w:r>
      </w:hyperlink>
      <w:r w:rsidRPr="002405F1">
        <w:t xml:space="preserve"> (accessed 13 February 2026).</w:t>
      </w:r>
    </w:p>
  </w:footnote>
  <w:footnote w:id="13">
    <w:p w14:paraId="0E3C5ECA" w14:textId="77777777" w:rsidR="00766DD3" w:rsidRDefault="00766DD3" w:rsidP="00766DD3">
      <w:pPr>
        <w:pStyle w:val="FootnoteText"/>
      </w:pPr>
      <w:r>
        <w:rPr>
          <w:rStyle w:val="FootnoteReference"/>
        </w:rPr>
        <w:footnoteRef/>
      </w:r>
      <w:r>
        <w:t xml:space="preserve"> </w:t>
      </w:r>
      <w:r w:rsidRPr="009F3487">
        <w:t xml:space="preserve">Lanchester, F. W. </w:t>
      </w:r>
      <w:r w:rsidRPr="009F3487">
        <w:rPr>
          <w:i/>
          <w:iCs/>
        </w:rPr>
        <w:t>Aircraft in Warfare: The Dawn of the Fourth Arm</w:t>
      </w:r>
      <w:r w:rsidRPr="009F3487">
        <w:t>. London: Constable and Company Limited, 1916.</w:t>
      </w:r>
    </w:p>
  </w:footnote>
  <w:footnote w:id="14">
    <w:p w14:paraId="3D0D22D5" w14:textId="77777777" w:rsidR="00766DD3" w:rsidRDefault="00766DD3" w:rsidP="00766DD3">
      <w:pPr>
        <w:pStyle w:val="FootnoteText"/>
      </w:pPr>
      <w:r>
        <w:rPr>
          <w:rStyle w:val="FootnoteReference"/>
        </w:rPr>
        <w:footnoteRef/>
      </w:r>
      <w:r>
        <w:t xml:space="preserve"> </w:t>
      </w:r>
      <w:r w:rsidRPr="009F3487">
        <w:t xml:space="preserve">Mearsheimer, J. J. </w:t>
      </w:r>
      <w:r w:rsidRPr="009F3487">
        <w:rPr>
          <w:i/>
          <w:iCs/>
        </w:rPr>
        <w:t>Assessing the Conventional Balance: The 3:1 Rule and Its Critics</w:t>
      </w:r>
      <w:r w:rsidRPr="009F3487">
        <w:t xml:space="preserve">. </w:t>
      </w:r>
      <w:r w:rsidRPr="009F3487">
        <w:rPr>
          <w:i/>
          <w:iCs/>
        </w:rPr>
        <w:t>International Security</w:t>
      </w:r>
      <w:r w:rsidRPr="009F3487">
        <w:t xml:space="preserve">, 13(4), 1989, pp. 54–89. Available at: </w:t>
      </w:r>
      <w:hyperlink r:id="rId10" w:tgtFrame="_new" w:history="1">
        <w:r w:rsidRPr="009F3487">
          <w:rPr>
            <w:rStyle w:val="Hyperlink"/>
          </w:rPr>
          <w:t>https://www.jstor.org/stable/2538780</w:t>
        </w:r>
      </w:hyperlink>
      <w:r w:rsidRPr="009F3487">
        <w:t xml:space="preserve"> (accessed 29 March 2025).</w:t>
      </w:r>
    </w:p>
  </w:footnote>
  <w:footnote w:id="15">
    <w:p w14:paraId="570252A1" w14:textId="77777777" w:rsidR="00656D8B" w:rsidRDefault="00656D8B" w:rsidP="00656D8B">
      <w:pPr>
        <w:pStyle w:val="FootnoteText"/>
      </w:pPr>
      <w:r>
        <w:rPr>
          <w:rStyle w:val="FootnoteReference"/>
        </w:rPr>
        <w:footnoteRef/>
      </w:r>
      <w:r>
        <w:t xml:space="preserve"> </w:t>
      </w:r>
      <w:r w:rsidRPr="00327715">
        <w:t xml:space="preserve">Beatty, A. </w:t>
      </w:r>
      <w:r w:rsidRPr="00327715">
        <w:rPr>
          <w:i/>
          <w:iCs/>
        </w:rPr>
        <w:t>Movement as Exposure: Uncrewed Systems and the Transformation of Light Infantry Tactics: From Tactical Adaptation to Force Design and Deterrence-by-Denial in a Small State Context</w:t>
      </w:r>
      <w:r w:rsidRPr="00327715">
        <w:t>. MA thesis, Maynooth University, 2026. Available from the Defence Forces Library.</w:t>
      </w:r>
    </w:p>
  </w:footnote>
  <w:footnote w:id="16">
    <w:p w14:paraId="1C79910A" w14:textId="733ECE66" w:rsidR="00C12DA0" w:rsidRDefault="00C12DA0">
      <w:pPr>
        <w:pStyle w:val="FootnoteText"/>
      </w:pPr>
      <w:r>
        <w:rPr>
          <w:rStyle w:val="FootnoteReference"/>
        </w:rPr>
        <w:footnoteRef/>
      </w:r>
      <w:r>
        <w:t xml:space="preserve"> </w:t>
      </w:r>
      <w:r w:rsidRPr="00C12DA0">
        <w:t xml:space="preserve">The salvo column estimates the number and cost of effectors required to defeat an armoured company. </w:t>
      </w:r>
      <w:r w:rsidR="007A6FF0" w:rsidRPr="007A6FF0">
        <w:t>Effect is normalised to delivered shaped-charge mass, not raw payload:</w:t>
      </w:r>
      <w:r w:rsidR="007A6FF0">
        <w:t xml:space="preserve"> </w:t>
      </w:r>
      <w:r w:rsidRPr="00C12DA0">
        <w:t>OWADs are calculated against the 100</w:t>
      </w:r>
      <w:r w:rsidR="00DE3CD3">
        <w:t>-</w:t>
      </w:r>
      <w:r w:rsidRPr="00C12DA0">
        <w:t>k</w:t>
      </w:r>
      <w:r w:rsidR="006B7283">
        <w:t>ilogram</w:t>
      </w:r>
      <w:r w:rsidRPr="00C12DA0">
        <w:t xml:space="preserve"> shaped-charge requirement in Bronk and Watling; Javelin is calculated as six missiles at assumed 100 percent kill probability against the 40–60 per cent immobilisation threshold – an assumption</w:t>
      </w:r>
      <w:r w:rsidR="00526588">
        <w:t xml:space="preserve"> which</w:t>
      </w:r>
      <w:r w:rsidRPr="00C12DA0">
        <w:t xml:space="preserve"> flatters Javelin and therefore understates the drone advantage. Bronk, J. and Watling, J. </w:t>
      </w:r>
      <w:r w:rsidRPr="00C12DA0">
        <w:rPr>
          <w:i/>
          <w:iCs/>
        </w:rPr>
        <w:t>Mass Precision Strike: Designing UAV Complexes for Land Forces</w:t>
      </w:r>
      <w:r w:rsidRPr="00C12DA0">
        <w:t xml:space="preserve">. London: Royal United Services Institute for Defence and Security Studies, 2024. Available at: </w:t>
      </w:r>
      <w:hyperlink r:id="rId11" w:history="1">
        <w:r w:rsidRPr="00C12DA0">
          <w:rPr>
            <w:rStyle w:val="Hyperlink"/>
          </w:rPr>
          <w:t>https://static.rusi.org/mass-precision-strike-final.pdf</w:t>
        </w:r>
      </w:hyperlink>
      <w:r w:rsidRPr="00C12DA0">
        <w:t xml:space="preserve"> (accessed 16 December 2025).</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80A27"/>
    <w:multiLevelType w:val="hybridMultilevel"/>
    <w:tmpl w:val="1FF2CBFA"/>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 w15:restartNumberingAfterBreak="0">
    <w:nsid w:val="242310AC"/>
    <w:multiLevelType w:val="multilevel"/>
    <w:tmpl w:val="6DB055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6F3267C"/>
    <w:multiLevelType w:val="multilevel"/>
    <w:tmpl w:val="53508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7E90862"/>
    <w:multiLevelType w:val="multilevel"/>
    <w:tmpl w:val="85F45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85809DE"/>
    <w:multiLevelType w:val="multilevel"/>
    <w:tmpl w:val="6F92CC8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4C71D81"/>
    <w:multiLevelType w:val="multilevel"/>
    <w:tmpl w:val="2938A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00F3DED"/>
    <w:multiLevelType w:val="multilevel"/>
    <w:tmpl w:val="D20A8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48443802">
    <w:abstractNumId w:val="1"/>
  </w:num>
  <w:num w:numId="2" w16cid:durableId="1625699588">
    <w:abstractNumId w:val="4"/>
  </w:num>
  <w:num w:numId="3" w16cid:durableId="351036008">
    <w:abstractNumId w:val="0"/>
  </w:num>
  <w:num w:numId="4" w16cid:durableId="1840726473">
    <w:abstractNumId w:val="3"/>
  </w:num>
  <w:num w:numId="5" w16cid:durableId="949435667">
    <w:abstractNumId w:val="6"/>
  </w:num>
  <w:num w:numId="6" w16cid:durableId="2129355854">
    <w:abstractNumId w:val="2"/>
  </w:num>
  <w:num w:numId="7" w16cid:durableId="171457428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4448"/>
    <w:rsid w:val="00017713"/>
    <w:rsid w:val="00034CC3"/>
    <w:rsid w:val="00036E74"/>
    <w:rsid w:val="000603AB"/>
    <w:rsid w:val="00063C3E"/>
    <w:rsid w:val="00065A3F"/>
    <w:rsid w:val="000773AE"/>
    <w:rsid w:val="00083769"/>
    <w:rsid w:val="0008463B"/>
    <w:rsid w:val="00092ECB"/>
    <w:rsid w:val="000A62A6"/>
    <w:rsid w:val="000B39F2"/>
    <w:rsid w:val="000C389C"/>
    <w:rsid w:val="000E53A4"/>
    <w:rsid w:val="000E74FD"/>
    <w:rsid w:val="000F0D19"/>
    <w:rsid w:val="00102312"/>
    <w:rsid w:val="00107A60"/>
    <w:rsid w:val="00126E0F"/>
    <w:rsid w:val="00143911"/>
    <w:rsid w:val="00172310"/>
    <w:rsid w:val="00176EA6"/>
    <w:rsid w:val="001779D4"/>
    <w:rsid w:val="001800EF"/>
    <w:rsid w:val="001822CC"/>
    <w:rsid w:val="00182D41"/>
    <w:rsid w:val="001A3844"/>
    <w:rsid w:val="001B6642"/>
    <w:rsid w:val="001C6BAB"/>
    <w:rsid w:val="001C70DF"/>
    <w:rsid w:val="001C71F6"/>
    <w:rsid w:val="001C75AE"/>
    <w:rsid w:val="001D0016"/>
    <w:rsid w:val="001E7AE7"/>
    <w:rsid w:val="00211892"/>
    <w:rsid w:val="0021641C"/>
    <w:rsid w:val="00220651"/>
    <w:rsid w:val="0022693E"/>
    <w:rsid w:val="00230C29"/>
    <w:rsid w:val="00232127"/>
    <w:rsid w:val="002405F1"/>
    <w:rsid w:val="00240A82"/>
    <w:rsid w:val="00252F20"/>
    <w:rsid w:val="00262708"/>
    <w:rsid w:val="002822C2"/>
    <w:rsid w:val="00292EE9"/>
    <w:rsid w:val="002C4F0D"/>
    <w:rsid w:val="002D603F"/>
    <w:rsid w:val="002E0EF9"/>
    <w:rsid w:val="002F0568"/>
    <w:rsid w:val="002F4644"/>
    <w:rsid w:val="0030344C"/>
    <w:rsid w:val="00327715"/>
    <w:rsid w:val="0033406E"/>
    <w:rsid w:val="003615C3"/>
    <w:rsid w:val="0036390B"/>
    <w:rsid w:val="00373773"/>
    <w:rsid w:val="00392A7C"/>
    <w:rsid w:val="003A11A1"/>
    <w:rsid w:val="003A2DA1"/>
    <w:rsid w:val="003B6230"/>
    <w:rsid w:val="003C060B"/>
    <w:rsid w:val="003E4F2A"/>
    <w:rsid w:val="003E5AA4"/>
    <w:rsid w:val="00401D26"/>
    <w:rsid w:val="004315E8"/>
    <w:rsid w:val="00431645"/>
    <w:rsid w:val="004359AF"/>
    <w:rsid w:val="00443FFE"/>
    <w:rsid w:val="00456E3A"/>
    <w:rsid w:val="0047065D"/>
    <w:rsid w:val="0047228C"/>
    <w:rsid w:val="004738DA"/>
    <w:rsid w:val="004910FE"/>
    <w:rsid w:val="004A13E6"/>
    <w:rsid w:val="004A36F5"/>
    <w:rsid w:val="004B73C3"/>
    <w:rsid w:val="004C3B35"/>
    <w:rsid w:val="004D0C8F"/>
    <w:rsid w:val="004F0B7F"/>
    <w:rsid w:val="00503231"/>
    <w:rsid w:val="005032B0"/>
    <w:rsid w:val="00524254"/>
    <w:rsid w:val="00526588"/>
    <w:rsid w:val="005532E2"/>
    <w:rsid w:val="00572323"/>
    <w:rsid w:val="00583511"/>
    <w:rsid w:val="005859B9"/>
    <w:rsid w:val="005A3FE8"/>
    <w:rsid w:val="005B47FC"/>
    <w:rsid w:val="005C4B5D"/>
    <w:rsid w:val="005D62BA"/>
    <w:rsid w:val="005D6A14"/>
    <w:rsid w:val="005E2FA4"/>
    <w:rsid w:val="005F0279"/>
    <w:rsid w:val="00602AC4"/>
    <w:rsid w:val="0060431C"/>
    <w:rsid w:val="0060740A"/>
    <w:rsid w:val="006077C5"/>
    <w:rsid w:val="00626CC9"/>
    <w:rsid w:val="0063136F"/>
    <w:rsid w:val="00633BB8"/>
    <w:rsid w:val="006376AF"/>
    <w:rsid w:val="00654E5F"/>
    <w:rsid w:val="00656D8B"/>
    <w:rsid w:val="00687BB9"/>
    <w:rsid w:val="006B245A"/>
    <w:rsid w:val="006B36F7"/>
    <w:rsid w:val="006B7283"/>
    <w:rsid w:val="006C01F9"/>
    <w:rsid w:val="006C1751"/>
    <w:rsid w:val="006D3152"/>
    <w:rsid w:val="006E0485"/>
    <w:rsid w:val="006E41D2"/>
    <w:rsid w:val="006E6DF6"/>
    <w:rsid w:val="00702A39"/>
    <w:rsid w:val="00707459"/>
    <w:rsid w:val="007114F8"/>
    <w:rsid w:val="0071161B"/>
    <w:rsid w:val="00717ED2"/>
    <w:rsid w:val="00721C39"/>
    <w:rsid w:val="00734406"/>
    <w:rsid w:val="007539C9"/>
    <w:rsid w:val="0076059B"/>
    <w:rsid w:val="00766DD3"/>
    <w:rsid w:val="0077704F"/>
    <w:rsid w:val="007A6FF0"/>
    <w:rsid w:val="007D58F9"/>
    <w:rsid w:val="007E6648"/>
    <w:rsid w:val="007F7005"/>
    <w:rsid w:val="008008AE"/>
    <w:rsid w:val="008032E8"/>
    <w:rsid w:val="008278AC"/>
    <w:rsid w:val="00833C45"/>
    <w:rsid w:val="00841CA6"/>
    <w:rsid w:val="00847D59"/>
    <w:rsid w:val="00856A81"/>
    <w:rsid w:val="0087131C"/>
    <w:rsid w:val="00880436"/>
    <w:rsid w:val="008906B6"/>
    <w:rsid w:val="008A10CC"/>
    <w:rsid w:val="008A2BAF"/>
    <w:rsid w:val="008A3F4A"/>
    <w:rsid w:val="008D1071"/>
    <w:rsid w:val="008D790E"/>
    <w:rsid w:val="008E0498"/>
    <w:rsid w:val="008E24F7"/>
    <w:rsid w:val="008E628C"/>
    <w:rsid w:val="008F1E30"/>
    <w:rsid w:val="008F41DA"/>
    <w:rsid w:val="00904C8E"/>
    <w:rsid w:val="009145A4"/>
    <w:rsid w:val="00917666"/>
    <w:rsid w:val="00925E2F"/>
    <w:rsid w:val="009305B9"/>
    <w:rsid w:val="00947EB5"/>
    <w:rsid w:val="00971FFB"/>
    <w:rsid w:val="00996C78"/>
    <w:rsid w:val="009A2241"/>
    <w:rsid w:val="009A4725"/>
    <w:rsid w:val="009C76EC"/>
    <w:rsid w:val="009D4618"/>
    <w:rsid w:val="009E246E"/>
    <w:rsid w:val="009E28A5"/>
    <w:rsid w:val="00A04877"/>
    <w:rsid w:val="00A04CA9"/>
    <w:rsid w:val="00A23F4E"/>
    <w:rsid w:val="00A36721"/>
    <w:rsid w:val="00A432B4"/>
    <w:rsid w:val="00A50E13"/>
    <w:rsid w:val="00A71BE2"/>
    <w:rsid w:val="00A72C99"/>
    <w:rsid w:val="00A82B6C"/>
    <w:rsid w:val="00AB0ACD"/>
    <w:rsid w:val="00AC6223"/>
    <w:rsid w:val="00AC7624"/>
    <w:rsid w:val="00AE6C88"/>
    <w:rsid w:val="00AF0C93"/>
    <w:rsid w:val="00AF5777"/>
    <w:rsid w:val="00B05986"/>
    <w:rsid w:val="00B2402D"/>
    <w:rsid w:val="00B46909"/>
    <w:rsid w:val="00B47134"/>
    <w:rsid w:val="00B53E30"/>
    <w:rsid w:val="00B62BAA"/>
    <w:rsid w:val="00B8094F"/>
    <w:rsid w:val="00B85AC3"/>
    <w:rsid w:val="00B86BAF"/>
    <w:rsid w:val="00B93E1B"/>
    <w:rsid w:val="00B94448"/>
    <w:rsid w:val="00BB2886"/>
    <w:rsid w:val="00BB3343"/>
    <w:rsid w:val="00BB3526"/>
    <w:rsid w:val="00BC252E"/>
    <w:rsid w:val="00BC4646"/>
    <w:rsid w:val="00BE2246"/>
    <w:rsid w:val="00BF065B"/>
    <w:rsid w:val="00BF4B6D"/>
    <w:rsid w:val="00C12DA0"/>
    <w:rsid w:val="00C13EBD"/>
    <w:rsid w:val="00C24B2F"/>
    <w:rsid w:val="00C31025"/>
    <w:rsid w:val="00C376F0"/>
    <w:rsid w:val="00C40892"/>
    <w:rsid w:val="00C446BB"/>
    <w:rsid w:val="00C50339"/>
    <w:rsid w:val="00C57783"/>
    <w:rsid w:val="00C74C84"/>
    <w:rsid w:val="00C76E0E"/>
    <w:rsid w:val="00C82EE9"/>
    <w:rsid w:val="00C9561E"/>
    <w:rsid w:val="00CA049A"/>
    <w:rsid w:val="00CA53E2"/>
    <w:rsid w:val="00CA5665"/>
    <w:rsid w:val="00CB1328"/>
    <w:rsid w:val="00CB2FEB"/>
    <w:rsid w:val="00CC44E2"/>
    <w:rsid w:val="00CD6625"/>
    <w:rsid w:val="00CE2CBB"/>
    <w:rsid w:val="00D02D50"/>
    <w:rsid w:val="00D04E62"/>
    <w:rsid w:val="00D0517E"/>
    <w:rsid w:val="00D11B48"/>
    <w:rsid w:val="00D31202"/>
    <w:rsid w:val="00D31766"/>
    <w:rsid w:val="00D33A77"/>
    <w:rsid w:val="00D37663"/>
    <w:rsid w:val="00D43EF2"/>
    <w:rsid w:val="00D533ED"/>
    <w:rsid w:val="00D539C9"/>
    <w:rsid w:val="00D72570"/>
    <w:rsid w:val="00D80DC3"/>
    <w:rsid w:val="00D93EFA"/>
    <w:rsid w:val="00D97A55"/>
    <w:rsid w:val="00DB5050"/>
    <w:rsid w:val="00DC5778"/>
    <w:rsid w:val="00DE1E55"/>
    <w:rsid w:val="00DE3CD3"/>
    <w:rsid w:val="00DE701E"/>
    <w:rsid w:val="00DE7342"/>
    <w:rsid w:val="00DF7EB0"/>
    <w:rsid w:val="00E05D57"/>
    <w:rsid w:val="00E15ABA"/>
    <w:rsid w:val="00E237FD"/>
    <w:rsid w:val="00E27349"/>
    <w:rsid w:val="00E27398"/>
    <w:rsid w:val="00E37A49"/>
    <w:rsid w:val="00E42B4A"/>
    <w:rsid w:val="00E44360"/>
    <w:rsid w:val="00E47DF7"/>
    <w:rsid w:val="00E503FF"/>
    <w:rsid w:val="00E600EA"/>
    <w:rsid w:val="00E60F00"/>
    <w:rsid w:val="00E80E03"/>
    <w:rsid w:val="00E851DC"/>
    <w:rsid w:val="00E9226D"/>
    <w:rsid w:val="00EB0659"/>
    <w:rsid w:val="00EB428B"/>
    <w:rsid w:val="00EB4DCB"/>
    <w:rsid w:val="00EC66DF"/>
    <w:rsid w:val="00EC7C68"/>
    <w:rsid w:val="00ED4294"/>
    <w:rsid w:val="00ED4604"/>
    <w:rsid w:val="00ED54BE"/>
    <w:rsid w:val="00EE12B1"/>
    <w:rsid w:val="00F11EA1"/>
    <w:rsid w:val="00F318C3"/>
    <w:rsid w:val="00F432A5"/>
    <w:rsid w:val="00F47AB0"/>
    <w:rsid w:val="00F553E9"/>
    <w:rsid w:val="00F92358"/>
    <w:rsid w:val="00F979A6"/>
    <w:rsid w:val="00F97F87"/>
    <w:rsid w:val="00FA2700"/>
    <w:rsid w:val="00FA51DA"/>
    <w:rsid w:val="00FA5A9C"/>
    <w:rsid w:val="00FA5FF6"/>
    <w:rsid w:val="00FB05F1"/>
    <w:rsid w:val="00FD26A9"/>
    <w:rsid w:val="00FF02BE"/>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16AF7A"/>
  <w15:chartTrackingRefBased/>
  <w15:docId w15:val="{536D043D-0B3F-41E6-A482-0A18B6E18C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9444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9444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9444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9444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9444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9444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9444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9444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9444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9444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9444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9444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9444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9444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9444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9444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9444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94448"/>
    <w:rPr>
      <w:rFonts w:eastAsiaTheme="majorEastAsia" w:cstheme="majorBidi"/>
      <w:color w:val="272727" w:themeColor="text1" w:themeTint="D8"/>
    </w:rPr>
  </w:style>
  <w:style w:type="paragraph" w:styleId="Title">
    <w:name w:val="Title"/>
    <w:basedOn w:val="Normal"/>
    <w:next w:val="Normal"/>
    <w:link w:val="TitleChar"/>
    <w:uiPriority w:val="10"/>
    <w:qFormat/>
    <w:rsid w:val="00B9444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9444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9444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9444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94448"/>
    <w:pPr>
      <w:spacing w:before="160"/>
      <w:jc w:val="center"/>
    </w:pPr>
    <w:rPr>
      <w:i/>
      <w:iCs/>
      <w:color w:val="404040" w:themeColor="text1" w:themeTint="BF"/>
    </w:rPr>
  </w:style>
  <w:style w:type="character" w:customStyle="1" w:styleId="QuoteChar">
    <w:name w:val="Quote Char"/>
    <w:basedOn w:val="DefaultParagraphFont"/>
    <w:link w:val="Quote"/>
    <w:uiPriority w:val="29"/>
    <w:rsid w:val="00B94448"/>
    <w:rPr>
      <w:i/>
      <w:iCs/>
      <w:color w:val="404040" w:themeColor="text1" w:themeTint="BF"/>
    </w:rPr>
  </w:style>
  <w:style w:type="paragraph" w:styleId="ListParagraph">
    <w:name w:val="List Paragraph"/>
    <w:basedOn w:val="Normal"/>
    <w:uiPriority w:val="34"/>
    <w:qFormat/>
    <w:rsid w:val="00B94448"/>
    <w:pPr>
      <w:ind w:left="720"/>
      <w:contextualSpacing/>
    </w:pPr>
  </w:style>
  <w:style w:type="character" w:styleId="IntenseEmphasis">
    <w:name w:val="Intense Emphasis"/>
    <w:basedOn w:val="DefaultParagraphFont"/>
    <w:uiPriority w:val="21"/>
    <w:qFormat/>
    <w:rsid w:val="00B94448"/>
    <w:rPr>
      <w:i/>
      <w:iCs/>
      <w:color w:val="0F4761" w:themeColor="accent1" w:themeShade="BF"/>
    </w:rPr>
  </w:style>
  <w:style w:type="paragraph" w:styleId="IntenseQuote">
    <w:name w:val="Intense Quote"/>
    <w:basedOn w:val="Normal"/>
    <w:next w:val="Normal"/>
    <w:link w:val="IntenseQuoteChar"/>
    <w:uiPriority w:val="30"/>
    <w:qFormat/>
    <w:rsid w:val="00B9444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94448"/>
    <w:rPr>
      <w:i/>
      <w:iCs/>
      <w:color w:val="0F4761" w:themeColor="accent1" w:themeShade="BF"/>
    </w:rPr>
  </w:style>
  <w:style w:type="character" w:styleId="IntenseReference">
    <w:name w:val="Intense Reference"/>
    <w:basedOn w:val="DefaultParagraphFont"/>
    <w:uiPriority w:val="32"/>
    <w:qFormat/>
    <w:rsid w:val="00B94448"/>
    <w:rPr>
      <w:b/>
      <w:bCs/>
      <w:smallCaps/>
      <w:color w:val="0F4761" w:themeColor="accent1" w:themeShade="BF"/>
      <w:spacing w:val="5"/>
    </w:rPr>
  </w:style>
  <w:style w:type="paragraph" w:styleId="FootnoteText">
    <w:name w:val="footnote text"/>
    <w:basedOn w:val="Normal"/>
    <w:link w:val="FootnoteTextChar"/>
    <w:uiPriority w:val="99"/>
    <w:semiHidden/>
    <w:unhideWhenUsed/>
    <w:rsid w:val="008F41DA"/>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F41DA"/>
    <w:rPr>
      <w:sz w:val="20"/>
      <w:szCs w:val="20"/>
    </w:rPr>
  </w:style>
  <w:style w:type="character" w:styleId="FootnoteReference">
    <w:name w:val="footnote reference"/>
    <w:basedOn w:val="DefaultParagraphFont"/>
    <w:uiPriority w:val="99"/>
    <w:semiHidden/>
    <w:unhideWhenUsed/>
    <w:rsid w:val="008F41DA"/>
    <w:rPr>
      <w:vertAlign w:val="superscript"/>
    </w:rPr>
  </w:style>
  <w:style w:type="paragraph" w:styleId="NormalWeb">
    <w:name w:val="Normal (Web)"/>
    <w:basedOn w:val="Normal"/>
    <w:uiPriority w:val="99"/>
    <w:semiHidden/>
    <w:unhideWhenUsed/>
    <w:rsid w:val="008032E8"/>
    <w:rPr>
      <w:rFonts w:ascii="Times New Roman" w:hAnsi="Times New Roman" w:cs="Times New Roman"/>
    </w:rPr>
  </w:style>
  <w:style w:type="character" w:styleId="Hyperlink">
    <w:name w:val="Hyperlink"/>
    <w:basedOn w:val="DefaultParagraphFont"/>
    <w:uiPriority w:val="99"/>
    <w:unhideWhenUsed/>
    <w:rsid w:val="008032E8"/>
    <w:rPr>
      <w:color w:val="467886" w:themeColor="hyperlink"/>
      <w:u w:val="single"/>
    </w:rPr>
  </w:style>
  <w:style w:type="character" w:styleId="UnresolvedMention">
    <w:name w:val="Unresolved Mention"/>
    <w:basedOn w:val="DefaultParagraphFont"/>
    <w:uiPriority w:val="99"/>
    <w:semiHidden/>
    <w:unhideWhenUsed/>
    <w:rsid w:val="008032E8"/>
    <w:rPr>
      <w:color w:val="605E5C"/>
      <w:shd w:val="clear" w:color="auto" w:fill="E1DFDD"/>
    </w:rPr>
  </w:style>
  <w:style w:type="paragraph" w:styleId="Caption">
    <w:name w:val="caption"/>
    <w:basedOn w:val="Normal"/>
    <w:next w:val="Normal"/>
    <w:uiPriority w:val="35"/>
    <w:unhideWhenUsed/>
    <w:qFormat/>
    <w:rsid w:val="002C4F0D"/>
    <w:pPr>
      <w:spacing w:after="200" w:line="240" w:lineRule="auto"/>
    </w:pPr>
    <w:rPr>
      <w:i/>
      <w:iCs/>
      <w:color w:val="0E2841" w:themeColor="text2"/>
      <w:sz w:val="18"/>
      <w:szCs w:val="18"/>
    </w:rPr>
  </w:style>
  <w:style w:type="paragraph" w:styleId="NoSpacing">
    <w:name w:val="No Spacing"/>
    <w:uiPriority w:val="1"/>
    <w:qFormat/>
    <w:rsid w:val="00D539C9"/>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janes.com/defence-intelligence-insights/defence-news/air/french-army-restructures-its-infantry-battalions"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png"/></Relationships>
</file>

<file path=word/_rels/footnotes.xml.rels><?xml version="1.0" encoding="UTF-8" standalone="yes"?>
<Relationships xmlns="http://schemas.openxmlformats.org/package/2006/relationships"><Relationship Id="rId8" Type="http://schemas.openxmlformats.org/officeDocument/2006/relationships/hyperlink" Target="https://www.youtube.com/watch?v=fkE1H-jy3NE" TargetMode="External"/><Relationship Id="rId3" Type="http://schemas.openxmlformats.org/officeDocument/2006/relationships/hyperlink" Target="https://www.thejournal.ie/new-apc-vehicles-maybe-coming-from-france-6623112-Feb2025/" TargetMode="External"/><Relationship Id="rId7" Type="http://schemas.openxmlformats.org/officeDocument/2006/relationships/hyperlink" Target="https://www.defense.gouv.fr/terre/actualites/gevaudan-26-legionnaires-au-combat" TargetMode="External"/><Relationship Id="rId2" Type="http://schemas.openxmlformats.org/officeDocument/2006/relationships/hyperlink" Target="https://www.act.nato.int/wp-content/uploads/2023/05/NATO-ACT-CDE-Handbook_A_Concept_Developers_Toolbox.pdf" TargetMode="External"/><Relationship Id="rId1" Type="http://schemas.openxmlformats.org/officeDocument/2006/relationships/hyperlink" Target="https://eda.europa.eu/docs/default-source/eda-publications/2023-eu-capability-development-priorities.pdf" TargetMode="External"/><Relationship Id="rId6" Type="http://schemas.openxmlformats.org/officeDocument/2006/relationships/hyperlink" Target="https://mwi.westpoint.edu/creating-a-unit-optimized-for-urban-warfare/" TargetMode="External"/><Relationship Id="rId11" Type="http://schemas.openxmlformats.org/officeDocument/2006/relationships/hyperlink" Target="https://static.rusi.org/mass-precision-strike-final.pdf" TargetMode="External"/><Relationship Id="rId5" Type="http://schemas.openxmlformats.org/officeDocument/2006/relationships/hyperlink" Target="https://www.gov.uk/government/news/british-army-experiments-with-dstl-study-on-urban-combat" TargetMode="External"/><Relationship Id="rId10" Type="http://schemas.openxmlformats.org/officeDocument/2006/relationships/hyperlink" Target="https://www.jstor.org/stable/2538780" TargetMode="External"/><Relationship Id="rId4" Type="http://schemas.openxmlformats.org/officeDocument/2006/relationships/hyperlink" Target="https://www.mca-marines.org/wp-content/uploads/23-The-Ultra-Light.pdf" TargetMode="External"/><Relationship Id="rId9" Type="http://schemas.openxmlformats.org/officeDocument/2006/relationships/hyperlink" Target="https://www.wsj.com/opinion/nato-has-seen-the-future-and-is-unprepared-887eaf0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2FAC388-EA3B-4FC8-BCA4-D9FC19D82AA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1967</Words>
  <Characters>11218</Characters>
  <Application>Microsoft Office Word</Application>
  <DocSecurity>0</DocSecurity>
  <Lines>93</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13159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Adam Beatty</dc:creator>
  <cp:keywords/>
  <dc:description/>
  <cp:lastModifiedBy>Adam Beatty</cp:lastModifiedBy>
  <cp:revision>2</cp:revision>
  <dcterms:created xsi:type="dcterms:W3CDTF">2026-06-23T11:58:00Z</dcterms:created>
  <dcterms:modified xsi:type="dcterms:W3CDTF">2026-06-23T11:58:00Z</dcterms:modified>
</cp:coreProperties>
</file>