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F1B7" w14:textId="2491F4B8" w:rsidR="00354104" w:rsidRPr="00354104" w:rsidRDefault="00354104" w:rsidP="00354104">
      <w:pPr>
        <w:pStyle w:val="Heading1"/>
        <w:jc w:val="center"/>
        <w:rPr>
          <w:rFonts w:ascii="Arial" w:hAnsi="Arial" w:cs="Arial"/>
          <w:sz w:val="24"/>
          <w:szCs w:val="24"/>
        </w:rPr>
      </w:pPr>
    </w:p>
    <w:p w14:paraId="7282D74A" w14:textId="7B954703" w:rsidR="00354104" w:rsidRPr="00354104" w:rsidRDefault="00354104" w:rsidP="00354104">
      <w:pPr>
        <w:pStyle w:val="Heading1"/>
        <w:jc w:val="center"/>
        <w:rPr>
          <w:rFonts w:ascii="Arial" w:hAnsi="Arial" w:cs="Arial"/>
          <w:sz w:val="24"/>
          <w:szCs w:val="24"/>
        </w:rPr>
      </w:pPr>
      <w:r w:rsidRPr="00354104">
        <w:rPr>
          <w:rFonts w:ascii="Arial" w:hAnsi="Arial" w:cs="Arial"/>
          <w:sz w:val="24"/>
          <w:szCs w:val="24"/>
        </w:rPr>
        <w:t>8/5/26</w:t>
      </w:r>
      <w:r w:rsidRPr="00354104">
        <w:rPr>
          <w:rFonts w:ascii="Arial" w:hAnsi="Arial" w:cs="Arial"/>
          <w:sz w:val="24"/>
          <w:szCs w:val="24"/>
        </w:rPr>
        <w:t xml:space="preserve"> </w:t>
      </w:r>
      <w:r w:rsidRPr="00354104">
        <w:rPr>
          <w:rFonts w:ascii="Arial" w:hAnsi="Arial" w:cs="Arial"/>
          <w:sz w:val="24"/>
          <w:szCs w:val="24"/>
        </w:rPr>
        <w:t>CJEX CCR MAB</w:t>
      </w:r>
    </w:p>
    <w:p w14:paraId="208A1B9C" w14:textId="6093AD69" w:rsidR="00354104" w:rsidRPr="00354104" w:rsidRDefault="00354104" w:rsidP="003541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From a sustainment perspective, </w:t>
      </w:r>
      <w:r w:rsidRPr="00354104">
        <w:rPr>
          <w:rFonts w:ascii="Arial" w:hAnsi="Arial" w:cs="Arial"/>
        </w:rPr>
        <w:t>WAFOR operations are feasible provided that the initial force build up is through GUINEA</w:t>
      </w:r>
    </w:p>
    <w:p w14:paraId="6D51EE89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During the rainy season — which has just started — WAFOR must rely on limited paved MSRs,</w:t>
      </w:r>
    </w:p>
    <w:p w14:paraId="7B38E6D1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establish convoy support centres every 100km,</w:t>
      </w:r>
    </w:p>
    <w:p w14:paraId="50FBD33D" w14:textId="26C3675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prioritise fuel distribution and maintain the GUINEA technical agreement — which is assessed</w:t>
      </w:r>
      <w:r w:rsidR="0097399D">
        <w:rPr>
          <w:rFonts w:ascii="Arial" w:hAnsi="Arial" w:cs="Arial"/>
        </w:rPr>
        <w:t xml:space="preserve"> as a</w:t>
      </w:r>
      <w:r w:rsidRPr="00354104">
        <w:rPr>
          <w:rFonts w:ascii="Arial" w:hAnsi="Arial" w:cs="Arial"/>
        </w:rPr>
        <w:t xml:space="preserve"> precondition for success</w:t>
      </w:r>
    </w:p>
    <w:p w14:paraId="67E3B9FA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WAFOR cannot initially rely on SIERRA LEONE as the main logistics base, due to constrained XPODs and unreliable host nation support</w:t>
      </w:r>
    </w:p>
    <w:p w14:paraId="26629E76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WAFOR should use CONAKRY as the strategic coupling bridge, primary SPOD, JLSG location and purple gate for NSEs</w:t>
      </w:r>
    </w:p>
    <w:p w14:paraId="3065EB43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WAFOR can use FREETOWN as a limited initial coupling bridge</w:t>
      </w:r>
    </w:p>
    <w:p w14:paraId="50FF2D60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WAFOR’s medical support is feasible and assessed as self sufficient</w:t>
      </w:r>
    </w:p>
    <w:p w14:paraId="687C9304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WAFOR should deploy a Role 3 hospital to CONAKRY &amp; FREETOWN and consider aviation for CASEVAC.</w:t>
      </w:r>
    </w:p>
    <w:p w14:paraId="0E20E3D0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Reception staging onward movement &amp; integration should occur through GUINEA initially. This permits combat-ready forces to transit GUINEAN territory provided that they do not conduct combat operations there. WAFOR’s conduct in GUINEA must be carefully managed</w:t>
      </w:r>
    </w:p>
    <w:p w14:paraId="1ED0507F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It shall take a minimum of 20 days from activation for Tier 1 forces to be received and staged. This includes NTM and transit by sea.</w:t>
      </w:r>
    </w:p>
    <w:p w14:paraId="38ACD8E0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Joint Logistics Enablers, as APOD &amp; SPOD handling units, must be in theatre 7 days before the arrival of the first combat units. Organic APOD &amp; SPOD</w:t>
      </w:r>
    </w:p>
    <w:p w14:paraId="5A08E0D1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FREETOWN SPOD and LUNGI APOD should only support an initial entry force to SIERRA LEONE, should that be necessary — until infrastructure is improved.</w:t>
      </w:r>
    </w:p>
    <w:p w14:paraId="21A58ACB" w14:textId="77777777" w:rsidR="00354104" w:rsidRPr="00354104" w:rsidRDefault="00354104" w:rsidP="00354104">
      <w:pPr>
        <w:rPr>
          <w:rFonts w:ascii="Arial" w:hAnsi="Arial" w:cs="Arial"/>
        </w:rPr>
      </w:pPr>
      <w:r w:rsidRPr="00354104">
        <w:rPr>
          <w:rFonts w:ascii="Arial" w:hAnsi="Arial" w:cs="Arial"/>
        </w:rPr>
        <w:t>WAFOR should not consider BONTHE as an initial entry or sustainment node. MSR &amp; APOD construction works... All MSRs should be considered contested.</w:t>
      </w:r>
    </w:p>
    <w:p w14:paraId="0E734B98" w14:textId="65B39439" w:rsidR="008207E5" w:rsidRPr="00354104" w:rsidRDefault="008207E5" w:rsidP="00354104">
      <w:pPr>
        <w:rPr>
          <w:rFonts w:ascii="Arial" w:hAnsi="Arial" w:cs="Arial"/>
        </w:rPr>
      </w:pPr>
    </w:p>
    <w:sectPr w:rsidR="008207E5" w:rsidRPr="0035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93"/>
    <w:rsid w:val="00094993"/>
    <w:rsid w:val="001424FA"/>
    <w:rsid w:val="00354104"/>
    <w:rsid w:val="008207E5"/>
    <w:rsid w:val="0097399D"/>
    <w:rsid w:val="00B5143C"/>
    <w:rsid w:val="00D5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98DE"/>
  <w15:chartTrackingRefBased/>
  <w15:docId w15:val="{DD175E4A-0A4E-4BBF-9DBB-A006F5D0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BEATTY</dc:creator>
  <cp:keywords/>
  <dc:description/>
  <cp:lastModifiedBy>ADAM BEATTY</cp:lastModifiedBy>
  <cp:revision>2</cp:revision>
  <dcterms:created xsi:type="dcterms:W3CDTF">2026-05-11T07:57:00Z</dcterms:created>
  <dcterms:modified xsi:type="dcterms:W3CDTF">2026-05-11T10:15:00Z</dcterms:modified>
</cp:coreProperties>
</file>