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FB1BCB5" w14:textId="17BE4DE1" w:rsidR="00815DE9" w:rsidRDefault="00815DE9" w:rsidP="00815DE9">
      <w:pPr>
        <w:pStyle w:val="Heading2"/>
      </w:pPr>
      <w:r>
        <w:lastRenderedPageBreak/>
        <w:t>ADAM 1959 WORDS</w:t>
      </w:r>
      <w:r w:rsidR="0010514C">
        <w:t xml:space="preserve"> – I’ll cut it based on what OB includes</w:t>
      </w:r>
    </w:p>
    <w:p w14:paraId="50A129F2" w14:textId="77777777" w:rsidR="00815DE9" w:rsidRDefault="00815DE9" w:rsidP="00815DE9">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end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51D2F99C" w14:textId="77777777" w:rsidR="00815DE9" w:rsidRDefault="00815DE9" w:rsidP="00815DE9">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end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end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25BEC791" w14:textId="77777777" w:rsidR="00815DE9" w:rsidRDefault="00815DE9" w:rsidP="00815DE9">
      <w:pPr>
        <w:pStyle w:val="Heading2"/>
        <w:rPr>
          <w:rFonts w:asciiTheme="minorHAnsi" w:eastAsiaTheme="minorHAnsi" w:hAnsiTheme="minorHAnsi" w:cstheme="minorBidi"/>
          <w:color w:val="auto"/>
          <w:sz w:val="24"/>
          <w:szCs w:val="24"/>
        </w:rPr>
      </w:pPr>
      <w:r w:rsidRPr="007F74B6">
        <w:rPr>
          <w:rFonts w:asciiTheme="minorHAnsi" w:eastAsiaTheme="minorHAnsi" w:hAnsiTheme="minorHAnsi" w:cstheme="minorBidi"/>
          <w:color w:val="auto"/>
          <w:sz w:val="24"/>
          <w:szCs w:val="24"/>
        </w:rPr>
        <w:t>Territorial defence is no longer implausible. It remains politically constrained and under-resourced, but force design cannot assume Europe’s post-1945 “long peace”</w:t>
      </w:r>
      <w:r>
        <w:rPr>
          <w:rStyle w:val="EndnoteReference"/>
          <w:rFonts w:asciiTheme="minorHAnsi" w:eastAsiaTheme="minorHAnsi" w:hAnsiTheme="minorHAnsi" w:cstheme="minorBidi"/>
          <w:color w:val="auto"/>
          <w:sz w:val="24"/>
          <w:szCs w:val="24"/>
        </w:rPr>
        <w:endnoteReference w:id="7"/>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endnoteReference w:id="8"/>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endnoteReference w:id="9"/>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show how quickly strategically marginal scenarios can become plausible</w:t>
      </w:r>
      <w:r>
        <w:rPr>
          <w:rFonts w:asciiTheme="minorHAnsi" w:eastAsiaTheme="minorHAnsi" w:hAnsiTheme="minorHAnsi" w:cstheme="minorBidi"/>
          <w:color w:val="auto"/>
          <w:sz w:val="24"/>
          <w:szCs w:val="24"/>
        </w:rPr>
        <w:t xml:space="preserve"> planning problems.</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UxS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22FABCC0" w14:textId="77777777" w:rsidR="00815DE9" w:rsidRDefault="00815DE9" w:rsidP="00815DE9">
      <w:r>
        <w:br w:type="page"/>
      </w:r>
    </w:p>
    <w:p w14:paraId="0827D8A3" w14:textId="77777777" w:rsidR="00815DE9" w:rsidRDefault="00815DE9" w:rsidP="00815DE9">
      <w:r w:rsidRPr="00174027">
        <w:lastRenderedPageBreak/>
        <w:t>Ireland’s light infantry section is not an equipment problem; it is a structure overtaken by the threat.</w:t>
      </w:r>
      <w:r>
        <w:t xml:space="preserve"> </w:t>
      </w:r>
      <w:r w:rsidRPr="00803FC3">
        <w:t>Capability is sometimes reduced to equipment, but it is better understood as the synthesis described by DOTMLPF-I</w:t>
      </w:r>
      <w:r>
        <w:t>.</w:t>
      </w:r>
      <w:r>
        <w:rPr>
          <w:rStyle w:val="EndnoteReference"/>
        </w:rPr>
        <w:endnoteReference w:id="10"/>
      </w:r>
      <w:r w:rsidRPr="00174027">
        <w:t xml:space="preserve"> </w:t>
      </w:r>
      <w:r>
        <w:t>O</w:t>
      </w:r>
      <w:r w:rsidRPr="00803FC3">
        <w:t>n that basis</w:t>
      </w:r>
      <w:r>
        <w:t>,</w:t>
      </w:r>
      <w:r w:rsidRPr="00803FC3">
        <w:t xml:space="preserve"> the section fails against nearly every line. Its doctrine remains that of a foot-mobile light infantry section, </w:t>
      </w:r>
      <w:r w:rsidRPr="00803FC3">
        <w:rPr>
          <w:highlight w:val="yellow"/>
        </w:rPr>
        <w:t>never reconciled with the vehicles now built to carry it</w:t>
      </w:r>
      <w:r w:rsidRPr="00803FC3">
        <w:t>.</w:t>
      </w:r>
      <w:r w:rsidRPr="00277853">
        <w:rPr>
          <w:rStyle w:val="EndnoteReference"/>
        </w:rPr>
        <w:t xml:space="preserve"> </w:t>
      </w:r>
      <w:r>
        <w:rPr>
          <w:rStyle w:val="EndnoteReference"/>
        </w:rPr>
        <w:endnoteReference w:id="11"/>
      </w:r>
      <w:r w:rsidRPr="00803FC3">
        <w:t xml:space="preserve"> Its organisation may now be rebuilt around vehicle capacity,</w:t>
      </w:r>
      <w:r>
        <w:rPr>
          <w:rStyle w:val="EndnoteReference"/>
        </w:rPr>
        <w:endnoteReference w:id="12"/>
      </w:r>
      <w:r w:rsidRPr="008762BE">
        <w:rPr>
          <w:rStyle w:val="FootnoteReference"/>
        </w:rPr>
        <w:t xml:space="preserve"> </w:t>
      </w:r>
      <w:r w:rsidRPr="00803FC3">
        <w:t xml:space="preserve">on the assumption that one section must fit one carrier </w:t>
      </w:r>
      <w:r w:rsidRPr="00C2058B">
        <w:rPr>
          <w:strike/>
        </w:rPr>
        <w:t>— a constraint more appropriate for mechanised and armoured formations</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endnoteReference w:id="13"/>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w:t>
      </w:r>
      <w:r w:rsidRPr="00277853">
        <w:rPr>
          <w:rStyle w:val="EndnoteReference"/>
        </w:rPr>
        <w:t xml:space="preserve"> </w:t>
      </w:r>
      <w:r>
        <w:rPr>
          <w:rStyle w:val="EndnoteReference"/>
        </w:rPr>
        <w:endnoteReference w:id="14"/>
      </w:r>
      <w:r w:rsidRPr="007B7BC3">
        <w:t xml:space="preserve">  — the cognitive burden of sensor-rich combat—</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 xml:space="preserve">Its materiel reflects a Cold War mentality. Its leadership is not configured for mission command under persistent observation. </w:t>
      </w:r>
      <w:r>
        <w:t>It fields</w:t>
      </w:r>
      <w:r w:rsidRPr="003C060B">
        <w:t xml:space="preserve"> too few soldiers to carry the cognitive load, operate the new systems and remain cohesive once dispersed. Adding drones changes none of that. </w:t>
      </w:r>
    </w:p>
    <w:p w14:paraId="7BAE923E" w14:textId="77777777" w:rsidR="00815DE9" w:rsidRPr="00B47134" w:rsidRDefault="00815DE9" w:rsidP="00815DE9">
      <w:r w:rsidRPr="00B47134">
        <w:t xml:space="preserve">These are not uniquely Irish problems. Section design, vehicle capacity, organic support weapons and UAS integration are being reconsidered elsewhere. French RI 2030 reform shows one mechanised </w:t>
      </w:r>
      <w:r>
        <w:t>solution</w:t>
      </w:r>
      <w:r w:rsidRPr="00B47134">
        <w:t>: the vehicle acts as a mission-configurable “weapons store”, anti-armour is distributed across combat groups</w:t>
      </w:r>
      <w:r>
        <w:t xml:space="preserve"> and</w:t>
      </w:r>
      <w:r w:rsidRPr="00B47134">
        <w:t xml:space="preserve"> platoon</w:t>
      </w:r>
      <w:r>
        <w:t>-</w:t>
      </w:r>
      <w:r w:rsidRPr="00B47134">
        <w:t>level</w:t>
      </w:r>
      <w:r>
        <w:t xml:space="preserve"> UAS while</w:t>
      </w:r>
      <w:r w:rsidRPr="00B47134">
        <w:t xml:space="preserve"> heavier UAS, EW and robotic effects remain </w:t>
      </w:r>
      <w:r>
        <w:t>separate</w:t>
      </w:r>
      <w:r w:rsidRPr="00B47134">
        <w:t>.</w:t>
      </w:r>
      <w:r>
        <w:rPr>
          <w:rStyle w:val="EndnoteReference"/>
        </w:rPr>
        <w:endnoteReference w:id="15"/>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endnoteReference w:id="16"/>
      </w:r>
      <w:r w:rsidRPr="00B47134">
        <w:t xml:space="preserve"> points in the same direction from a different angle. Yet adaptation remains uneven. Exercises such as </w:t>
      </w:r>
      <w:r w:rsidRPr="00F92358">
        <w:rPr>
          <w:i/>
          <w:iCs/>
        </w:rPr>
        <w:t>Gévaudan 26</w:t>
      </w:r>
      <w:r w:rsidRPr="003C060B">
        <w:t xml:space="preserve"> </w:t>
      </w:r>
      <w:r>
        <w:t xml:space="preserve">and </w:t>
      </w:r>
      <w:r w:rsidRPr="00F92358">
        <w:rPr>
          <w:i/>
          <w:iCs/>
        </w:rPr>
        <w:t>Hedgehog</w:t>
      </w:r>
      <w:r>
        <w:rPr>
          <w:rStyle w:val="EndnoteReference"/>
          <w:i/>
          <w:iCs/>
        </w:rPr>
        <w:endnoteReference w:id="17"/>
      </w:r>
      <w:r>
        <w:t xml:space="preserve"> </w:t>
      </w:r>
      <w:r w:rsidRPr="00B47134">
        <w:t xml:space="preserve">suggest that integrating drones is easier than adapting </w:t>
      </w:r>
      <w:r>
        <w:t>to the implications of</w:t>
      </w:r>
      <w:r w:rsidRPr="00B47134">
        <w:t xml:space="preserve"> persistent observation. The challenge is therefore not acquiring uncrewed systems, but redesigning the infantry section around the battlefield they have created.</w:t>
      </w:r>
      <w:r>
        <w:rPr>
          <w:rStyle w:val="EndnoteReference"/>
        </w:rPr>
        <w:endnoteReference w:id="18"/>
      </w:r>
      <w:r>
        <w:t xml:space="preserve"> </w:t>
      </w:r>
    </w:p>
    <w:p w14:paraId="732D5B18" w14:textId="77777777" w:rsidR="00815DE9" w:rsidRDefault="00815DE9" w:rsidP="00815DE9"/>
    <w:p w14:paraId="2E0C8A40" w14:textId="77777777" w:rsidR="00815DE9" w:rsidRPr="001C75AE" w:rsidRDefault="00815DE9" w:rsidP="00815DE9">
      <w:pPr>
        <w:rPr>
          <w:highlight w:val="yellow"/>
        </w:rPr>
      </w:pPr>
      <w:r w:rsidRPr="001C75AE">
        <w:rPr>
          <w:highlight w:val="yellow"/>
        </w:rPr>
        <w:t xml:space="preserve">Need access to this janes article: </w:t>
      </w:r>
      <w:hyperlink r:id="rId8" w:history="1">
        <w:r w:rsidRPr="001C75AE">
          <w:rPr>
            <w:rStyle w:val="Hyperlink"/>
            <w:highlight w:val="yellow"/>
          </w:rPr>
          <w:t>https://www.janes.com/defence-intelligence-insights/defence-news/air/french-army-restructures-its-infantry-battalions</w:t>
        </w:r>
      </w:hyperlink>
    </w:p>
    <w:p w14:paraId="32208DB2" w14:textId="77777777" w:rsidR="00815DE9" w:rsidRPr="00803FC3" w:rsidRDefault="00815DE9" w:rsidP="00815DE9">
      <w:r w:rsidRPr="001C75AE">
        <w:rPr>
          <w:highlight w:val="yellow"/>
        </w:rPr>
        <w:t>need access to this janes article: https://www.janes.com/defence-intelligence-insights/defence-news/weapons/italian-army-improves-infantry-equipment-restructures-units</w:t>
      </w:r>
    </w:p>
    <w:p w14:paraId="25E8B457" w14:textId="77777777" w:rsidR="00815DE9" w:rsidRPr="001D0016" w:rsidRDefault="00815DE9" w:rsidP="00815DE9">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w:t>
      </w:r>
      <w:r w:rsidRPr="001D0016">
        <w:rPr>
          <w:highlight w:val="yellow"/>
        </w:rPr>
        <w:lastRenderedPageBreak/>
        <w:t>country and finally, to carry out close surveillance”. Then we can say that the first task – their most important – cannot be achieved without substantial review of the doctrine, organisation, training, leadership, materiel,</w:t>
      </w:r>
      <w:r>
        <w:t xml:space="preserve"> </w:t>
      </w:r>
    </w:p>
    <w:p w14:paraId="6B5B3CCD" w14:textId="77777777" w:rsidR="00815DE9" w:rsidRPr="001D0016" w:rsidRDefault="00815DE9" w:rsidP="00815DE9"/>
    <w:p w14:paraId="26388474" w14:textId="77777777" w:rsidR="00815DE9" w:rsidRPr="00262708" w:rsidRDefault="00815DE9" w:rsidP="00815DE9">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endnoteReference w:id="19"/>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endnoteReference w:id="20"/>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Pr>
          <w:rFonts w:asciiTheme="minorHAnsi" w:eastAsiaTheme="minorHAnsi" w:hAnsiTheme="minorHAnsi" w:cstheme="minorBidi"/>
          <w:color w:val="auto"/>
          <w:sz w:val="24"/>
          <w:szCs w:val="24"/>
        </w:rPr>
        <w:t>decisive.</w:t>
      </w:r>
    </w:p>
    <w:p w14:paraId="613E12E8" w14:textId="77777777" w:rsidR="00815DE9" w:rsidRDefault="00815DE9" w:rsidP="00815DE9">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shows that FPV-OWADs cannot be dismissed as cheap substitutes for Javelin.</w:t>
      </w:r>
      <w:r>
        <w:rPr>
          <w:rStyle w:val="EndnoteReference"/>
        </w:rPr>
        <w:endnoteReference w:id="21"/>
      </w:r>
      <w:r>
        <w:t xml:space="preserve"> </w:t>
      </w:r>
      <w:r w:rsidRPr="00656D8B">
        <w:t xml:space="preserve">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do not replace ATGMs, but they change the defensive arithmetic and can no longer be ignored</w:t>
      </w:r>
      <w:r>
        <w:t>.</w:t>
      </w:r>
    </w:p>
    <w:p w14:paraId="25683409" w14:textId="77777777" w:rsidR="00815DE9" w:rsidRDefault="00815DE9" w:rsidP="00815DE9">
      <w:pPr>
        <w:keepNext/>
      </w:pPr>
      <w:r w:rsidRPr="00EE12B1">
        <w:rPr>
          <w:noProof/>
        </w:rPr>
        <w:drawing>
          <wp:inline distT="0" distB="0" distL="0" distR="0" wp14:anchorId="17D56BD5" wp14:editId="719692D5">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29A10A5F" w14:textId="77777777" w:rsidR="00815DE9" w:rsidRPr="00E05D57" w:rsidRDefault="00815DE9" w:rsidP="00815DE9">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2217B4D5" w14:textId="77777777" w:rsidR="00815DE9" w:rsidRDefault="00815DE9" w:rsidP="00815DE9">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lastRenderedPageBreak/>
        <w:t>Ireland has long treated serious territorial defence as financially unreachable, because credibility was assumed to require conventional mass. UxS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02810C73" w14:textId="77777777" w:rsidR="00815DE9" w:rsidRDefault="00815DE9" w:rsidP="00815DE9">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4539E762" w14:textId="2BC74CAE" w:rsidR="000A62A6" w:rsidRDefault="00815DE9" w:rsidP="00815DE9">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t>capability</w:t>
      </w:r>
      <w:r w:rsidRPr="0030344C">
        <w:t xml:space="preserve">. Vehicle capacity is a real constraint </w:t>
      </w:r>
      <w:r>
        <w:t>—</w:t>
      </w:r>
      <w:r w:rsidRPr="0030344C">
        <w:t xml:space="preserve"> it drives lift, sustainment, command and tactical mobility and cannot be dismissed. But it need not come first. The threat defines force protection and force protection drives </w:t>
      </w:r>
      <w:r>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t>—</w:t>
      </w:r>
      <w:r w:rsidRPr="0030344C">
        <w:t xml:space="preserve"> 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why cheap UxS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64263" w14:textId="77777777" w:rsidR="00127BFF" w:rsidRDefault="00127BFF" w:rsidP="008F41DA">
      <w:pPr>
        <w:spacing w:after="0" w:line="240" w:lineRule="auto"/>
      </w:pPr>
      <w:r>
        <w:separator/>
      </w:r>
    </w:p>
  </w:endnote>
  <w:endnote w:type="continuationSeparator" w:id="0">
    <w:p w14:paraId="088DDAE9" w14:textId="77777777" w:rsidR="00127BFF" w:rsidRDefault="00127BFF" w:rsidP="008F41DA">
      <w:pPr>
        <w:spacing w:after="0" w:line="240" w:lineRule="auto"/>
      </w:pPr>
      <w:r>
        <w:continuationSeparator/>
      </w:r>
    </w:p>
  </w:endnote>
  <w:endnote w:id="1">
    <w:p w14:paraId="388BE805" w14:textId="77777777" w:rsidR="00815DE9" w:rsidRDefault="00815DE9" w:rsidP="00815DE9">
      <w:pPr>
        <w:pStyle w:val="EndnoteText"/>
      </w:pPr>
      <w:r>
        <w:rPr>
          <w:rStyle w:val="EndnoteReference"/>
        </w:rPr>
        <w:end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endnote>
  <w:endnote w:id="2">
    <w:p w14:paraId="6A50DE5B" w14:textId="77777777" w:rsidR="00815DE9" w:rsidRDefault="00815DE9" w:rsidP="00815DE9">
      <w:pPr>
        <w:pStyle w:val="EndnoteText"/>
      </w:pPr>
      <w:r>
        <w:rPr>
          <w:rStyle w:val="EndnoteReference"/>
        </w:rPr>
        <w:end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endnote>
  <w:endnote w:id="3">
    <w:p w14:paraId="3B6F4165" w14:textId="77777777" w:rsidR="00815DE9" w:rsidRDefault="00815DE9" w:rsidP="00815DE9">
      <w:pPr>
        <w:pStyle w:val="EndnoteText"/>
      </w:pPr>
      <w:r>
        <w:rPr>
          <w:rStyle w:val="EndnoteReference"/>
        </w:rPr>
        <w:end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endnote>
  <w:endnote w:id="4">
    <w:p w14:paraId="362C8E98" w14:textId="77777777" w:rsidR="00815DE9" w:rsidRDefault="00815DE9" w:rsidP="00815DE9">
      <w:pPr>
        <w:pStyle w:val="EndnoteText"/>
      </w:pPr>
      <w:r>
        <w:rPr>
          <w:rStyle w:val="EndnoteReference"/>
        </w:rPr>
        <w:end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endnote>
  <w:endnote w:id="5">
    <w:p w14:paraId="66671AF5" w14:textId="77777777" w:rsidR="00815DE9" w:rsidRDefault="00815DE9" w:rsidP="00815DE9">
      <w:pPr>
        <w:pStyle w:val="EndnoteText"/>
      </w:pPr>
      <w:r>
        <w:rPr>
          <w:rStyle w:val="EndnoteReference"/>
        </w:rPr>
        <w:end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endnote>
  <w:endnote w:id="6">
    <w:p w14:paraId="1C821C9F" w14:textId="77777777" w:rsidR="00815DE9" w:rsidRDefault="00815DE9" w:rsidP="00815DE9">
      <w:pPr>
        <w:pStyle w:val="EndnoteText"/>
      </w:pPr>
      <w:r>
        <w:rPr>
          <w:rStyle w:val="EndnoteReference"/>
        </w:rPr>
        <w:end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endnote>
  <w:endnote w:id="7">
    <w:p w14:paraId="4690BDA7" w14:textId="77777777" w:rsidR="00815DE9" w:rsidRDefault="00815DE9" w:rsidP="00815DE9">
      <w:pPr>
        <w:pStyle w:val="EndnoteText"/>
      </w:pPr>
      <w:r>
        <w:rPr>
          <w:rStyle w:val="EndnoteReference"/>
        </w:rPr>
        <w:end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7" w:history="1">
        <w:r w:rsidRPr="007F74B6">
          <w:rPr>
            <w:rStyle w:val="Hyperlink"/>
          </w:rPr>
          <w:t>https://www.jstor.org/stable/2538981</w:t>
        </w:r>
      </w:hyperlink>
      <w:r w:rsidRPr="007F74B6">
        <w:t xml:space="preserve"> (accessed 29 November 2025).</w:t>
      </w:r>
    </w:p>
  </w:endnote>
  <w:endnote w:id="8">
    <w:p w14:paraId="39C88ADB" w14:textId="77777777" w:rsidR="00815DE9" w:rsidRDefault="00815DE9" w:rsidP="00815DE9">
      <w:pPr>
        <w:pStyle w:val="EndnoteText"/>
      </w:pPr>
      <w:r>
        <w:rPr>
          <w:rStyle w:val="EndnoteReference"/>
        </w:rPr>
        <w:end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endnote>
  <w:endnote w:id="9">
    <w:p w14:paraId="5D83CF92" w14:textId="77777777" w:rsidR="00815DE9" w:rsidRPr="006860C6" w:rsidRDefault="00815DE9" w:rsidP="00815DE9">
      <w:pPr>
        <w:pStyle w:val="FootnoteText"/>
        <w:rPr>
          <w:rStyle w:val="Hyperlink"/>
        </w:rPr>
      </w:pPr>
      <w:r>
        <w:rPr>
          <w:rStyle w:val="EndnoteReference"/>
        </w:rPr>
        <w:end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24BEEFFA" w14:textId="77777777" w:rsidR="00815DE9" w:rsidRDefault="00815DE9" w:rsidP="00815DE9">
      <w:pPr>
        <w:pStyle w:val="EndnoteText"/>
      </w:pPr>
      <w:r w:rsidRPr="006860C6">
        <w:rPr>
          <w:rStyle w:val="Hyperlink"/>
        </w:rPr>
        <w:t>tm.dk/media/qo2dyzxy/erklaering-gl.pdf</w:t>
      </w:r>
      <w:r>
        <w:fldChar w:fldCharType="end"/>
      </w:r>
      <w:r>
        <w:t xml:space="preserve"> (accessed 1 April 2026).</w:t>
      </w:r>
    </w:p>
  </w:endnote>
  <w:endnote w:id="10">
    <w:p w14:paraId="4C091ECA" w14:textId="77777777" w:rsidR="00815DE9" w:rsidRDefault="00815DE9" w:rsidP="00815DE9">
      <w:pPr>
        <w:pStyle w:val="EndnoteText"/>
      </w:pPr>
      <w:r>
        <w:rPr>
          <w:rStyle w:val="EndnoteReference"/>
        </w:rPr>
        <w:end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8"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9" w:history="1">
        <w:r w:rsidRPr="0045714A">
          <w:rPr>
            <w:rStyle w:val="Hyperlink"/>
          </w:rPr>
          <w:t>https://www.act.nato.int/wp-content/uploads/2023/05/NATO-ACT-CDE-Handbook_A_Concept_Developers_Toolbox.pdf</w:t>
        </w:r>
      </w:hyperlink>
      <w:r w:rsidRPr="0045714A">
        <w:t xml:space="preserve"> (accessed 22 June 2026).</w:t>
      </w:r>
    </w:p>
  </w:endnote>
  <w:endnote w:id="11">
    <w:p w14:paraId="14EF047A" w14:textId="77777777" w:rsidR="00815DE9" w:rsidRDefault="00815DE9" w:rsidP="00815DE9">
      <w:pPr>
        <w:pStyle w:val="EndnoteText"/>
      </w:pPr>
      <w:r>
        <w:rPr>
          <w:rStyle w:val="EndnoteReference"/>
        </w:rPr>
        <w:endnoteRef/>
      </w:r>
      <w:r>
        <w:t xml:space="preserve"> TM 201</w:t>
      </w:r>
    </w:p>
  </w:endnote>
  <w:endnote w:id="12">
    <w:p w14:paraId="308B6EAC" w14:textId="77777777" w:rsidR="00815DE9" w:rsidRDefault="00815DE9" w:rsidP="00815DE9">
      <w:pPr>
        <w:pStyle w:val="EndnoteText"/>
      </w:pPr>
      <w:r>
        <w:rPr>
          <w:rStyle w:val="EndnoteReference"/>
        </w:rPr>
        <w:end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0" w:tgtFrame="_new" w:history="1">
        <w:r w:rsidRPr="003E5AA4">
          <w:rPr>
            <w:rStyle w:val="Hyperlink"/>
          </w:rPr>
          <w:t>https://www.thejournal.ie/new-apc-vehicles-maybe-coming-from-france-6623112-Feb2025/</w:t>
        </w:r>
      </w:hyperlink>
      <w:r w:rsidRPr="003E5AA4">
        <w:t xml:space="preserve"> (accessed 24 February 2026).</w:t>
      </w:r>
    </w:p>
  </w:endnote>
  <w:endnote w:id="13">
    <w:p w14:paraId="702198B8" w14:textId="77777777" w:rsidR="00815DE9" w:rsidRDefault="00815DE9" w:rsidP="00815DE9">
      <w:pPr>
        <w:pStyle w:val="EndnoteText"/>
      </w:pPr>
      <w:r>
        <w:rPr>
          <w:rStyle w:val="EndnoteReference"/>
        </w:rPr>
        <w:end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1" w:history="1">
        <w:r w:rsidRPr="002F0568">
          <w:rPr>
            <w:rStyle w:val="Hyperlink"/>
          </w:rPr>
          <w:t>https://www.mca-marines.org/wp-content/uploads/23-The-Ultra-Light.pdf</w:t>
        </w:r>
      </w:hyperlink>
      <w:r w:rsidRPr="002F0568">
        <w:t xml:space="preserve"> (accessed 21 June 2026).</w:t>
      </w:r>
    </w:p>
  </w:endnote>
  <w:endnote w:id="14">
    <w:p w14:paraId="53ECBBAF" w14:textId="77777777" w:rsidR="00815DE9" w:rsidRDefault="00815DE9" w:rsidP="00815DE9">
      <w:pPr>
        <w:pStyle w:val="EndnoteText"/>
      </w:pPr>
      <w:r>
        <w:rPr>
          <w:rStyle w:val="EndnoteReference"/>
        </w:rPr>
        <w:end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2" w:tgtFrame="_new" w:history="1">
        <w:r w:rsidRPr="001470B3">
          <w:rPr>
            <w:rStyle w:val="Hyperlink"/>
          </w:rPr>
          <w:t>https://www.ifri.org/en/studies/other-side-hill-benefits-and-false-promises-battlefield-transparency</w:t>
        </w:r>
      </w:hyperlink>
      <w:r w:rsidRPr="001470B3">
        <w:t xml:space="preserve"> (accessed 17 March 2026).</w:t>
      </w:r>
    </w:p>
  </w:endnote>
  <w:endnote w:id="15">
    <w:p w14:paraId="3BE917B2" w14:textId="77777777" w:rsidR="00815DE9" w:rsidRDefault="00815DE9" w:rsidP="00815DE9">
      <w:pPr>
        <w:pStyle w:val="EndnoteText"/>
      </w:pPr>
      <w:r>
        <w:rPr>
          <w:rStyle w:val="EndnoteReference"/>
        </w:rPr>
        <w:end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endnote>
  <w:endnote w:id="16">
    <w:p w14:paraId="783EC973" w14:textId="77777777" w:rsidR="00815DE9" w:rsidRDefault="00815DE9" w:rsidP="00815DE9">
      <w:pPr>
        <w:pStyle w:val="EndnoteText"/>
      </w:pPr>
      <w:r>
        <w:rPr>
          <w:rStyle w:val="EndnoteReference"/>
        </w:rPr>
        <w:end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3"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4" w:history="1">
        <w:r w:rsidRPr="00B47134">
          <w:rPr>
            <w:rStyle w:val="Hyperlink"/>
          </w:rPr>
          <w:t>https://mwi.westpoint.edu/creating-a-unit-optimized-for-urban-warfare/</w:t>
        </w:r>
      </w:hyperlink>
      <w:r w:rsidRPr="00B47134">
        <w:t xml:space="preserve"> (accessed 22 June 2026).</w:t>
      </w:r>
    </w:p>
  </w:endnote>
  <w:endnote w:id="17">
    <w:p w14:paraId="1BC32D0D" w14:textId="77777777" w:rsidR="00815DE9" w:rsidRDefault="00815DE9" w:rsidP="00815DE9">
      <w:pPr>
        <w:pStyle w:val="EndnoteText"/>
      </w:pPr>
      <w:r>
        <w:rPr>
          <w:rStyle w:val="EndnoteReference"/>
        </w:rPr>
        <w:end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5"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6"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7" w:tgtFrame="_new" w:history="1">
        <w:r w:rsidRPr="002405F1">
          <w:rPr>
            <w:rStyle w:val="Hyperlink"/>
          </w:rPr>
          <w:t>https://www.wsj.com/opinion/nato-has-seen-the-future-and-is-unprepared-887eaf0f</w:t>
        </w:r>
      </w:hyperlink>
      <w:r w:rsidRPr="002405F1">
        <w:t xml:space="preserve"> (accessed 13 February 2026).</w:t>
      </w:r>
    </w:p>
  </w:endnote>
  <w:endnote w:id="18">
    <w:p w14:paraId="29A41155" w14:textId="77777777" w:rsidR="00815DE9" w:rsidRPr="00BF0F0F" w:rsidRDefault="00815DE9" w:rsidP="00815DE9">
      <w:pPr>
        <w:pStyle w:val="FootnoteText"/>
      </w:pPr>
      <w:r>
        <w:rPr>
          <w:rStyle w:val="EndnoteReference"/>
        </w:rPr>
        <w:end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8" w:history="1">
        <w:r w:rsidRPr="00BF0F0F">
          <w:rPr>
            <w:rStyle w:val="Hyperlink"/>
          </w:rPr>
          <w:t>https://researchcentre.army.gov.au/sites/default/files/241104-Occasional-Paper-29-Lessons-Learnt-from-Ukraine.pdf.pdf</w:t>
        </w:r>
      </w:hyperlink>
      <w:r w:rsidRPr="00BF0F0F">
        <w:t xml:space="preserve"> (accessed 2 November 2025).</w:t>
      </w:r>
    </w:p>
    <w:p w14:paraId="1639B9E8" w14:textId="77777777" w:rsidR="00815DE9" w:rsidRDefault="00815DE9" w:rsidP="00815DE9">
      <w:pPr>
        <w:pStyle w:val="EndnoteText"/>
      </w:pPr>
    </w:p>
  </w:endnote>
  <w:endnote w:id="19">
    <w:p w14:paraId="3F9DAC75" w14:textId="77777777" w:rsidR="00815DE9" w:rsidRDefault="00815DE9" w:rsidP="00815DE9">
      <w:pPr>
        <w:pStyle w:val="EndnoteText"/>
      </w:pPr>
      <w:r>
        <w:rPr>
          <w:rStyle w:val="EndnoteReference"/>
        </w:rPr>
        <w:endnoteRef/>
      </w:r>
      <w:r>
        <w:t xml:space="preserve"> </w:t>
      </w:r>
      <w:r w:rsidRPr="009F3487">
        <w:t xml:space="preserve">Lanchester, F. W. </w:t>
      </w:r>
      <w:r w:rsidRPr="009F3487">
        <w:rPr>
          <w:i/>
          <w:iCs/>
        </w:rPr>
        <w:t>Aircraft in Warfare: The Dawn of the Fourth Arm</w:t>
      </w:r>
      <w:r w:rsidRPr="009F3487">
        <w:t>. London: Constable and Company Limited, 1916.</w:t>
      </w:r>
    </w:p>
  </w:endnote>
  <w:endnote w:id="20">
    <w:p w14:paraId="1EEDE0AB" w14:textId="77777777" w:rsidR="00815DE9" w:rsidRDefault="00815DE9" w:rsidP="00815DE9">
      <w:pPr>
        <w:pStyle w:val="EndnoteText"/>
      </w:pPr>
      <w:r>
        <w:rPr>
          <w:rStyle w:val="EndnoteReference"/>
        </w:rPr>
        <w:end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9" w:tgtFrame="_new" w:history="1">
        <w:r w:rsidRPr="009F3487">
          <w:rPr>
            <w:rStyle w:val="Hyperlink"/>
          </w:rPr>
          <w:t>https://www.jstor.org/stable/2538780</w:t>
        </w:r>
      </w:hyperlink>
      <w:r w:rsidRPr="009F3487">
        <w:t xml:space="preserve"> (accessed 29 March 2025).</w:t>
      </w:r>
    </w:p>
  </w:endnote>
  <w:endnote w:id="21">
    <w:p w14:paraId="26D0C3A2" w14:textId="77777777" w:rsidR="00815DE9" w:rsidRDefault="00815DE9" w:rsidP="00815DE9">
      <w:pPr>
        <w:pStyle w:val="EndnoteText"/>
      </w:pPr>
      <w:r>
        <w:rPr>
          <w:rStyle w:val="EndnoteReference"/>
        </w:rPr>
        <w:end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0" w:history="1">
        <w:r w:rsidRPr="00C12DA0">
          <w:rPr>
            <w:rStyle w:val="Hyperlink"/>
          </w:rPr>
          <w:t>https://static.rusi.org/mass-precision-strike-final.pdf</w:t>
        </w:r>
      </w:hyperlink>
      <w:r w:rsidRPr="00C12DA0">
        <w:t xml:space="preserve"> (accessed 16 December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72D2C" w14:textId="77777777" w:rsidR="00127BFF" w:rsidRDefault="00127BFF" w:rsidP="008F41DA">
      <w:pPr>
        <w:spacing w:after="0" w:line="240" w:lineRule="auto"/>
      </w:pPr>
      <w:r>
        <w:separator/>
      </w:r>
    </w:p>
  </w:footnote>
  <w:footnote w:type="continuationSeparator" w:id="0">
    <w:p w14:paraId="00102B6B" w14:textId="77777777" w:rsidR="00127BFF" w:rsidRDefault="00127BFF" w:rsidP="008F41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514C"/>
    <w:rsid w:val="00107A60"/>
    <w:rsid w:val="00126E0F"/>
    <w:rsid w:val="00127BF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0389D"/>
    <w:rsid w:val="00211892"/>
    <w:rsid w:val="0021641C"/>
    <w:rsid w:val="00220651"/>
    <w:rsid w:val="0022693E"/>
    <w:rsid w:val="00230C29"/>
    <w:rsid w:val="00232127"/>
    <w:rsid w:val="002405F1"/>
    <w:rsid w:val="00240A82"/>
    <w:rsid w:val="00252F20"/>
    <w:rsid w:val="00262708"/>
    <w:rsid w:val="002822C2"/>
    <w:rsid w:val="00287A7E"/>
    <w:rsid w:val="00292EE9"/>
    <w:rsid w:val="002C4F0D"/>
    <w:rsid w:val="002D603F"/>
    <w:rsid w:val="002E0EF9"/>
    <w:rsid w:val="002F0568"/>
    <w:rsid w:val="002F4644"/>
    <w:rsid w:val="0030344C"/>
    <w:rsid w:val="00327715"/>
    <w:rsid w:val="0033406E"/>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15DE9"/>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C7E0E"/>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endnotes.xml.rels><?xml version="1.0" encoding="UTF-8" standalone="yes"?>
<Relationships xmlns="http://schemas.openxmlformats.org/package/2006/relationships"><Relationship Id="rId8" Type="http://schemas.openxmlformats.org/officeDocument/2006/relationships/hyperlink" Target="https://eda.europa.eu/docs/default-source/eda-publications/2023-eu-capability-development-priorities.pdf" TargetMode="External"/><Relationship Id="rId13" Type="http://schemas.openxmlformats.org/officeDocument/2006/relationships/hyperlink" Target="https://www.gov.uk/government/news/british-army-experiments-with-dstl-study-on-urban-combat" TargetMode="External"/><Relationship Id="rId18" Type="http://schemas.openxmlformats.org/officeDocument/2006/relationships/hyperlink" Target="https://researchcentre.army.gov.au/sites/default/files/241104-Occasional-Paper-29-Lessons-Learnt-from-Ukraine.pdf.pdf" TargetMode="External"/><Relationship Id="rId3" Type="http://schemas.openxmlformats.org/officeDocument/2006/relationships/hyperlink" Target="https://doi-org.may.idm.oclc.org/10.1080/03071847.2022.2058601" TargetMode="External"/><Relationship Id="rId7" Type="http://schemas.openxmlformats.org/officeDocument/2006/relationships/hyperlink" Target="https://www.jstor.org/stable/2538981" TargetMode="External"/><Relationship Id="rId12" Type="http://schemas.openxmlformats.org/officeDocument/2006/relationships/hyperlink" Target="https://www.ifri.org/en/studies/other-side-hill-benefits-and-false-promises-battlefield-transparency" TargetMode="External"/><Relationship Id="rId17" Type="http://schemas.openxmlformats.org/officeDocument/2006/relationships/hyperlink" Target="https://www.wsj.com/opinion/nato-has-seen-the-future-and-is-unprepared-887eaf0f"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youtube.com/watch?v=fkE1H-jy3NE" TargetMode="External"/><Relationship Id="rId20" Type="http://schemas.openxmlformats.org/officeDocument/2006/relationships/hyperlink" Target="https://static.rusi.org/mass-precision-strike-final.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mca-marines.org/wp-content/uploads/23-The-Ultra-Light.pdf"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www.defense.gouv.fr/terre/actualites/gevaudan-26-legionnaires-au-combat" TargetMode="External"/><Relationship Id="rId10" Type="http://schemas.openxmlformats.org/officeDocument/2006/relationships/hyperlink" Target="https://www.thejournal.ie/new-apc-vehicles-maybe-coming-from-france-6623112-Feb2025/" TargetMode="External"/><Relationship Id="rId19" Type="http://schemas.openxmlformats.org/officeDocument/2006/relationships/hyperlink" Target="https://www.jstor.org/stable/2538780"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www.act.nato.int/wp-content/uploads/2023/05/NATO-ACT-CDE-Handbook_A_Concept_Developers_Toolbox.pdf" TargetMode="External"/><Relationship Id="rId14" Type="http://schemas.openxmlformats.org/officeDocument/2006/relationships/hyperlink" Target="https://mwi.westpoint.edu/creating-a-unit-optimized-for-urban-warf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8</Pages>
  <Words>1948</Words>
  <Characters>11107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18</cp:revision>
  <dcterms:created xsi:type="dcterms:W3CDTF">2026-06-23T08:56:00Z</dcterms:created>
  <dcterms:modified xsi:type="dcterms:W3CDTF">2026-06-24T10:52:00Z</dcterms:modified>
</cp:coreProperties>
</file>