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0E244" w14:textId="594A2676" w:rsidR="00D72570" w:rsidRDefault="00126E0F" w:rsidP="00AF0C93">
      <w:pPr>
        <w:pStyle w:val="Heading2"/>
      </w:pPr>
      <w:r>
        <w:t xml:space="preserve">ADAM </w:t>
      </w:r>
      <w:r w:rsidR="00C50339">
        <w:t>1</w:t>
      </w:r>
      <w:r w:rsidR="00C32386">
        <w:t>959</w:t>
      </w:r>
      <w:r w:rsidR="00C50339">
        <w:t xml:space="preserve"> WORDS</w:t>
      </w:r>
    </w:p>
    <w:p w14:paraId="07CD3EEA" w14:textId="054B2571" w:rsidR="004C3B35" w:rsidRDefault="004C3B35" w:rsidP="00947EB5">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sidR="007561E8">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sidR="00277853">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00D65BB3" w:rsidRPr="00D65BB3">
        <w:rPr>
          <w:rFonts w:asciiTheme="minorHAnsi" w:eastAsiaTheme="minorHAnsi" w:hAnsiTheme="minorHAnsi" w:cstheme="minorBidi"/>
          <w:color w:val="auto"/>
          <w:sz w:val="24"/>
          <w:szCs w:val="24"/>
        </w:rPr>
        <w:t>Scholars divide between those who</w:t>
      </w:r>
      <w:r w:rsidR="00C02D2C">
        <w:rPr>
          <w:rFonts w:asciiTheme="minorHAnsi" w:eastAsiaTheme="minorHAnsi" w:hAnsiTheme="minorHAnsi" w:cstheme="minorBidi"/>
          <w:color w:val="auto"/>
          <w:sz w:val="24"/>
          <w:szCs w:val="24"/>
        </w:rPr>
        <w:t xml:space="preserve"> ask whether </w:t>
      </w:r>
      <w:r w:rsidR="00D65BB3" w:rsidRPr="00D65BB3">
        <w:rPr>
          <w:rFonts w:asciiTheme="minorHAnsi" w:eastAsiaTheme="minorHAnsi" w:hAnsiTheme="minorHAnsi" w:cstheme="minorBidi"/>
          <w:color w:val="auto"/>
          <w:sz w:val="24"/>
          <w:szCs w:val="24"/>
        </w:rPr>
        <w:t>manoeuvre is “dead”</w:t>
      </w:r>
      <w:r w:rsidR="00613717">
        <w:rPr>
          <w:rStyle w:val="EndnoteReference"/>
          <w:rFonts w:asciiTheme="minorHAnsi" w:eastAsiaTheme="minorHAnsi" w:hAnsiTheme="minorHAnsi" w:cstheme="minorBidi"/>
          <w:color w:val="auto"/>
          <w:sz w:val="24"/>
          <w:szCs w:val="24"/>
        </w:rPr>
        <w:endnoteReference w:id="3"/>
      </w:r>
      <w:r w:rsidR="00BF1C5A">
        <w:rPr>
          <w:rFonts w:asciiTheme="minorHAnsi" w:eastAsiaTheme="minorHAnsi" w:hAnsiTheme="minorHAnsi" w:cstheme="minorBidi"/>
          <w:color w:val="auto"/>
          <w:sz w:val="24"/>
          <w:szCs w:val="24"/>
        </w:rPr>
        <w:t xml:space="preserve"> </w:t>
      </w:r>
      <w:r w:rsidR="00D65BB3">
        <w:rPr>
          <w:rFonts w:asciiTheme="minorHAnsi" w:eastAsiaTheme="minorHAnsi" w:hAnsiTheme="minorHAnsi" w:cstheme="minorBidi"/>
          <w:color w:val="auto"/>
          <w:sz w:val="24"/>
          <w:szCs w:val="24"/>
        </w:rPr>
        <w:t xml:space="preserve">and </w:t>
      </w:r>
      <w:r w:rsidR="00D65BB3" w:rsidRPr="00D65BB3">
        <w:rPr>
          <w:rFonts w:asciiTheme="minorHAnsi" w:eastAsiaTheme="minorHAnsi" w:hAnsiTheme="minorHAnsi" w:cstheme="minorBidi"/>
          <w:color w:val="auto"/>
          <w:sz w:val="24"/>
          <w:szCs w:val="24"/>
        </w:rPr>
        <w:t>those who argue that it must adapt to survive</w:t>
      </w:r>
      <w:r w:rsidR="00BF1C5A">
        <w:rPr>
          <w:rFonts w:asciiTheme="minorHAnsi" w:eastAsiaTheme="minorHAnsi" w:hAnsiTheme="minorHAnsi" w:cstheme="minorBidi"/>
          <w:color w:val="auto"/>
          <w:sz w:val="24"/>
          <w:szCs w:val="24"/>
        </w:rPr>
        <w:t>.</w:t>
      </w:r>
      <w:r w:rsidR="00613717">
        <w:rPr>
          <w:rStyle w:val="EndnoteReference"/>
          <w:rFonts w:asciiTheme="minorHAnsi" w:eastAsiaTheme="minorHAnsi" w:hAnsiTheme="minorHAnsi" w:cstheme="minorBidi"/>
          <w:color w:val="auto"/>
          <w:sz w:val="24"/>
          <w:szCs w:val="24"/>
        </w:rPr>
        <w:endnoteReference w:id="4"/>
      </w:r>
      <w:r w:rsidR="00BF1C5A">
        <w:rPr>
          <w:rFonts w:asciiTheme="minorHAnsi" w:eastAsiaTheme="minorHAnsi" w:hAnsiTheme="minorHAnsi" w:cstheme="minorBidi"/>
          <w:color w:val="auto"/>
          <w:sz w:val="24"/>
          <w:szCs w:val="24"/>
        </w:rPr>
        <w:t xml:space="preserve"> </w:t>
      </w:r>
      <w:r w:rsidR="005F7AFB"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4AD83F48" w14:textId="1A7D9ECA" w:rsidR="00E42B4A" w:rsidRDefault="00947EB5" w:rsidP="00947EB5">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sidR="00613717">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sidR="00613717">
        <w:rPr>
          <w:rStyle w:val="EndnoteReference"/>
          <w:rFonts w:asciiTheme="minorHAnsi" w:eastAsiaTheme="minorHAnsi" w:hAnsiTheme="minorHAnsi" w:cstheme="minorBidi"/>
          <w:color w:val="auto"/>
          <w:sz w:val="24"/>
          <w:szCs w:val="24"/>
        </w:rPr>
        <w:endnoteReference w:id="6"/>
      </w:r>
      <w:r w:rsidR="00E2362A">
        <w:rPr>
          <w:rFonts w:asciiTheme="minorHAnsi" w:eastAsiaTheme="minorHAnsi" w:hAnsiTheme="minorHAnsi" w:cstheme="minorBidi"/>
          <w:color w:val="auto"/>
          <w:sz w:val="24"/>
          <w:szCs w:val="24"/>
        </w:rPr>
        <w:t xml:space="preserve"> — </w:t>
      </w:r>
      <w:r>
        <w:rPr>
          <w:rFonts w:asciiTheme="minorHAnsi" w:eastAsiaTheme="minorHAnsi" w:hAnsiTheme="minorHAnsi" w:cstheme="minorBidi"/>
          <w:color w:val="auto"/>
          <w:sz w:val="24"/>
          <w:szCs w:val="24"/>
        </w:rPr>
        <w:t>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xml:space="preserve">. The military is tasked </w:t>
      </w:r>
      <w:r w:rsidR="00E2362A">
        <w:rPr>
          <w:rFonts w:asciiTheme="minorHAnsi" w:eastAsiaTheme="minorHAnsi" w:hAnsiTheme="minorHAnsi" w:cstheme="minorBidi"/>
          <w:color w:val="auto"/>
          <w:sz w:val="24"/>
          <w:szCs w:val="24"/>
        </w:rPr>
        <w:t xml:space="preserve">to </w:t>
      </w:r>
      <w:r>
        <w:rPr>
          <w:rFonts w:asciiTheme="minorHAnsi" w:eastAsiaTheme="minorHAnsi" w:hAnsiTheme="minorHAnsi" w:cstheme="minorBidi"/>
          <w:color w:val="auto"/>
          <w:sz w:val="24"/>
          <w:szCs w:val="24"/>
        </w:rPr>
        <w:t>“</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6769E7F3" w14:textId="49F57816" w:rsidR="00947EB5" w:rsidRDefault="007F74B6" w:rsidP="00947EB5">
      <w:pPr>
        <w:pStyle w:val="Heading2"/>
        <w:rPr>
          <w:rFonts w:asciiTheme="minorHAnsi" w:eastAsiaTheme="minorHAnsi" w:hAnsiTheme="minorHAnsi" w:cstheme="minorBidi"/>
          <w:color w:val="auto"/>
          <w:sz w:val="24"/>
          <w:szCs w:val="24"/>
        </w:rPr>
      </w:pPr>
      <w:r w:rsidRPr="007F74B6">
        <w:rPr>
          <w:rFonts w:asciiTheme="minorHAnsi" w:eastAsiaTheme="minorHAnsi" w:hAnsiTheme="minorHAnsi" w:cstheme="minorBidi"/>
          <w:color w:val="auto"/>
          <w:sz w:val="24"/>
          <w:szCs w:val="24"/>
        </w:rPr>
        <w:t>Territorial defence is no longer implausible. It remains politically constrained and under-resourced, but force design cannot assume Europe’s post-1945 “long peace”</w:t>
      </w:r>
      <w:r w:rsidR="00613717">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00947EB5" w:rsidRPr="00CA53E2">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210E07">
        <w:rPr>
          <w:rFonts w:asciiTheme="minorHAnsi" w:eastAsiaTheme="minorHAnsi" w:hAnsiTheme="minorHAnsi" w:cstheme="minorBidi"/>
          <w:color w:val="auto"/>
          <w:sz w:val="24"/>
          <w:szCs w:val="24"/>
        </w:rPr>
        <w:t>The d</w:t>
      </w:r>
      <w:r w:rsidR="00BD22DF">
        <w:rPr>
          <w:rFonts w:asciiTheme="minorHAnsi" w:eastAsiaTheme="minorHAnsi" w:hAnsiTheme="minorHAnsi" w:cstheme="minorBidi"/>
          <w:color w:val="auto"/>
          <w:sz w:val="24"/>
          <w:szCs w:val="24"/>
        </w:rPr>
        <w:t>ispute over</w:t>
      </w:r>
      <w:r w:rsidR="00A5525D">
        <w:rPr>
          <w:rFonts w:asciiTheme="minorHAnsi" w:eastAsiaTheme="minorHAnsi" w:hAnsiTheme="minorHAnsi" w:cstheme="minorBidi"/>
          <w:color w:val="auto"/>
          <w:sz w:val="24"/>
          <w:szCs w:val="24"/>
        </w:rPr>
        <w:t xml:space="preserve"> </w:t>
      </w:r>
      <w:r w:rsidR="00947EB5" w:rsidRPr="00B46909">
        <w:rPr>
          <w:rFonts w:asciiTheme="minorHAnsi" w:eastAsiaTheme="minorHAnsi" w:hAnsiTheme="minorHAnsi" w:cstheme="minorBidi"/>
          <w:color w:val="auto"/>
          <w:sz w:val="24"/>
          <w:szCs w:val="24"/>
        </w:rPr>
        <w:t>Greenland</w:t>
      </w:r>
      <w:r w:rsidR="00613717">
        <w:rPr>
          <w:rStyle w:val="EndnoteReference"/>
          <w:rFonts w:asciiTheme="minorHAnsi" w:eastAsiaTheme="minorHAnsi" w:hAnsiTheme="minorHAnsi" w:cstheme="minorBidi"/>
          <w:color w:val="auto"/>
          <w:sz w:val="24"/>
          <w:szCs w:val="24"/>
        </w:rPr>
        <w:endnoteReference w:id="8"/>
      </w:r>
      <w:r w:rsidR="00947EB5" w:rsidRPr="00B46909">
        <w:rPr>
          <w:rFonts w:asciiTheme="minorHAnsi" w:eastAsiaTheme="minorHAnsi" w:hAnsiTheme="minorHAnsi" w:cstheme="minorBidi"/>
          <w:color w:val="auto"/>
          <w:sz w:val="24"/>
          <w:szCs w:val="24"/>
        </w:rPr>
        <w:t xml:space="preserve"> and Denmark’s response</w:t>
      </w:r>
      <w:r w:rsidR="00613717">
        <w:rPr>
          <w:rStyle w:val="EndnoteReference"/>
          <w:rFonts w:asciiTheme="minorHAnsi" w:eastAsiaTheme="minorHAnsi" w:hAnsiTheme="minorHAnsi" w:cstheme="minorBidi"/>
          <w:color w:val="auto"/>
          <w:sz w:val="24"/>
          <w:szCs w:val="24"/>
        </w:rPr>
        <w:endnoteReference w:id="9"/>
      </w:r>
      <w:r w:rsidR="00947EB5" w:rsidRPr="00B46909">
        <w:rPr>
          <w:rFonts w:asciiTheme="minorHAnsi" w:eastAsiaTheme="minorHAnsi" w:hAnsiTheme="minorHAnsi" w:cstheme="minorBidi"/>
          <w:color w:val="auto"/>
          <w:sz w:val="24"/>
          <w:szCs w:val="24"/>
        </w:rPr>
        <w:t xml:space="preserve">  </w:t>
      </w:r>
      <w:r w:rsidR="00530028" w:rsidRPr="00530028">
        <w:rPr>
          <w:rFonts w:asciiTheme="minorHAnsi" w:eastAsiaTheme="minorHAnsi" w:hAnsiTheme="minorHAnsi" w:cstheme="minorBidi"/>
          <w:color w:val="auto"/>
          <w:sz w:val="24"/>
          <w:szCs w:val="24"/>
        </w:rPr>
        <w:t>show how quickly strategically marginal scenarios can become plausible</w:t>
      </w:r>
      <w:r w:rsidR="002E5AF4">
        <w:rPr>
          <w:rFonts w:asciiTheme="minorHAnsi" w:eastAsiaTheme="minorHAnsi" w:hAnsiTheme="minorHAnsi" w:cstheme="minorBidi"/>
          <w:color w:val="auto"/>
          <w:sz w:val="24"/>
          <w:szCs w:val="24"/>
        </w:rPr>
        <w:t xml:space="preserve"> planning problems</w:t>
      </w:r>
      <w:r w:rsidR="00BD22DF">
        <w:rPr>
          <w:rFonts w:asciiTheme="minorHAnsi" w:eastAsiaTheme="minorHAnsi" w:hAnsiTheme="minorHAnsi" w:cstheme="minorBidi"/>
          <w:color w:val="auto"/>
          <w:sz w:val="24"/>
          <w:szCs w:val="24"/>
        </w:rPr>
        <w:t>.</w:t>
      </w:r>
      <w:r w:rsidR="00A5525D" w:rsidRPr="00A5525D">
        <w:t xml:space="preserve"> </w:t>
      </w:r>
      <w:r w:rsidR="00A5525D"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sidR="00CE7751">
        <w:rPr>
          <w:rFonts w:asciiTheme="minorHAnsi" w:eastAsiaTheme="minorHAnsi" w:hAnsiTheme="minorHAnsi" w:cstheme="minorBidi"/>
          <w:color w:val="auto"/>
          <w:sz w:val="24"/>
          <w:szCs w:val="24"/>
        </w:rPr>
        <w:t>future conflict</w:t>
      </w:r>
      <w:r w:rsidR="00A5525D" w:rsidRPr="00A5525D">
        <w:rPr>
          <w:rFonts w:asciiTheme="minorHAnsi" w:eastAsiaTheme="minorHAnsi" w:hAnsiTheme="minorHAnsi" w:cstheme="minorBidi"/>
          <w:color w:val="auto"/>
          <w:sz w:val="24"/>
          <w:szCs w:val="24"/>
        </w:rPr>
        <w:t>.</w:t>
      </w:r>
      <w:r w:rsidR="00947EB5">
        <w:rPr>
          <w:rFonts w:asciiTheme="minorHAnsi" w:eastAsiaTheme="minorHAnsi" w:hAnsiTheme="minorHAnsi" w:cstheme="minorBidi"/>
          <w:color w:val="auto"/>
          <w:sz w:val="24"/>
          <w:szCs w:val="24"/>
        </w:rPr>
        <w:t xml:space="preserve"> </w:t>
      </w:r>
      <w:r w:rsidR="00BD22DF"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00BF065B" w:rsidRPr="00BF065B">
        <w:rPr>
          <w:rFonts w:asciiTheme="minorHAnsi" w:eastAsiaTheme="minorHAnsi" w:hAnsiTheme="minorHAnsi" w:cstheme="minorBidi"/>
          <w:color w:val="auto"/>
          <w:sz w:val="24"/>
          <w:szCs w:val="24"/>
        </w:rPr>
        <w:t xml:space="preserve"> That makes the section</w:t>
      </w:r>
      <w:r w:rsidR="00BF065B">
        <w:rPr>
          <w:rFonts w:asciiTheme="minorHAnsi" w:eastAsiaTheme="minorHAnsi" w:hAnsiTheme="minorHAnsi" w:cstheme="minorBidi"/>
          <w:color w:val="auto"/>
          <w:sz w:val="24"/>
          <w:szCs w:val="24"/>
        </w:rPr>
        <w:t xml:space="preserve"> the</w:t>
      </w:r>
      <w:r w:rsidR="00BF065B" w:rsidRPr="00BF065B">
        <w:rPr>
          <w:rFonts w:asciiTheme="minorHAnsi" w:eastAsiaTheme="minorHAnsi" w:hAnsiTheme="minorHAnsi" w:cstheme="minorBidi"/>
          <w:color w:val="auto"/>
          <w:sz w:val="24"/>
          <w:szCs w:val="24"/>
        </w:rPr>
        <w:t xml:space="preserve"> critical unit of analysis. </w:t>
      </w:r>
    </w:p>
    <w:p w14:paraId="38021E4B" w14:textId="77777777" w:rsidR="00CC44E2" w:rsidRDefault="00CC44E2">
      <w:r>
        <w:br w:type="page"/>
      </w:r>
    </w:p>
    <w:p w14:paraId="5AB6E8DB" w14:textId="6FA6921A" w:rsidR="003C060B" w:rsidRDefault="008C5DFF" w:rsidP="00947EB5">
      <w:r w:rsidRPr="00174027">
        <w:lastRenderedPageBreak/>
        <w:t>Ireland’s light infantry section is not an equipment problem; it is a structure overtaken by the threat.</w:t>
      </w:r>
      <w:r>
        <w:t xml:space="preserve"> </w:t>
      </w:r>
      <w:r w:rsidR="006C15B4" w:rsidRPr="00803FC3">
        <w:t>Capability is sometimes reduced to equipment, but it is better understood as the synthesis described by DOTMLPF-I</w:t>
      </w:r>
      <w:r w:rsidR="006C15B4">
        <w:t>.</w:t>
      </w:r>
      <w:r w:rsidR="00613717">
        <w:rPr>
          <w:rStyle w:val="EndnoteReference"/>
        </w:rPr>
        <w:endnoteReference w:id="10"/>
      </w:r>
      <w:r w:rsidR="00613717" w:rsidRPr="00174027">
        <w:t xml:space="preserve"> </w:t>
      </w:r>
      <w:r w:rsidR="00947EB5">
        <w:t>O</w:t>
      </w:r>
      <w:r w:rsidR="00947EB5" w:rsidRPr="00803FC3">
        <w:t>n that basis</w:t>
      </w:r>
      <w:r w:rsidR="00D427C5">
        <w:t>,</w:t>
      </w:r>
      <w:r w:rsidR="00947EB5" w:rsidRPr="00803FC3">
        <w:t xml:space="preserve"> the section fails against nearly every line. Its doctrine remains that of a foot-mobile light infantry section, </w:t>
      </w:r>
      <w:r w:rsidR="00947EB5" w:rsidRPr="00803FC3">
        <w:rPr>
          <w:highlight w:val="yellow"/>
        </w:rPr>
        <w:t>never reconciled with the vehicles now built to carry it</w:t>
      </w:r>
      <w:r w:rsidR="00947EB5" w:rsidRPr="00803FC3">
        <w:t>.</w:t>
      </w:r>
      <w:r w:rsidR="00277853" w:rsidRPr="00277853">
        <w:rPr>
          <w:rStyle w:val="EndnoteReference"/>
        </w:rPr>
        <w:t xml:space="preserve"> </w:t>
      </w:r>
      <w:r w:rsidR="00277853">
        <w:rPr>
          <w:rStyle w:val="EndnoteReference"/>
        </w:rPr>
        <w:endnoteReference w:id="11"/>
      </w:r>
      <w:r w:rsidR="00947EB5" w:rsidRPr="00803FC3">
        <w:t xml:space="preserve"> Its organisation may now be rebuilt around vehicle capacity,</w:t>
      </w:r>
      <w:r w:rsidR="00613717">
        <w:rPr>
          <w:rStyle w:val="EndnoteReference"/>
        </w:rPr>
        <w:endnoteReference w:id="12"/>
      </w:r>
      <w:r w:rsidR="00947EB5" w:rsidRPr="008762BE">
        <w:rPr>
          <w:rStyle w:val="FootnoteReference"/>
        </w:rPr>
        <w:t xml:space="preserve"> </w:t>
      </w:r>
      <w:r w:rsidR="00947EB5" w:rsidRPr="00803FC3">
        <w:t xml:space="preserve">on the assumption that one section must fit one carrier </w:t>
      </w:r>
      <w:r w:rsidR="00947EB5" w:rsidRPr="00C2058B">
        <w:rPr>
          <w:strike/>
        </w:rPr>
        <w:t>— a constraint more appropriate for mechanised and armoured formations</w:t>
      </w:r>
      <w:r w:rsidR="00947EB5">
        <w:t xml:space="preserve">. </w:t>
      </w:r>
      <w:r w:rsidR="00947EB5" w:rsidRPr="00803FC3">
        <w:t>It</w:t>
      </w:r>
      <w:r w:rsidR="00947EB5">
        <w:t xml:space="preserve"> should</w:t>
      </w:r>
      <w:r w:rsidR="00947EB5" w:rsidRPr="00803FC3">
        <w:t xml:space="preserve"> not bind light infantry, which </w:t>
      </w:r>
      <w:r w:rsidR="00A83B46">
        <w:t>can move</w:t>
      </w:r>
      <w:r w:rsidR="00947EB5" w:rsidRPr="00803FC3">
        <w:t xml:space="preserve"> on foot or in soft-skin vehicles, increasingly all-terrain </w:t>
      </w:r>
      <w:r w:rsidR="00947EB5">
        <w:t>vehicles</w:t>
      </w:r>
      <w:r w:rsidR="00D427C5">
        <w:t xml:space="preserve"> </w:t>
      </w:r>
      <w:r w:rsidR="00947EB5" w:rsidRPr="00803FC3">
        <w:t>such as the ULTV.</w:t>
      </w:r>
      <w:r w:rsidR="00613717">
        <w:rPr>
          <w:rStyle w:val="EndnoteReference"/>
        </w:rPr>
        <w:endnoteReference w:id="13"/>
      </w:r>
      <w:r w:rsidR="00947EB5" w:rsidRPr="00803FC3">
        <w:rPr>
          <w:rStyle w:val="FootnoteReference"/>
        </w:rPr>
        <w:t xml:space="preserve"> </w:t>
      </w:r>
      <w:r w:rsidR="00947EB5">
        <w:rPr>
          <w:rStyle w:val="FootnoteReference"/>
        </w:rPr>
        <w:t xml:space="preserve"> </w:t>
      </w:r>
      <w:r w:rsidR="00947EB5">
        <w:t>I</w:t>
      </w:r>
      <w:r w:rsidR="00947EB5" w:rsidRPr="00227DF4">
        <w:t>t</w:t>
      </w:r>
      <w:r w:rsidR="00214E78">
        <w:t xml:space="preserve"> still trains </w:t>
      </w:r>
      <w:r w:rsidR="00D427C5">
        <w:t>20</w:t>
      </w:r>
      <w:r w:rsidR="00D427C5" w:rsidRPr="00D427C5">
        <w:rPr>
          <w:vertAlign w:val="superscript"/>
        </w:rPr>
        <w:t>th</w:t>
      </w:r>
      <w:r w:rsidR="00D427C5">
        <w:t xml:space="preserve"> century </w:t>
      </w:r>
      <w:r w:rsidR="00947EB5" w:rsidRPr="00227DF4">
        <w:t xml:space="preserve">conventional </w:t>
      </w:r>
      <w:r w:rsidR="00D427C5">
        <w:t>tactics</w:t>
      </w:r>
      <w:r w:rsidR="00947EB5" w:rsidRPr="00227DF4">
        <w:t xml:space="preserve"> and </w:t>
      </w:r>
      <w:r w:rsidR="00214E78">
        <w:t xml:space="preserve">for </w:t>
      </w:r>
      <w:r w:rsidR="00947EB5" w:rsidRPr="00227DF4">
        <w:t xml:space="preserve">the peace-support tasks of the decades since. </w:t>
      </w:r>
      <w:r w:rsidR="007B7BC3" w:rsidRPr="007B7BC3">
        <w:t>It neglects</w:t>
      </w:r>
      <w:r w:rsidR="006E5232">
        <w:t xml:space="preserve"> dispersion, </w:t>
      </w:r>
      <w:r w:rsidR="007B7BC3" w:rsidRPr="007B7BC3">
        <w:t>“infobesity”</w:t>
      </w:r>
      <w:r w:rsidR="00277853" w:rsidRPr="00277853">
        <w:rPr>
          <w:rStyle w:val="EndnoteReference"/>
        </w:rPr>
        <w:t xml:space="preserve"> </w:t>
      </w:r>
      <w:r w:rsidR="00277853">
        <w:rPr>
          <w:rStyle w:val="EndnoteReference"/>
        </w:rPr>
        <w:endnoteReference w:id="14"/>
      </w:r>
      <w:r w:rsidR="00277853" w:rsidRPr="007B7BC3">
        <w:t xml:space="preserve"> </w:t>
      </w:r>
      <w:r w:rsidR="007B7BC3" w:rsidRPr="007B7BC3">
        <w:t xml:space="preserve"> — the cognitive burden of sensor-rich combat—</w:t>
      </w:r>
      <w:r w:rsidR="007B7BC3">
        <w:t xml:space="preserve"> </w:t>
      </w:r>
      <w:r w:rsidR="00947EB5" w:rsidRPr="00227DF4">
        <w:t>and</w:t>
      </w:r>
      <w:r w:rsidR="005C0AE1">
        <w:t xml:space="preserve"> the</w:t>
      </w:r>
      <w:r w:rsidR="00947EB5" w:rsidRPr="00227DF4">
        <w:t xml:space="preserve"> exposure of a section that can be found and struck on a checkpoint or logistics convoy as readily as in battle, without higher-echelon cover. </w:t>
      </w:r>
      <w:r w:rsidR="003C060B" w:rsidRPr="003C060B">
        <w:t xml:space="preserve">Its materiel reflects a Cold War mentality. Its leadership is not configured for mission command under persistent observation. </w:t>
      </w:r>
      <w:r w:rsidR="00335369">
        <w:t>It fields</w:t>
      </w:r>
      <w:r w:rsidR="003C060B" w:rsidRPr="003C060B">
        <w:t xml:space="preserve"> too few soldiers to carry the cognitive load, operate the new systems and remain cohesive once dispersed. Adding </w:t>
      </w:r>
      <w:proofErr w:type="gramStart"/>
      <w:r w:rsidR="003C060B" w:rsidRPr="003C060B">
        <w:t>drones</w:t>
      </w:r>
      <w:proofErr w:type="gramEnd"/>
      <w:r w:rsidR="003C060B" w:rsidRPr="003C060B">
        <w:t xml:space="preserve"> changes none of that. </w:t>
      </w:r>
    </w:p>
    <w:p w14:paraId="1ED1A5A1" w14:textId="73770BD0" w:rsidR="00B47134" w:rsidRPr="00B47134" w:rsidRDefault="00B47134" w:rsidP="00B47134">
      <w:r w:rsidRPr="00B47134">
        <w:t xml:space="preserve">These are not uniquely Irish problems. Section design, vehicle capacity, organic support weapons and UAS integration are being reconsidered elsewhere. French RI 2030 reform shows one mechanised </w:t>
      </w:r>
      <w:r w:rsidR="001A7BA9">
        <w:t>solution</w:t>
      </w:r>
      <w:r w:rsidRPr="00B47134">
        <w:t>: the vehicle acts as a mission-configurable “weapons store”, anti-armour is distributed across combat groups</w:t>
      </w:r>
      <w:r w:rsidR="004D0C8F">
        <w:t xml:space="preserve"> and</w:t>
      </w:r>
      <w:r w:rsidRPr="00B47134">
        <w:t xml:space="preserve"> platoon</w:t>
      </w:r>
      <w:r w:rsidR="004D0C8F">
        <w:t>-</w:t>
      </w:r>
      <w:r w:rsidRPr="00B47134">
        <w:t>level</w:t>
      </w:r>
      <w:r w:rsidR="004D0C8F">
        <w:t xml:space="preserve"> UAS while</w:t>
      </w:r>
      <w:r w:rsidRPr="00B47134">
        <w:t xml:space="preserve"> heavier UAS, EW and robotic effects remain </w:t>
      </w:r>
      <w:r w:rsidR="004D0C8F">
        <w:t>separate</w:t>
      </w:r>
      <w:r w:rsidRPr="00B47134">
        <w:t>.</w:t>
      </w:r>
      <w:r w:rsidR="007566C6">
        <w:rPr>
          <w:rStyle w:val="EndnoteReference"/>
        </w:rPr>
        <w:endnoteReference w:id="15"/>
      </w:r>
      <w:r w:rsidR="008E0498">
        <w:t xml:space="preserve"> </w:t>
      </w:r>
      <w:r w:rsidR="00A72C99" w:rsidRPr="00A72C99">
        <w:t>For a mechanised force, that is coherent</w:t>
      </w:r>
      <w:r w:rsidR="00127967">
        <w:t>.</w:t>
      </w:r>
      <w:r w:rsidR="00A72C99" w:rsidRPr="00A72C99">
        <w:t xml:space="preserve"> For Irish light</w:t>
      </w:r>
      <w:r w:rsidR="004D0C8F">
        <w:t xml:space="preserve"> and mechanised</w:t>
      </w:r>
      <w:r w:rsidR="00A72C99" w:rsidRPr="00A72C99">
        <w:t xml:space="preserve"> infantry, it</w:t>
      </w:r>
      <w:r w:rsidR="004D0C8F">
        <w:t xml:space="preserve"> may not </w:t>
      </w:r>
      <w:r w:rsidR="001C75AE">
        <w:t>suffice</w:t>
      </w:r>
      <w:r w:rsidR="00A72C99" w:rsidRPr="00A72C99">
        <w:t xml:space="preserve">. </w:t>
      </w:r>
      <w:r w:rsidRPr="00B47134">
        <w:t xml:space="preserve">The British Army’s experimental </w:t>
      </w:r>
      <w:r w:rsidR="00127967" w:rsidRPr="00294FE3">
        <w:rPr>
          <w:i/>
          <w:iCs/>
        </w:rPr>
        <w:t>urban-optimised</w:t>
      </w:r>
      <w:r w:rsidR="00127967">
        <w:t xml:space="preserve"> </w:t>
      </w:r>
      <w:r w:rsidRPr="00B47134">
        <w:t xml:space="preserve">Phalanx Platoon </w:t>
      </w:r>
      <w:r>
        <w:t>C</w:t>
      </w:r>
      <w:r w:rsidRPr="00B47134">
        <w:t>oncept</w:t>
      </w:r>
      <w:r w:rsidR="005453F0">
        <w:rPr>
          <w:rStyle w:val="EndnoteReference"/>
        </w:rPr>
        <w:endnoteReference w:id="16"/>
      </w:r>
      <w:r w:rsidRPr="00B47134">
        <w:t xml:space="preserve"> points in the same direction from a different angle. Yet adaptation remains uneven. Exercises such as </w:t>
      </w:r>
      <w:r w:rsidR="00F92358" w:rsidRPr="00F92358">
        <w:rPr>
          <w:i/>
          <w:iCs/>
        </w:rPr>
        <w:t>Gévaudan 26</w:t>
      </w:r>
      <w:r w:rsidR="00F92358" w:rsidRPr="003C060B">
        <w:t xml:space="preserve"> </w:t>
      </w:r>
      <w:r w:rsidR="00F92358">
        <w:t xml:space="preserve">and </w:t>
      </w:r>
      <w:r w:rsidR="00F92358" w:rsidRPr="00F92358">
        <w:rPr>
          <w:i/>
          <w:iCs/>
        </w:rPr>
        <w:t>Hedgehog</w:t>
      </w:r>
      <w:r w:rsidR="00694A56">
        <w:rPr>
          <w:rStyle w:val="EndnoteReference"/>
          <w:i/>
          <w:iCs/>
        </w:rPr>
        <w:endnoteReference w:id="17"/>
      </w:r>
      <w:r w:rsidR="00B86BAF">
        <w:t xml:space="preserve"> </w:t>
      </w:r>
      <w:r w:rsidRPr="00B47134">
        <w:t xml:space="preserve">suggest that integrating drones is easier than adapting </w:t>
      </w:r>
      <w:r w:rsidR="0021641C">
        <w:t>to the implications of</w:t>
      </w:r>
      <w:r w:rsidRPr="00B47134">
        <w:t xml:space="preserve"> persistent observation. The challenge is therefore not acquiring uncrewed </w:t>
      </w:r>
      <w:proofErr w:type="gramStart"/>
      <w:r w:rsidRPr="00B47134">
        <w:t>systems, but</w:t>
      </w:r>
      <w:proofErr w:type="gramEnd"/>
      <w:r w:rsidRPr="00B47134">
        <w:t xml:space="preserve"> redesigning the infantry section around the battlefield they have created.</w:t>
      </w:r>
      <w:r w:rsidR="00694A56">
        <w:rPr>
          <w:rStyle w:val="EndnoteReference"/>
        </w:rPr>
        <w:endnoteReference w:id="18"/>
      </w:r>
      <w:r w:rsidR="00BF0F0F">
        <w:t xml:space="preserve"> </w:t>
      </w:r>
    </w:p>
    <w:p w14:paraId="449AE38F" w14:textId="7078BD46" w:rsidR="00B47134" w:rsidRDefault="00B47134" w:rsidP="00947EB5"/>
    <w:p w14:paraId="2F040274" w14:textId="3AE854E9" w:rsidR="00B53E30" w:rsidRPr="001C75AE" w:rsidRDefault="00FA5FF6" w:rsidP="00947EB5">
      <w:pPr>
        <w:rPr>
          <w:highlight w:val="yellow"/>
        </w:rPr>
      </w:pPr>
      <w:r w:rsidRPr="001C75AE">
        <w:rPr>
          <w:highlight w:val="yellow"/>
        </w:rPr>
        <w:t>Need access to this janes article</w:t>
      </w:r>
      <w:r w:rsidR="004D0C8F" w:rsidRPr="001C75AE">
        <w:rPr>
          <w:highlight w:val="yellow"/>
        </w:rPr>
        <w:t xml:space="preserve">: </w:t>
      </w:r>
      <w:hyperlink r:id="rId8" w:history="1">
        <w:r w:rsidR="004D0C8F" w:rsidRPr="001C75AE">
          <w:rPr>
            <w:rStyle w:val="Hyperlink"/>
            <w:highlight w:val="yellow"/>
          </w:rPr>
          <w:t>https://www.janes.com/defence-intelligence-insights/defence-news/air/french-army-restructures-its-infantry-battalions</w:t>
        </w:r>
      </w:hyperlink>
    </w:p>
    <w:p w14:paraId="72C41B37" w14:textId="0970070F" w:rsidR="00B53E30" w:rsidRPr="00803FC3" w:rsidRDefault="004D0C8F" w:rsidP="00947EB5">
      <w:r w:rsidRPr="001C75AE">
        <w:rPr>
          <w:highlight w:val="yellow"/>
        </w:rPr>
        <w:t xml:space="preserve">need access to this janes article: </w:t>
      </w:r>
      <w:r w:rsidR="00B53E30" w:rsidRPr="001C75AE">
        <w:rPr>
          <w:highlight w:val="yellow"/>
        </w:rPr>
        <w:t>https://www.janes.com/defence-intelligence-insights/defence-news/weapons/italian-army-improves-infantry-equipment-restructures-units</w:t>
      </w:r>
    </w:p>
    <w:p w14:paraId="6928EFC3" w14:textId="35CECDD7" w:rsidR="001D0016" w:rsidRPr="001D0016" w:rsidRDefault="001D0016" w:rsidP="001D0016">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w:t>
      </w:r>
      <w:r w:rsidRPr="001D0016">
        <w:rPr>
          <w:highlight w:val="yellow"/>
        </w:rPr>
        <w:lastRenderedPageBreak/>
        <w:t>country and finally, to carry out close surveillance”. Then we can say that the first task – their most important – cannot be achieved without substantial review of the doctrine, organisation, training, leadership, materiel,</w:t>
      </w:r>
      <w:r>
        <w:t xml:space="preserve"> </w:t>
      </w:r>
    </w:p>
    <w:p w14:paraId="7D7769F6" w14:textId="77777777" w:rsidR="001D0016" w:rsidRPr="001D0016" w:rsidRDefault="001D0016" w:rsidP="001D0016"/>
    <w:p w14:paraId="517B9CD4" w14:textId="3A05AA27" w:rsidR="00766DD3" w:rsidRPr="00262708" w:rsidRDefault="00766DD3" w:rsidP="00766D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sidR="00E15AB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Low-cost uncrewed systems disturb that arithmetic, a shift which</w:t>
      </w:r>
      <w:r w:rsidR="00092ECB">
        <w:rPr>
          <w:rFonts w:asciiTheme="minorHAnsi" w:eastAsiaTheme="minorHAnsi" w:hAnsiTheme="minorHAnsi" w:cstheme="minorBidi"/>
          <w:color w:val="auto"/>
          <w:sz w:val="24"/>
          <w:szCs w:val="24"/>
        </w:rPr>
        <w:t xml:space="preserve"> the</w:t>
      </w:r>
      <w:r>
        <w:rPr>
          <w:rFonts w:asciiTheme="minorHAnsi" w:eastAsiaTheme="minorHAnsi" w:hAnsiTheme="minorHAnsi" w:cstheme="minorBidi"/>
          <w:color w:val="auto"/>
          <w:sz w:val="24"/>
          <w:szCs w:val="24"/>
        </w:rPr>
        <w:t xml:space="preserve"> Lanchester Force Equations</w:t>
      </w:r>
      <w:r w:rsidR="008F6405">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sidR="008F6405">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00D37663" w:rsidRPr="00D37663">
        <w:rPr>
          <w:rFonts w:asciiTheme="minorHAnsi" w:eastAsiaTheme="minorHAnsi" w:hAnsiTheme="minorHAnsi" w:cstheme="minorBidi"/>
          <w:color w:val="auto"/>
          <w:sz w:val="24"/>
          <w:szCs w:val="24"/>
        </w:rPr>
        <w:t>help frame but cannot fully capture.</w:t>
      </w:r>
      <w:r w:rsidR="00D37663">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For a state </w:t>
      </w:r>
      <w:r w:rsidR="003A11A1">
        <w:rPr>
          <w:rFonts w:asciiTheme="minorHAnsi" w:eastAsiaTheme="minorHAnsi" w:hAnsiTheme="minorHAnsi" w:cstheme="minorBidi"/>
          <w:color w:val="auto"/>
          <w:sz w:val="24"/>
          <w:szCs w:val="24"/>
        </w:rPr>
        <w:t>which</w:t>
      </w:r>
      <w:r w:rsidRPr="00C03858">
        <w:rPr>
          <w:rFonts w:asciiTheme="minorHAnsi" w:eastAsiaTheme="minorHAnsi" w:hAnsiTheme="minorHAnsi" w:cstheme="minorBidi"/>
          <w:color w:val="auto"/>
          <w:sz w:val="24"/>
          <w:szCs w:val="24"/>
        </w:rPr>
        <w:t xml:space="preserve"> cannot buy conventional scale, this is how scarcity stops being </w:t>
      </w:r>
      <w:r w:rsidR="00E15ABA">
        <w:rPr>
          <w:rFonts w:asciiTheme="minorHAnsi" w:eastAsiaTheme="minorHAnsi" w:hAnsiTheme="minorHAnsi" w:cstheme="minorBidi"/>
          <w:color w:val="auto"/>
          <w:sz w:val="24"/>
          <w:szCs w:val="24"/>
        </w:rPr>
        <w:t>decisive.</w:t>
      </w:r>
    </w:p>
    <w:p w14:paraId="2BCA4CB1" w14:textId="5E31C451" w:rsidR="00656D8B" w:rsidRDefault="00EB4DCB" w:rsidP="006E41D2">
      <w:r>
        <w:fldChar w:fldCharType="begin"/>
      </w:r>
      <w:r>
        <w:instrText xml:space="preserve"> REF _Ref233053446 \h </w:instrText>
      </w:r>
      <w:r>
        <w:fldChar w:fldCharType="separate"/>
      </w:r>
      <w:r>
        <w:t xml:space="preserve">Table </w:t>
      </w:r>
      <w:r>
        <w:rPr>
          <w:noProof/>
        </w:rPr>
        <w:t>1</w:t>
      </w:r>
      <w:r>
        <w:fldChar w:fldCharType="end"/>
      </w:r>
      <w:r w:rsidR="001E7AE7" w:rsidRPr="001E7AE7">
        <w:t xml:space="preserve"> </w:t>
      </w:r>
      <w:r w:rsidR="00656D8B" w:rsidRPr="00656D8B">
        <w:t>shows that FPV-OWADs cannot be dismissed as cheap substitutes for Javelin.</w:t>
      </w:r>
      <w:r w:rsidR="00277853">
        <w:rPr>
          <w:rStyle w:val="EndnoteReference"/>
        </w:rPr>
        <w:endnoteReference w:id="21"/>
      </w:r>
      <w:r w:rsidR="00277853">
        <w:t xml:space="preserve"> </w:t>
      </w:r>
      <w:r w:rsidR="00656D8B" w:rsidRPr="00656D8B">
        <w:t xml:space="preserve">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007A6FF0" w:rsidRPr="007A6FF0">
        <w:t>but they can immobilise it for follow-on fires and reach more than an order of magnitude further.</w:t>
      </w:r>
      <w:r w:rsidR="00656D8B" w:rsidRPr="00656D8B">
        <w:t xml:space="preserve"> The direction is unambiguous: FPV-OWADs do not replace ATGMs, but they change the defensive arithmetic and can no longer be ignored</w:t>
      </w:r>
      <w:r w:rsidR="006E6DF6">
        <w:t>.</w:t>
      </w:r>
    </w:p>
    <w:p w14:paraId="2C8ED009" w14:textId="77777777" w:rsidR="002C4F0D" w:rsidRDefault="00EE12B1" w:rsidP="002C4F0D">
      <w:pPr>
        <w:keepNext/>
      </w:pPr>
      <w:r w:rsidRPr="00EE12B1">
        <w:rPr>
          <w:noProof/>
        </w:rPr>
        <w:drawing>
          <wp:inline distT="0" distB="0" distL="0" distR="0" wp14:anchorId="1ED79B76" wp14:editId="6CD40A73">
            <wp:extent cx="5731510" cy="1757045"/>
            <wp:effectExtent l="0" t="0" r="2540" b="0"/>
            <wp:docPr id="17789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5998" name=""/>
                    <pic:cNvPicPr/>
                  </pic:nvPicPr>
                  <pic:blipFill>
                    <a:blip r:embed="rId9"/>
                    <a:stretch>
                      <a:fillRect/>
                    </a:stretch>
                  </pic:blipFill>
                  <pic:spPr>
                    <a:xfrm>
                      <a:off x="0" y="0"/>
                      <a:ext cx="5731510" cy="1757045"/>
                    </a:xfrm>
                    <a:prstGeom prst="rect">
                      <a:avLst/>
                    </a:prstGeom>
                  </pic:spPr>
                </pic:pic>
              </a:graphicData>
            </a:graphic>
          </wp:inline>
        </w:drawing>
      </w:r>
    </w:p>
    <w:p w14:paraId="5C9164F7" w14:textId="74ED2F81" w:rsidR="006E41D2" w:rsidRPr="00E05D57" w:rsidRDefault="002C4F0D" w:rsidP="002C4F0D">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3EC1BBB" w14:textId="77777777" w:rsidR="008E24F7" w:rsidRDefault="008E24F7" w:rsidP="008E24F7">
      <w:pPr>
        <w:pStyle w:val="Heading2"/>
        <w:rPr>
          <w:rFonts w:asciiTheme="minorHAnsi" w:eastAsiaTheme="minorHAnsi" w:hAnsiTheme="minorHAnsi" w:cstheme="minorBidi"/>
          <w:color w:val="auto"/>
          <w:sz w:val="24"/>
          <w:szCs w:val="24"/>
        </w:rPr>
      </w:pPr>
      <w:r w:rsidRPr="00667CD1">
        <w:rPr>
          <w:rFonts w:asciiTheme="minorHAnsi" w:eastAsiaTheme="minorHAnsi" w:hAnsiTheme="minorHAnsi" w:cstheme="minorBidi"/>
          <w:color w:val="auto"/>
          <w:sz w:val="24"/>
          <w:szCs w:val="24"/>
        </w:rPr>
        <w:lastRenderedPageBreak/>
        <w:t>Ireland has long treated serious territorial defence as financially unreachable, because credibility was assumed to require conventional mass. UxS break that premise: if cheap precision systems can make lodgement, movement and sustainment costly, the constraint shifts from money to organisation. For an island state, any hostile ground force must first arrive by sea or air, concentrating at a predictable point of entry – where exposure is highest and cheap precision strike most punishing.</w:t>
      </w:r>
    </w:p>
    <w:p w14:paraId="73F0C83F" w14:textId="3F12D028" w:rsidR="008E24F7" w:rsidRDefault="008E24F7" w:rsidP="008E24F7">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need only to impose enough delay, attrition and uncertainty that the operation's price climbs past what the aggressor will pay. It does not stop an attack; it makes the attack expensive, slow and uncertain of success. </w:t>
      </w:r>
    </w:p>
    <w:p w14:paraId="4539E762" w14:textId="19379AA5" w:rsidR="000A62A6" w:rsidRDefault="0030344C" w:rsidP="006B245A">
      <w:pPr>
        <w:rPr>
          <w:rFonts w:asciiTheme="majorHAnsi" w:eastAsiaTheme="majorEastAsia" w:hAnsiTheme="majorHAnsi" w:cstheme="majorBidi"/>
          <w:color w:val="0F4761" w:themeColor="accent1" w:themeShade="BF"/>
          <w:sz w:val="32"/>
          <w:szCs w:val="32"/>
        </w:rPr>
      </w:pPr>
      <w:r w:rsidRPr="0030344C">
        <w:t xml:space="preserve">The pace of change is uncertain and programmes are mid-stream </w:t>
      </w:r>
      <w:r w:rsidR="00034CC3">
        <w:t>—</w:t>
      </w:r>
      <w:r w:rsidRPr="0030344C">
        <w:t xml:space="preserve"> so reopening the section design now looks premature. Each clause is true. Neither is a reason to stand still. The deeper objection is that force design must fit the platform: the carrier defines the section, the section sets the </w:t>
      </w:r>
      <w:r w:rsidR="00D31766">
        <w:t>capability</w:t>
      </w:r>
      <w:r w:rsidRPr="0030344C">
        <w:t xml:space="preserve">. Vehicle capacity is a real constraint </w:t>
      </w:r>
      <w:r w:rsidR="00034CC3">
        <w:t>—</w:t>
      </w:r>
      <w:r w:rsidR="00034CC3" w:rsidRPr="0030344C">
        <w:t xml:space="preserve"> </w:t>
      </w:r>
      <w:r w:rsidRPr="0030344C">
        <w:t xml:space="preserve">it drives lift, sustainment, command and tactical mobility and cannot be dismissed. But it need not come first. The threat defines force </w:t>
      </w:r>
      <w:proofErr w:type="gramStart"/>
      <w:r w:rsidRPr="0030344C">
        <w:t>protection</w:t>
      </w:r>
      <w:proofErr w:type="gramEnd"/>
      <w:r w:rsidRPr="0030344C">
        <w:t xml:space="preserve"> and force protection drives </w:t>
      </w:r>
      <w:r w:rsidR="00841CA6">
        <w:t>capability development</w:t>
      </w:r>
      <w:r w:rsidRPr="0030344C">
        <w:t xml:space="preserve">. Light infantry may not have this problem at all: it needs no armour, moving on foot or in commercial 4x4s already in Defence Forces service. A survivable light section is not an expensive structure waiting on a vehicle programme. It is a cheap one, available now </w:t>
      </w:r>
      <w:r w:rsidR="00034CC3">
        <w:t>—</w:t>
      </w:r>
      <w:r w:rsidR="00034CC3" w:rsidRPr="0030344C">
        <w:t xml:space="preserve"> </w:t>
      </w:r>
      <w:r w:rsidRPr="0030344C">
        <w:t>held back only by a constraint borrowed from a different kind of infantry.</w:t>
      </w:r>
      <w:r w:rsidR="000A62A6">
        <w:br w:type="page"/>
      </w:r>
    </w:p>
    <w:sectPr w:rsidR="000A62A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69D006" w14:textId="77777777" w:rsidR="00CA78EE" w:rsidRDefault="00CA78EE" w:rsidP="008F41DA">
      <w:pPr>
        <w:spacing w:after="0" w:line="240" w:lineRule="auto"/>
      </w:pPr>
      <w:r>
        <w:separator/>
      </w:r>
    </w:p>
  </w:endnote>
  <w:endnote w:type="continuationSeparator" w:id="0">
    <w:p w14:paraId="01787E42" w14:textId="77777777" w:rsidR="00CA78EE" w:rsidRDefault="00CA78EE" w:rsidP="008F41DA">
      <w:pPr>
        <w:spacing w:after="0" w:line="240" w:lineRule="auto"/>
      </w:pPr>
      <w:r>
        <w:continuationSeparator/>
      </w:r>
    </w:p>
  </w:endnote>
  <w:endnote w:id="1">
    <w:p w14:paraId="4B06B5B5" w14:textId="7CD22A55" w:rsidR="00613717" w:rsidRDefault="00613717">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5FE91A06" w14:textId="6563220C" w:rsidR="00613717" w:rsidRDefault="00613717">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5A56A196" w14:textId="37B81DFD" w:rsidR="00613717" w:rsidRDefault="00613717">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693C8F74" w14:textId="4107ED74" w:rsidR="00613717" w:rsidRDefault="00613717">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07986811" w14:textId="5D961EC4" w:rsidR="00613717" w:rsidRDefault="00613717">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5127F483" w14:textId="7A4150D8" w:rsidR="00613717" w:rsidRDefault="00613717">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41AB1D95" w14:textId="11414566" w:rsidR="00613717" w:rsidRDefault="00613717">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6A85D723" w14:textId="34BD52CE" w:rsidR="00613717" w:rsidRDefault="00613717">
      <w:pPr>
        <w:pStyle w:val="EndnoteText"/>
      </w:pPr>
      <w:r>
        <w:rPr>
          <w:rStyle w:val="EndnoteReference"/>
        </w:rPr>
        <w:endnoteRef/>
      </w:r>
      <w:r>
        <w:t xml:space="preserve"> </w:t>
      </w:r>
      <w:r>
        <w:t>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4E855503" w14:textId="2565C89A" w:rsidR="00613717" w:rsidRPr="006860C6" w:rsidRDefault="00613717" w:rsidP="00613717">
      <w:pPr>
        <w:pStyle w:val="FootnoteText"/>
        <w:rPr>
          <w:rStyle w:val="Hyperlink"/>
        </w:rPr>
      </w:pPr>
      <w:r>
        <w:rPr>
          <w:rStyle w:val="EndnoteReference"/>
        </w:rPr>
        <w:endnoteRef/>
      </w:r>
      <w:r>
        <w:t xml:space="preserve"> </w:t>
      </w:r>
      <w:r>
        <w:t xml:space="preserve">Statsministeriet (2026). Fællesudtalelse om Grønland [online]. Available at: </w:t>
      </w:r>
      <w:r w:rsidR="006860C6">
        <w:fldChar w:fldCharType="begin"/>
      </w:r>
      <w:r w:rsidR="006860C6">
        <w:instrText>HYPERLINK "https://stm.dk/media/qo2dyzxy/erklaering-gl.pdf"</w:instrText>
      </w:r>
      <w:r w:rsidR="006860C6">
        <w:fldChar w:fldCharType="separate"/>
      </w:r>
      <w:r w:rsidRPr="006860C6">
        <w:rPr>
          <w:rStyle w:val="Hyperlink"/>
        </w:rPr>
        <w:t>https://s</w:t>
      </w:r>
    </w:p>
    <w:p w14:paraId="1887FB76" w14:textId="34B4366E" w:rsidR="00613717" w:rsidRDefault="00613717" w:rsidP="00613717">
      <w:pPr>
        <w:pStyle w:val="EndnoteText"/>
      </w:pPr>
      <w:r w:rsidRPr="006860C6">
        <w:rPr>
          <w:rStyle w:val="Hyperlink"/>
        </w:rPr>
        <w:t>tm.dk/media/qo2dyzxy/erklaering-gl.pdf</w:t>
      </w:r>
      <w:r w:rsidR="006860C6">
        <w:fldChar w:fldCharType="end"/>
      </w:r>
      <w:r>
        <w:t xml:space="preserve"> (accessed 1 April 2026).</w:t>
      </w:r>
    </w:p>
  </w:endnote>
  <w:endnote w:id="10">
    <w:p w14:paraId="16F0FDFF" w14:textId="36769346" w:rsidR="00613717" w:rsidRDefault="00613717">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46020C96" w14:textId="77777777" w:rsidR="00277853" w:rsidRDefault="00277853" w:rsidP="00277853">
      <w:pPr>
        <w:pStyle w:val="EndnoteText"/>
      </w:pPr>
      <w:r>
        <w:rPr>
          <w:rStyle w:val="EndnoteReference"/>
        </w:rPr>
        <w:endnoteRef/>
      </w:r>
      <w:r>
        <w:t xml:space="preserve"> TM 201</w:t>
      </w:r>
    </w:p>
  </w:endnote>
  <w:endnote w:id="12">
    <w:p w14:paraId="24DBA16B" w14:textId="0E69EA69" w:rsidR="00613717" w:rsidRDefault="00613717">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7C7168DD" w14:textId="73DBD179" w:rsidR="00613717" w:rsidRDefault="00613717">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5641DA97" w14:textId="77777777" w:rsidR="00277853" w:rsidRDefault="00277853" w:rsidP="00277853">
      <w:pPr>
        <w:pStyle w:val="EndnoteText"/>
      </w:pPr>
      <w:r>
        <w:rPr>
          <w:rStyle w:val="EndnoteReference"/>
        </w:rPr>
        <w:end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390D3302" w14:textId="057511A1" w:rsidR="007566C6" w:rsidRDefault="007566C6">
      <w:pPr>
        <w:pStyle w:val="EndnoteText"/>
      </w:pPr>
      <w:r>
        <w:rPr>
          <w:rStyle w:val="EndnoteReference"/>
        </w:rPr>
        <w:end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endnote>
  <w:endnote w:id="16">
    <w:p w14:paraId="393AF30C" w14:textId="77777777" w:rsidR="005453F0" w:rsidRDefault="005453F0" w:rsidP="005453F0">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0DCE7736" w14:textId="59D562A4" w:rsidR="00694A56" w:rsidRDefault="00694A56">
      <w:pPr>
        <w:pStyle w:val="EndnoteText"/>
      </w:pPr>
      <w:r>
        <w:rPr>
          <w:rStyle w:val="EndnoteReference"/>
        </w:rPr>
        <w:endnoteRef/>
      </w:r>
      <w:r>
        <w:t xml:space="preserve"> </w:t>
      </w:r>
      <w:r w:rsidRPr="002405F1">
        <w:t xml:space="preserve">Ministère des Armées. </w:t>
      </w:r>
      <w:r w:rsidRPr="002405F1">
        <w:rPr>
          <w:i/>
          <w:iCs/>
        </w:rPr>
        <w:t xml:space="preserve">Gévaudan </w:t>
      </w:r>
      <w:proofErr w:type="gramStart"/>
      <w:r w:rsidRPr="002405F1">
        <w:rPr>
          <w:i/>
          <w:iCs/>
        </w:rPr>
        <w:t>26 :</w:t>
      </w:r>
      <w:proofErr w:type="gramEnd"/>
      <w:r w:rsidRPr="002405F1">
        <w:rPr>
          <w:i/>
          <w:iCs/>
        </w:rPr>
        <w:t xml:space="preserve"> Les Légionnaires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 xml:space="preserve">Légion </w:t>
      </w:r>
      <w:proofErr w:type="gramStart"/>
      <w:r w:rsidRPr="002405F1">
        <w:rPr>
          <w:i/>
          <w:iCs/>
        </w:rPr>
        <w:t>étrangère :</w:t>
      </w:r>
      <w:proofErr w:type="gramEnd"/>
      <w:r w:rsidRPr="002405F1">
        <w:rPr>
          <w:i/>
          <w:iCs/>
        </w:rPr>
        <w:t xml:space="preserve"> Au Coeur d'un Entraînement Plus Vrai que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77C6FB0E" w14:textId="77777777" w:rsidR="00694A56" w:rsidRPr="00BF0F0F" w:rsidRDefault="00694A56" w:rsidP="00694A56">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p w14:paraId="511A2DEE" w14:textId="279A431F" w:rsidR="00694A56" w:rsidRDefault="00694A56">
      <w:pPr>
        <w:pStyle w:val="EndnoteText"/>
      </w:pPr>
    </w:p>
  </w:endnote>
  <w:endnote w:id="19">
    <w:p w14:paraId="6167DECF" w14:textId="1DE69368" w:rsidR="008F6405" w:rsidRDefault="008F6405">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065D773C" w14:textId="3C19885C" w:rsidR="008F6405" w:rsidRDefault="008F6405">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6EA30451" w14:textId="77777777" w:rsidR="00277853" w:rsidRDefault="00277853" w:rsidP="00277853">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9C815" w14:textId="77777777" w:rsidR="00CA78EE" w:rsidRDefault="00CA78EE" w:rsidP="008F41DA">
      <w:pPr>
        <w:spacing w:after="0" w:line="240" w:lineRule="auto"/>
      </w:pPr>
      <w:r>
        <w:separator/>
      </w:r>
    </w:p>
  </w:footnote>
  <w:footnote w:type="continuationSeparator" w:id="0">
    <w:p w14:paraId="02EC974F" w14:textId="77777777" w:rsidR="00CA78EE" w:rsidRDefault="00CA78EE" w:rsidP="008F41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0B1F"/>
    <w:rsid w:val="000A62A6"/>
    <w:rsid w:val="000B39F2"/>
    <w:rsid w:val="000C389C"/>
    <w:rsid w:val="000E53A4"/>
    <w:rsid w:val="000E74FD"/>
    <w:rsid w:val="000F0D19"/>
    <w:rsid w:val="000F158F"/>
    <w:rsid w:val="00102312"/>
    <w:rsid w:val="00107A60"/>
    <w:rsid w:val="00126E0F"/>
    <w:rsid w:val="00127967"/>
    <w:rsid w:val="00143911"/>
    <w:rsid w:val="001470B3"/>
    <w:rsid w:val="00172310"/>
    <w:rsid w:val="00174027"/>
    <w:rsid w:val="00176EA6"/>
    <w:rsid w:val="001779D4"/>
    <w:rsid w:val="001800EF"/>
    <w:rsid w:val="001822CC"/>
    <w:rsid w:val="00182D41"/>
    <w:rsid w:val="001A3844"/>
    <w:rsid w:val="001A7BA9"/>
    <w:rsid w:val="001B6642"/>
    <w:rsid w:val="001C6BAB"/>
    <w:rsid w:val="001C70DF"/>
    <w:rsid w:val="001C71F6"/>
    <w:rsid w:val="001C75AE"/>
    <w:rsid w:val="001D0016"/>
    <w:rsid w:val="001E7AE7"/>
    <w:rsid w:val="00210E07"/>
    <w:rsid w:val="00211892"/>
    <w:rsid w:val="00214E78"/>
    <w:rsid w:val="0021641C"/>
    <w:rsid w:val="00220651"/>
    <w:rsid w:val="0022693E"/>
    <w:rsid w:val="00230C29"/>
    <w:rsid w:val="00232127"/>
    <w:rsid w:val="002405F1"/>
    <w:rsid w:val="00240A82"/>
    <w:rsid w:val="00252F20"/>
    <w:rsid w:val="00262708"/>
    <w:rsid w:val="00277853"/>
    <w:rsid w:val="002822C2"/>
    <w:rsid w:val="00292EE9"/>
    <w:rsid w:val="00294FE3"/>
    <w:rsid w:val="002C4F0D"/>
    <w:rsid w:val="002D603F"/>
    <w:rsid w:val="002E0EF9"/>
    <w:rsid w:val="002E5AF4"/>
    <w:rsid w:val="002F0568"/>
    <w:rsid w:val="002F4644"/>
    <w:rsid w:val="0030344C"/>
    <w:rsid w:val="00327715"/>
    <w:rsid w:val="0033406E"/>
    <w:rsid w:val="00335369"/>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C777D"/>
    <w:rsid w:val="004D0C8F"/>
    <w:rsid w:val="004F0B7F"/>
    <w:rsid w:val="00503231"/>
    <w:rsid w:val="005032B0"/>
    <w:rsid w:val="00524254"/>
    <w:rsid w:val="00526588"/>
    <w:rsid w:val="00530028"/>
    <w:rsid w:val="00544D2A"/>
    <w:rsid w:val="005453F0"/>
    <w:rsid w:val="005532E2"/>
    <w:rsid w:val="00572323"/>
    <w:rsid w:val="00583511"/>
    <w:rsid w:val="005859B9"/>
    <w:rsid w:val="005A3FE8"/>
    <w:rsid w:val="005B47FC"/>
    <w:rsid w:val="005C0AE1"/>
    <w:rsid w:val="005C4B5D"/>
    <w:rsid w:val="005D62BA"/>
    <w:rsid w:val="005D6A14"/>
    <w:rsid w:val="005E2FA4"/>
    <w:rsid w:val="005F0279"/>
    <w:rsid w:val="005F7AFB"/>
    <w:rsid w:val="00602AC4"/>
    <w:rsid w:val="0060431C"/>
    <w:rsid w:val="0060740A"/>
    <w:rsid w:val="006077C5"/>
    <w:rsid w:val="00613717"/>
    <w:rsid w:val="00626CC9"/>
    <w:rsid w:val="0063136F"/>
    <w:rsid w:val="00633BB8"/>
    <w:rsid w:val="006376AF"/>
    <w:rsid w:val="00654E5F"/>
    <w:rsid w:val="00656D8B"/>
    <w:rsid w:val="00663508"/>
    <w:rsid w:val="006860C6"/>
    <w:rsid w:val="00687BB9"/>
    <w:rsid w:val="00694A56"/>
    <w:rsid w:val="006B245A"/>
    <w:rsid w:val="006B36F7"/>
    <w:rsid w:val="006B7283"/>
    <w:rsid w:val="006C01F9"/>
    <w:rsid w:val="006C15B4"/>
    <w:rsid w:val="006C1751"/>
    <w:rsid w:val="006D3152"/>
    <w:rsid w:val="006E0485"/>
    <w:rsid w:val="006E41D2"/>
    <w:rsid w:val="006E5232"/>
    <w:rsid w:val="006E6DF6"/>
    <w:rsid w:val="00702A39"/>
    <w:rsid w:val="00707459"/>
    <w:rsid w:val="007114F8"/>
    <w:rsid w:val="0071161B"/>
    <w:rsid w:val="00717ED2"/>
    <w:rsid w:val="00721C39"/>
    <w:rsid w:val="00721C8E"/>
    <w:rsid w:val="00734406"/>
    <w:rsid w:val="007539C9"/>
    <w:rsid w:val="007561E8"/>
    <w:rsid w:val="007566C6"/>
    <w:rsid w:val="0076059B"/>
    <w:rsid w:val="00766DD3"/>
    <w:rsid w:val="007749F8"/>
    <w:rsid w:val="0077704F"/>
    <w:rsid w:val="007A6FF0"/>
    <w:rsid w:val="007B7BC3"/>
    <w:rsid w:val="007D58F9"/>
    <w:rsid w:val="007E6648"/>
    <w:rsid w:val="007F7005"/>
    <w:rsid w:val="007F74B6"/>
    <w:rsid w:val="008008AE"/>
    <w:rsid w:val="008032E8"/>
    <w:rsid w:val="008278AC"/>
    <w:rsid w:val="00833C45"/>
    <w:rsid w:val="00841CA6"/>
    <w:rsid w:val="00847D59"/>
    <w:rsid w:val="00856A81"/>
    <w:rsid w:val="0087131C"/>
    <w:rsid w:val="00880436"/>
    <w:rsid w:val="008906B6"/>
    <w:rsid w:val="008A10CC"/>
    <w:rsid w:val="008A2BAF"/>
    <w:rsid w:val="008A3F4A"/>
    <w:rsid w:val="008C5DFF"/>
    <w:rsid w:val="008D1071"/>
    <w:rsid w:val="008D790E"/>
    <w:rsid w:val="008E0498"/>
    <w:rsid w:val="008E24F7"/>
    <w:rsid w:val="008E628C"/>
    <w:rsid w:val="008F12D3"/>
    <w:rsid w:val="008F1E30"/>
    <w:rsid w:val="008F41DA"/>
    <w:rsid w:val="008F6405"/>
    <w:rsid w:val="00904C8E"/>
    <w:rsid w:val="009145A4"/>
    <w:rsid w:val="00917666"/>
    <w:rsid w:val="00925E2F"/>
    <w:rsid w:val="009305B9"/>
    <w:rsid w:val="00947EB5"/>
    <w:rsid w:val="00971FFB"/>
    <w:rsid w:val="00996C78"/>
    <w:rsid w:val="009A2241"/>
    <w:rsid w:val="009A4725"/>
    <w:rsid w:val="009C76EC"/>
    <w:rsid w:val="009D4618"/>
    <w:rsid w:val="009E246E"/>
    <w:rsid w:val="009E28A5"/>
    <w:rsid w:val="009F58F1"/>
    <w:rsid w:val="00A04877"/>
    <w:rsid w:val="00A04CA9"/>
    <w:rsid w:val="00A23F4E"/>
    <w:rsid w:val="00A36721"/>
    <w:rsid w:val="00A432B4"/>
    <w:rsid w:val="00A50E13"/>
    <w:rsid w:val="00A5525D"/>
    <w:rsid w:val="00A71BE2"/>
    <w:rsid w:val="00A72C99"/>
    <w:rsid w:val="00A82B6C"/>
    <w:rsid w:val="00A83B46"/>
    <w:rsid w:val="00AB0ACD"/>
    <w:rsid w:val="00AC6223"/>
    <w:rsid w:val="00AC7624"/>
    <w:rsid w:val="00AE6C88"/>
    <w:rsid w:val="00AF0C93"/>
    <w:rsid w:val="00AF5777"/>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D22DF"/>
    <w:rsid w:val="00BE2246"/>
    <w:rsid w:val="00BF065B"/>
    <w:rsid w:val="00BF0F0F"/>
    <w:rsid w:val="00BF1C5A"/>
    <w:rsid w:val="00BF4B6D"/>
    <w:rsid w:val="00C02D2C"/>
    <w:rsid w:val="00C12DA0"/>
    <w:rsid w:val="00C13EBD"/>
    <w:rsid w:val="00C2058B"/>
    <w:rsid w:val="00C24B2F"/>
    <w:rsid w:val="00C31025"/>
    <w:rsid w:val="00C32386"/>
    <w:rsid w:val="00C376F0"/>
    <w:rsid w:val="00C40892"/>
    <w:rsid w:val="00C446BB"/>
    <w:rsid w:val="00C50339"/>
    <w:rsid w:val="00C57783"/>
    <w:rsid w:val="00C74C84"/>
    <w:rsid w:val="00C76E0E"/>
    <w:rsid w:val="00C82EE9"/>
    <w:rsid w:val="00C9561E"/>
    <w:rsid w:val="00CA049A"/>
    <w:rsid w:val="00CA43AC"/>
    <w:rsid w:val="00CA53E2"/>
    <w:rsid w:val="00CA5665"/>
    <w:rsid w:val="00CA78EE"/>
    <w:rsid w:val="00CB1328"/>
    <w:rsid w:val="00CB2FEB"/>
    <w:rsid w:val="00CC44E2"/>
    <w:rsid w:val="00CD6625"/>
    <w:rsid w:val="00CE1E14"/>
    <w:rsid w:val="00CE2CBB"/>
    <w:rsid w:val="00CE7751"/>
    <w:rsid w:val="00D02D50"/>
    <w:rsid w:val="00D04E62"/>
    <w:rsid w:val="00D0517E"/>
    <w:rsid w:val="00D11B48"/>
    <w:rsid w:val="00D31202"/>
    <w:rsid w:val="00D31766"/>
    <w:rsid w:val="00D33A77"/>
    <w:rsid w:val="00D34617"/>
    <w:rsid w:val="00D37663"/>
    <w:rsid w:val="00D427C5"/>
    <w:rsid w:val="00D43EF2"/>
    <w:rsid w:val="00D533ED"/>
    <w:rsid w:val="00D539C9"/>
    <w:rsid w:val="00D65BB3"/>
    <w:rsid w:val="00D72570"/>
    <w:rsid w:val="00D80DC3"/>
    <w:rsid w:val="00D93EFA"/>
    <w:rsid w:val="00D97A55"/>
    <w:rsid w:val="00DB5050"/>
    <w:rsid w:val="00DC5778"/>
    <w:rsid w:val="00DC67A4"/>
    <w:rsid w:val="00DE1E55"/>
    <w:rsid w:val="00DE3CD3"/>
    <w:rsid w:val="00DE701E"/>
    <w:rsid w:val="00DE7342"/>
    <w:rsid w:val="00DF7EB0"/>
    <w:rsid w:val="00E05D57"/>
    <w:rsid w:val="00E15ABA"/>
    <w:rsid w:val="00E2362A"/>
    <w:rsid w:val="00E237FD"/>
    <w:rsid w:val="00E27349"/>
    <w:rsid w:val="00E27398"/>
    <w:rsid w:val="00E36494"/>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B7879"/>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6137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13717"/>
    <w:rPr>
      <w:sz w:val="20"/>
      <w:szCs w:val="20"/>
    </w:rPr>
  </w:style>
  <w:style w:type="character" w:styleId="EndnoteReference">
    <w:name w:val="endnote reference"/>
    <w:basedOn w:val="DefaultParagraphFont"/>
    <w:uiPriority w:val="99"/>
    <w:semiHidden/>
    <w:unhideWhenUsed/>
    <w:rsid w:val="0061371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anes.com/defence-intelligence-insights/defence-news/air/french-army-restructures-its-infantry-battalions"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1258</Words>
  <Characters>7173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51</cp:revision>
  <cp:lastPrinted>2026-06-24T10:43:00Z</cp:lastPrinted>
  <dcterms:created xsi:type="dcterms:W3CDTF">2026-06-23T11:58:00Z</dcterms:created>
  <dcterms:modified xsi:type="dcterms:W3CDTF">2026-06-24T10:51:00Z</dcterms:modified>
</cp:coreProperties>
</file>