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78C7B54A" w14:textId="77777777" w:rsidR="00FC7E0E" w:rsidRDefault="00FC7E0E" w:rsidP="00FC7E0E">
      <w:pPr>
        <w:pStyle w:val="Heading2"/>
      </w:pPr>
      <w:r>
        <w:lastRenderedPageBreak/>
        <w:t>ADAM 1667 WORDS</w:t>
      </w:r>
    </w:p>
    <w:p w14:paraId="2082C9EE" w14:textId="77777777" w:rsidR="00FC7E0E" w:rsidRDefault="00FC7E0E" w:rsidP="00FC7E0E">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end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5489652F" w14:textId="77777777" w:rsidR="00FC7E0E" w:rsidRDefault="00FC7E0E" w:rsidP="00FC7E0E">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end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35FB9EFB" w14:textId="77777777" w:rsidR="00FC7E0E" w:rsidRDefault="00FC7E0E" w:rsidP="00FC7E0E">
      <w:pPr>
        <w:pStyle w:val="Heading2"/>
        <w:rPr>
          <w:rFonts w:asciiTheme="minorHAnsi" w:eastAsiaTheme="minorHAnsi" w:hAnsiTheme="minorHAnsi" w:cstheme="minorBidi"/>
          <w:color w:val="auto"/>
          <w:sz w:val="24"/>
          <w:szCs w:val="24"/>
        </w:rPr>
      </w:pPr>
      <w:r w:rsidRPr="007F74B6">
        <w:rPr>
          <w:rFonts w:asciiTheme="minorHAnsi" w:eastAsiaTheme="minorHAnsi" w:hAnsiTheme="minorHAnsi" w:cstheme="minorBidi"/>
          <w:color w:val="auto"/>
          <w:sz w:val="24"/>
          <w:szCs w:val="24"/>
        </w:rPr>
        <w:t>Territorial defence is no longer implausible. It remains politically constrained and under-resourced, but force design cannot assume Europe’s post-1945 “long peace”</w:t>
      </w:r>
      <w:r>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endnoteReference w:id="8"/>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endnoteReference w:id="9"/>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show how quickly strategically marginal scenarios can become plausible</w:t>
      </w:r>
      <w:r>
        <w:rPr>
          <w:rFonts w:asciiTheme="minorHAnsi" w:eastAsiaTheme="minorHAnsi" w:hAnsiTheme="minorHAnsi" w:cstheme="minorBidi"/>
          <w:color w:val="auto"/>
          <w:sz w:val="24"/>
          <w:szCs w:val="24"/>
        </w:rPr>
        <w:t xml:space="preserve"> planning problems.</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Pr="00A5525D">
        <w:rPr>
          <w:rFonts w:asciiTheme="minorHAnsi" w:eastAsiaTheme="minorHAnsi" w:hAnsiTheme="minorHAnsi" w:cstheme="minorBidi"/>
          <w:color w:val="auto"/>
          <w:sz w:val="24"/>
          <w:szCs w:val="24"/>
        </w:rPr>
        <w:t>UxS</w:t>
      </w:r>
      <w:proofErr w:type="spellEnd"/>
      <w:r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110ED409" w14:textId="77777777" w:rsidR="00FC7E0E" w:rsidRDefault="00FC7E0E" w:rsidP="00FC7E0E">
      <w:r>
        <w:br w:type="page"/>
      </w:r>
    </w:p>
    <w:p w14:paraId="00E91060" w14:textId="77777777" w:rsidR="00FC7E0E" w:rsidRDefault="00FC7E0E" w:rsidP="00FC7E0E">
      <w:r w:rsidRPr="00803FC3">
        <w:lastRenderedPageBreak/>
        <w:t>Capability is sometimes reduced to equipment, but it is better understood as the synthesis described by DOTMLPF-I</w:t>
      </w:r>
      <w:r>
        <w:t>.</w:t>
      </w:r>
      <w:r>
        <w:rPr>
          <w:rStyle w:val="EndnoteReference"/>
        </w:rPr>
        <w:endnoteReference w:id="10"/>
      </w:r>
      <w:r w:rsidRPr="00174027">
        <w:t xml:space="preserve"> Ireland’s light infantry section is not an equipment problem; it is a structure overtaken by the threat.</w:t>
      </w:r>
      <w:r>
        <w:t xml:space="preserve"> O</w:t>
      </w:r>
      <w:r w:rsidRPr="00803FC3">
        <w:t>n that basis</w:t>
      </w:r>
      <w:r>
        <w:t>,</w:t>
      </w:r>
      <w:r w:rsidRPr="00803FC3">
        <w:t xml:space="preserve"> the section fails against nearly every line. Its doctrine</w:t>
      </w:r>
      <w:r>
        <w:rPr>
          <w:rStyle w:val="EndnoteReference"/>
        </w:rPr>
        <w:endnoteReference w:id="11"/>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Pr>
          <w:rStyle w:val="EndnoteReference"/>
        </w:rPr>
        <w:endnoteReference w:id="12"/>
      </w:r>
      <w:r w:rsidRPr="008762BE">
        <w:rPr>
          <w:rStyle w:val="FootnoteReference"/>
        </w:rPr>
        <w:t xml:space="preserve"> </w:t>
      </w:r>
      <w:r w:rsidRPr="00803FC3">
        <w:t xml:space="preserve">on the assumption that one section must fit one carrier </w:t>
      </w:r>
      <w:r w:rsidRPr="00C2058B">
        <w:rPr>
          <w:strike/>
        </w:rPr>
        <w:t>— a constraint more appropriate for mechanised and armoured formations</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endnoteReference w:id="13"/>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 — the cognitive burden of sensor-rich combat</w:t>
      </w:r>
      <w:r>
        <w:rPr>
          <w:rStyle w:val="EndnoteReference"/>
        </w:rPr>
        <w:endnoteReference w:id="14"/>
      </w:r>
      <w:r w:rsidRPr="007B7BC3">
        <w:t xml:space="preserve"> —</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 xml:space="preserve">Its materiel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w:t>
      </w:r>
      <w:proofErr w:type="gramStart"/>
      <w:r w:rsidRPr="003C060B">
        <w:t>drones</w:t>
      </w:r>
      <w:proofErr w:type="gramEnd"/>
      <w:r w:rsidRPr="003C060B">
        <w:t xml:space="preserve"> changes none of that. </w:t>
      </w:r>
    </w:p>
    <w:p w14:paraId="0825E1B5" w14:textId="77777777" w:rsidR="00FC7E0E" w:rsidRPr="00B47134" w:rsidRDefault="00FC7E0E" w:rsidP="00FC7E0E">
      <w:r w:rsidRPr="00B47134">
        <w:t xml:space="preserve">These are not uniquely Irish problems. Section design, vehicle capacity, organic support weapons and UAS integration are being reconsidered elsewhere. French RI 2030 reform shows one mechanised </w:t>
      </w:r>
      <w:r>
        <w:t>solution</w:t>
      </w:r>
      <w:r w:rsidRPr="00B47134">
        <w:t>: the vehicle acts as a mission-configurable “weapons store”, anti-armour is distributed across combat groups</w:t>
      </w:r>
      <w:r>
        <w:t xml:space="preserve"> and</w:t>
      </w:r>
      <w:r w:rsidRPr="00B47134">
        <w:t xml:space="preserve"> platoon</w:t>
      </w:r>
      <w:r>
        <w:t>-</w:t>
      </w:r>
      <w:r w:rsidRPr="00B47134">
        <w:t>level</w:t>
      </w:r>
      <w:r>
        <w:t xml:space="preserve"> UAS while</w:t>
      </w:r>
      <w:r w:rsidRPr="00B47134">
        <w:t xml:space="preserve"> heavier UAS, EW and robotic effects remain </w:t>
      </w:r>
      <w:r>
        <w:t>separate</w:t>
      </w:r>
      <w:r w:rsidRPr="00B47134">
        <w:t>.</w:t>
      </w:r>
      <w:r>
        <w:rPr>
          <w:rStyle w:val="EndnoteReference"/>
        </w:rPr>
        <w:endnoteReference w:id="15"/>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endnoteReference w:id="16"/>
      </w:r>
      <w:r w:rsidRPr="00B47134">
        <w:t xml:space="preserve"> points in the same direction from a different angle. Yet adaptation remains uneven. Exercises such as </w:t>
      </w:r>
      <w:proofErr w:type="spellStart"/>
      <w:r w:rsidRPr="00F92358">
        <w:rPr>
          <w:i/>
          <w:iCs/>
        </w:rPr>
        <w:t>Gévaudan</w:t>
      </w:r>
      <w:proofErr w:type="spellEnd"/>
      <w:r w:rsidRPr="00F92358">
        <w:rPr>
          <w:i/>
          <w:iCs/>
        </w:rPr>
        <w:t xml:space="preserve"> 26</w:t>
      </w:r>
      <w:r w:rsidRPr="003C060B">
        <w:t xml:space="preserve"> </w:t>
      </w:r>
      <w:r>
        <w:t xml:space="preserve">and </w:t>
      </w:r>
      <w:r w:rsidRPr="00F92358">
        <w:rPr>
          <w:i/>
          <w:iCs/>
        </w:rPr>
        <w:t>Hedgehog</w:t>
      </w:r>
      <w:r>
        <w:rPr>
          <w:rStyle w:val="EndnoteReference"/>
          <w:i/>
          <w:iCs/>
        </w:rPr>
        <w:endnoteReference w:id="17"/>
      </w:r>
      <w:r>
        <w:t xml:space="preserve"> </w:t>
      </w:r>
      <w:r w:rsidRPr="00B47134">
        <w:t xml:space="preserve">suggest that integrating drones is easier than adapting </w:t>
      </w:r>
      <w:r>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r>
        <w:rPr>
          <w:rStyle w:val="EndnoteReference"/>
        </w:rPr>
        <w:endnoteReference w:id="18"/>
      </w:r>
      <w:r>
        <w:t xml:space="preserve"> </w:t>
      </w:r>
    </w:p>
    <w:p w14:paraId="3050A463" w14:textId="77777777" w:rsidR="00FC7E0E" w:rsidRDefault="00FC7E0E" w:rsidP="00FC7E0E"/>
    <w:p w14:paraId="20BF41D2" w14:textId="77777777" w:rsidR="00FC7E0E" w:rsidRPr="001C75AE" w:rsidRDefault="00FC7E0E" w:rsidP="00FC7E0E">
      <w:pPr>
        <w:rPr>
          <w:highlight w:val="yellow"/>
        </w:rPr>
      </w:pPr>
      <w:r w:rsidRPr="001C75AE">
        <w:rPr>
          <w:highlight w:val="yellow"/>
        </w:rPr>
        <w:t xml:space="preserve">Need access to this janes article: </w:t>
      </w:r>
      <w:hyperlink r:id="rId8" w:history="1">
        <w:r w:rsidRPr="001C75AE">
          <w:rPr>
            <w:rStyle w:val="Hyperlink"/>
            <w:highlight w:val="yellow"/>
          </w:rPr>
          <w:t>https://www.janes.com/defence-intelligence-insights/defence-news/air/french-army-restructures-its-infantry-battalions</w:t>
        </w:r>
      </w:hyperlink>
    </w:p>
    <w:p w14:paraId="644CDAEF" w14:textId="77777777" w:rsidR="00FC7E0E" w:rsidRPr="00803FC3" w:rsidRDefault="00FC7E0E" w:rsidP="00FC7E0E">
      <w:r w:rsidRPr="001C75AE">
        <w:rPr>
          <w:highlight w:val="yellow"/>
        </w:rPr>
        <w:t>need access to this janes article: https://www.janes.com/defence-intelligence-insights/defence-news/weapons/italian-army-improves-infantry-equipment-restructures-units</w:t>
      </w:r>
    </w:p>
    <w:p w14:paraId="7377E983" w14:textId="77777777" w:rsidR="00FC7E0E" w:rsidRPr="001D0016" w:rsidRDefault="00FC7E0E" w:rsidP="00FC7E0E">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w:t>
      </w:r>
      <w:r w:rsidRPr="001D0016">
        <w:rPr>
          <w:highlight w:val="yellow"/>
        </w:rPr>
        <w:lastRenderedPageBreak/>
        <w:t>country and finally, to carry out close surveillance”. Then we can say that the first task – their most important – cannot be achieved without substantial review of the doctrine, organisation, training, leadership, materiel,</w:t>
      </w:r>
      <w:r>
        <w:t xml:space="preserve"> </w:t>
      </w:r>
    </w:p>
    <w:p w14:paraId="5A463149" w14:textId="77777777" w:rsidR="00FC7E0E" w:rsidRPr="001D0016" w:rsidRDefault="00FC7E0E" w:rsidP="00FC7E0E"/>
    <w:p w14:paraId="51DDB089" w14:textId="77777777" w:rsidR="00FC7E0E" w:rsidRPr="00262708" w:rsidRDefault="00FC7E0E" w:rsidP="00FC7E0E">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Pr>
          <w:rFonts w:asciiTheme="minorHAnsi" w:eastAsiaTheme="minorHAnsi" w:hAnsiTheme="minorHAnsi" w:cstheme="minorBidi"/>
          <w:color w:val="auto"/>
          <w:sz w:val="24"/>
          <w:szCs w:val="24"/>
        </w:rPr>
        <w:t>decisive.</w:t>
      </w:r>
    </w:p>
    <w:p w14:paraId="40CA4AA4" w14:textId="77777777" w:rsidR="00FC7E0E" w:rsidRDefault="00FC7E0E" w:rsidP="00FC7E0E">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do not replace ATGMs, but they change the defensive arithmetic and can no longer be ignored</w:t>
      </w:r>
      <w:r>
        <w:t>.</w:t>
      </w:r>
      <w:r>
        <w:rPr>
          <w:rStyle w:val="EndnoteReference"/>
        </w:rPr>
        <w:endnoteReference w:id="21"/>
      </w:r>
    </w:p>
    <w:p w14:paraId="2B9E4B5F" w14:textId="77777777" w:rsidR="00FC7E0E" w:rsidRDefault="00FC7E0E" w:rsidP="00FC7E0E">
      <w:pPr>
        <w:keepNext/>
      </w:pPr>
      <w:r w:rsidRPr="00EE12B1">
        <w:rPr>
          <w:noProof/>
        </w:rPr>
        <w:drawing>
          <wp:inline distT="0" distB="0" distL="0" distR="0" wp14:anchorId="4FAC5C01" wp14:editId="2252818F">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72BE5486" w14:textId="77777777" w:rsidR="00FC7E0E" w:rsidRPr="00E05D57" w:rsidRDefault="00FC7E0E" w:rsidP="00FC7E0E">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0ABD90CB" w14:textId="77777777" w:rsidR="00FC7E0E" w:rsidRDefault="00FC7E0E" w:rsidP="00FC7E0E">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lastRenderedPageBreak/>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256875D1" w14:textId="77777777" w:rsidR="00FC7E0E" w:rsidRDefault="00FC7E0E" w:rsidP="00FC7E0E">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337CA400" w:rsidR="000A62A6" w:rsidRDefault="00FC7E0E" w:rsidP="00FC7E0E">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t>capability</w:t>
      </w:r>
      <w:r w:rsidRPr="0030344C">
        <w:t xml:space="preserve">. Vehicle capacity is a real constraint </w:t>
      </w:r>
      <w:r>
        <w:t>—</w:t>
      </w:r>
      <w:r w:rsidRPr="0030344C">
        <w:t xml:space="preserve"> 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t>—</w:t>
      </w:r>
      <w:r w:rsidRPr="0030344C">
        <w:t xml:space="preserve"> 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A1DED" w14:textId="77777777" w:rsidR="0020389D" w:rsidRDefault="0020389D" w:rsidP="008F41DA">
      <w:pPr>
        <w:spacing w:after="0" w:line="240" w:lineRule="auto"/>
      </w:pPr>
      <w:r>
        <w:separator/>
      </w:r>
    </w:p>
  </w:endnote>
  <w:endnote w:type="continuationSeparator" w:id="0">
    <w:p w14:paraId="2B7F89AB" w14:textId="77777777" w:rsidR="0020389D" w:rsidRDefault="0020389D" w:rsidP="008F41DA">
      <w:pPr>
        <w:spacing w:after="0" w:line="240" w:lineRule="auto"/>
      </w:pPr>
      <w:r>
        <w:continuationSeparator/>
      </w:r>
    </w:p>
  </w:endnote>
  <w:endnote w:id="1">
    <w:p w14:paraId="524113B4" w14:textId="77777777" w:rsidR="00FC7E0E" w:rsidRDefault="00FC7E0E" w:rsidP="00FC7E0E">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259DC88B" w14:textId="77777777" w:rsidR="00FC7E0E" w:rsidRDefault="00FC7E0E" w:rsidP="00FC7E0E">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31234268" w14:textId="77777777" w:rsidR="00FC7E0E" w:rsidRDefault="00FC7E0E" w:rsidP="00FC7E0E">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30B75551" w14:textId="77777777" w:rsidR="00FC7E0E" w:rsidRDefault="00FC7E0E" w:rsidP="00FC7E0E">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 xml:space="preserve">Drones Won't Save Us: Learning the Wrong Lessons from Ukraine Will Cost the US Army Its Edge in </w:t>
      </w:r>
      <w:proofErr w:type="spellStart"/>
      <w:r w:rsidRPr="00BF1C5A">
        <w:rPr>
          <w:i/>
          <w:iCs/>
        </w:rPr>
        <w:t>Maneuver</w:t>
      </w:r>
      <w:proofErr w:type="spellEnd"/>
      <w:r w:rsidRPr="00BF1C5A">
        <w:rPr>
          <w:i/>
          <w:iCs/>
        </w:rPr>
        <w:t xml:space="preserve">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0450CD7C" w14:textId="77777777" w:rsidR="00FC7E0E" w:rsidRDefault="00FC7E0E" w:rsidP="00FC7E0E">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2AE7C558" w14:textId="77777777" w:rsidR="00FC7E0E" w:rsidRDefault="00FC7E0E" w:rsidP="00FC7E0E">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188A9CC2" w14:textId="77777777" w:rsidR="00FC7E0E" w:rsidRDefault="00FC7E0E" w:rsidP="00FC7E0E">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18AC8583" w14:textId="77777777" w:rsidR="00FC7E0E" w:rsidRDefault="00FC7E0E" w:rsidP="00FC7E0E">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2D8AAD8F" w14:textId="77777777" w:rsidR="00FC7E0E" w:rsidRDefault="00FC7E0E" w:rsidP="00FC7E0E">
      <w:pPr>
        <w:pStyle w:val="FootnoteText"/>
      </w:pPr>
      <w:r>
        <w:rPr>
          <w:rStyle w:val="EndnoteReference"/>
        </w:rPr>
        <w:end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3C311EEA" w14:textId="77777777" w:rsidR="00FC7E0E" w:rsidRDefault="00FC7E0E" w:rsidP="00FC7E0E">
      <w:pPr>
        <w:pStyle w:val="EndnoteText"/>
      </w:pPr>
      <w:r>
        <w:t>tm.dk/media/qo2dyzxy/erklaering-gl.pdf (accessed 1 April 2026).</w:t>
      </w:r>
    </w:p>
  </w:endnote>
  <w:endnote w:id="10">
    <w:p w14:paraId="437BDA4A" w14:textId="77777777" w:rsidR="00FC7E0E" w:rsidRDefault="00FC7E0E" w:rsidP="00FC7E0E">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01721637" w14:textId="77777777" w:rsidR="00FC7E0E" w:rsidRDefault="00FC7E0E" w:rsidP="00FC7E0E">
      <w:pPr>
        <w:pStyle w:val="EndnoteText"/>
      </w:pPr>
      <w:r>
        <w:rPr>
          <w:rStyle w:val="EndnoteReference"/>
        </w:rPr>
        <w:endnoteRef/>
      </w:r>
      <w:r>
        <w:t xml:space="preserve"> TM 201</w:t>
      </w:r>
    </w:p>
  </w:endnote>
  <w:endnote w:id="12">
    <w:p w14:paraId="10CADA7B" w14:textId="77777777" w:rsidR="00FC7E0E" w:rsidRDefault="00FC7E0E" w:rsidP="00FC7E0E">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512C5163" w14:textId="77777777" w:rsidR="00FC7E0E" w:rsidRDefault="00FC7E0E" w:rsidP="00FC7E0E">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2C3B2ADB" w14:textId="77777777" w:rsidR="00FC7E0E" w:rsidRDefault="00FC7E0E" w:rsidP="00FC7E0E">
      <w:pPr>
        <w:pStyle w:val="EndnoteText"/>
      </w:pPr>
      <w:r>
        <w:rPr>
          <w:rStyle w:val="EndnoteReference"/>
        </w:rPr>
        <w:endnoteRef/>
      </w:r>
      <w:r>
        <w:t xml:space="preserve"> </w:t>
      </w:r>
      <w:proofErr w:type="spellStart"/>
      <w:r w:rsidRPr="001470B3">
        <w:t>Néron</w:t>
      </w:r>
      <w:proofErr w:type="spellEnd"/>
      <w:r w:rsidRPr="001470B3">
        <w:t xml:space="preserve">-Bancel, P. and Garnier, G. </w:t>
      </w:r>
      <w:r w:rsidRPr="001470B3">
        <w:rPr>
          <w:i/>
          <w:iCs/>
        </w:rPr>
        <w:t>At the Other Side of the Hill: The Benefits and False Promises of Battlefield Transparency</w:t>
      </w:r>
      <w:r w:rsidRPr="001470B3">
        <w:t xml:space="preserve">. Paris: </w:t>
      </w:r>
      <w:proofErr w:type="spellStart"/>
      <w:r w:rsidRPr="001470B3">
        <w:t>Institut</w:t>
      </w:r>
      <w:proofErr w:type="spellEnd"/>
      <w:r w:rsidRPr="001470B3">
        <w:t xml:space="preserve"> français des relations </w:t>
      </w:r>
      <w:proofErr w:type="spellStart"/>
      <w:r w:rsidRPr="001470B3">
        <w:t>internationales</w:t>
      </w:r>
      <w:proofErr w:type="spellEnd"/>
      <w:r w:rsidRPr="001470B3">
        <w:t xml:space="preserve">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74E7D44B" w14:textId="77777777" w:rsidR="00FC7E0E" w:rsidRDefault="00FC7E0E" w:rsidP="00FC7E0E">
      <w:pPr>
        <w:pStyle w:val="EndnoteText"/>
      </w:pPr>
      <w:r>
        <w:rPr>
          <w:rStyle w:val="EndnoteReference"/>
        </w:rPr>
        <w:end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endnote>
  <w:endnote w:id="16">
    <w:p w14:paraId="7CC83F0C" w14:textId="77777777" w:rsidR="00FC7E0E" w:rsidRDefault="00FC7E0E" w:rsidP="00FC7E0E">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2927AEAA" w14:textId="77777777" w:rsidR="00FC7E0E" w:rsidRDefault="00FC7E0E" w:rsidP="00FC7E0E">
      <w:pPr>
        <w:pStyle w:val="EndnoteText"/>
      </w:pPr>
      <w:r>
        <w:rPr>
          <w:rStyle w:val="EndnoteReference"/>
        </w:rPr>
        <w:end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72647A9C" w14:textId="77777777" w:rsidR="00FC7E0E" w:rsidRPr="00BF0F0F" w:rsidRDefault="00FC7E0E" w:rsidP="00FC7E0E">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p w14:paraId="13C09E1F" w14:textId="77777777" w:rsidR="00FC7E0E" w:rsidRDefault="00FC7E0E" w:rsidP="00FC7E0E">
      <w:pPr>
        <w:pStyle w:val="EndnoteText"/>
      </w:pPr>
    </w:p>
  </w:endnote>
  <w:endnote w:id="19">
    <w:p w14:paraId="5F7ED105" w14:textId="77777777" w:rsidR="00FC7E0E" w:rsidRDefault="00FC7E0E" w:rsidP="00FC7E0E">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1F258AC7" w14:textId="77777777" w:rsidR="00FC7E0E" w:rsidRDefault="00FC7E0E" w:rsidP="00FC7E0E">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7E49C596" w14:textId="77777777" w:rsidR="00FC7E0E" w:rsidRDefault="00FC7E0E" w:rsidP="00FC7E0E">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CDE75" w14:textId="77777777" w:rsidR="0020389D" w:rsidRDefault="0020389D" w:rsidP="008F41DA">
      <w:pPr>
        <w:spacing w:after="0" w:line="240" w:lineRule="auto"/>
      </w:pPr>
      <w:r>
        <w:separator/>
      </w:r>
    </w:p>
  </w:footnote>
  <w:footnote w:type="continuationSeparator" w:id="0">
    <w:p w14:paraId="12590162" w14:textId="77777777" w:rsidR="0020389D" w:rsidRDefault="0020389D" w:rsidP="008F4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8</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16</cp:revision>
  <dcterms:created xsi:type="dcterms:W3CDTF">2026-06-23T08:56:00Z</dcterms:created>
  <dcterms:modified xsi:type="dcterms:W3CDTF">2026-06-24T10:31:00Z</dcterms:modified>
</cp:coreProperties>
</file>