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E244" w14:textId="2EA685D3" w:rsidR="00D72570" w:rsidRDefault="00126E0F" w:rsidP="00AF0C93">
      <w:pPr>
        <w:pStyle w:val="Heading2"/>
      </w:pPr>
      <w:r>
        <w:t xml:space="preserve">ADAM </w:t>
      </w:r>
      <w:r w:rsidR="00C50339">
        <w:t>1</w:t>
      </w:r>
      <w:r w:rsidR="004C777D">
        <w:t>667</w:t>
      </w:r>
      <w:r w:rsidR="00C50339">
        <w:t xml:space="preserve"> WORDS</w:t>
      </w:r>
    </w:p>
    <w:p w14:paraId="07CD3EEA" w14:textId="682D5F05" w:rsidR="004C3B35" w:rsidRDefault="004C3B35" w:rsidP="00947EB5">
      <w:pPr>
        <w:pStyle w:val="Heading2"/>
        <w:rPr>
          <w:rFonts w:asciiTheme="minorHAnsi" w:eastAsiaTheme="minorHAnsi" w:hAnsiTheme="minorHAnsi" w:cstheme="minorBidi"/>
          <w:color w:val="auto"/>
          <w:sz w:val="24"/>
          <w:szCs w:val="24"/>
        </w:rPr>
      </w:pPr>
      <w:r w:rsidRPr="004C3B35">
        <w:rPr>
          <w:rFonts w:asciiTheme="minorHAnsi" w:eastAsiaTheme="minorHAnsi" w:hAnsiTheme="minorHAnsi" w:cstheme="minorBidi"/>
          <w:color w:val="auto"/>
          <w:sz w:val="24"/>
          <w:szCs w:val="24"/>
        </w:rPr>
        <w:t>Land warfare now turns on exposure: who is observed, when and how fast that observation becomes fire</w:t>
      </w:r>
      <w:r w:rsidR="007561E8">
        <w:rPr>
          <w:rFonts w:asciiTheme="minorHAnsi" w:eastAsiaTheme="minorHAnsi" w:hAnsiTheme="minorHAnsi" w:cstheme="minorBidi"/>
          <w:color w:val="auto"/>
          <w:sz w:val="24"/>
          <w:szCs w:val="24"/>
        </w:rPr>
        <w:t>.</w:t>
      </w:r>
      <w:r w:rsidR="00613717">
        <w:rPr>
          <w:rStyle w:val="EndnoteReference"/>
          <w:rFonts w:asciiTheme="minorHAnsi" w:eastAsiaTheme="minorHAnsi" w:hAnsiTheme="minorHAnsi" w:cstheme="minorBidi"/>
          <w:color w:val="auto"/>
          <w:sz w:val="24"/>
          <w:szCs w:val="24"/>
        </w:rPr>
        <w:endnoteReference w:id="1"/>
      </w:r>
      <w:r w:rsidRPr="004C3B35">
        <w:rPr>
          <w:rFonts w:asciiTheme="minorHAnsi" w:eastAsiaTheme="minorHAnsi" w:hAnsiTheme="minorHAnsi" w:cstheme="minorBidi"/>
          <w:color w:val="auto"/>
          <w:sz w:val="24"/>
          <w:szCs w:val="24"/>
        </w:rPr>
        <w:t xml:space="preserve"> Cheap sensors and democratised precision strike have collapsed the interval between being seen and being hit, changing what movement costs</w:t>
      </w:r>
      <w:r w:rsidR="00613717">
        <w:rPr>
          <w:rStyle w:val="EndnoteReference"/>
          <w:rFonts w:asciiTheme="minorHAnsi" w:eastAsiaTheme="minorHAnsi" w:hAnsiTheme="minorHAnsi" w:cstheme="minorBidi"/>
          <w:color w:val="auto"/>
          <w:sz w:val="24"/>
          <w:szCs w:val="24"/>
        </w:rPr>
        <w:endnoteReference w:id="2"/>
      </w:r>
      <w:r w:rsidRPr="004C3B35">
        <w:rPr>
          <w:rFonts w:asciiTheme="minorHAnsi" w:eastAsiaTheme="minorHAnsi" w:hAnsiTheme="minorHAnsi" w:cstheme="minorBidi"/>
          <w:color w:val="auto"/>
          <w:sz w:val="24"/>
          <w:szCs w:val="24"/>
        </w:rPr>
        <w:t xml:space="preserve">. </w:t>
      </w:r>
      <w:r w:rsidR="00D65BB3" w:rsidRPr="00D65BB3">
        <w:rPr>
          <w:rFonts w:asciiTheme="minorHAnsi" w:eastAsiaTheme="minorHAnsi" w:hAnsiTheme="minorHAnsi" w:cstheme="minorBidi"/>
          <w:color w:val="auto"/>
          <w:sz w:val="24"/>
          <w:szCs w:val="24"/>
        </w:rPr>
        <w:t>Scholars divide between those who</w:t>
      </w:r>
      <w:r w:rsidR="00C02D2C">
        <w:rPr>
          <w:rFonts w:asciiTheme="minorHAnsi" w:eastAsiaTheme="minorHAnsi" w:hAnsiTheme="minorHAnsi" w:cstheme="minorBidi"/>
          <w:color w:val="auto"/>
          <w:sz w:val="24"/>
          <w:szCs w:val="24"/>
        </w:rPr>
        <w:t xml:space="preserve"> ask whether </w:t>
      </w:r>
      <w:r w:rsidR="00D65BB3" w:rsidRPr="00D65BB3">
        <w:rPr>
          <w:rFonts w:asciiTheme="minorHAnsi" w:eastAsiaTheme="minorHAnsi" w:hAnsiTheme="minorHAnsi" w:cstheme="minorBidi"/>
          <w:color w:val="auto"/>
          <w:sz w:val="24"/>
          <w:szCs w:val="24"/>
        </w:rPr>
        <w:t>manoeuvre is “dead”</w:t>
      </w:r>
      <w:r w:rsidR="00613717">
        <w:rPr>
          <w:rStyle w:val="EndnoteReference"/>
          <w:rFonts w:asciiTheme="minorHAnsi" w:eastAsiaTheme="minorHAnsi" w:hAnsiTheme="minorHAnsi" w:cstheme="minorBidi"/>
          <w:color w:val="auto"/>
          <w:sz w:val="24"/>
          <w:szCs w:val="24"/>
        </w:rPr>
        <w:endnoteReference w:id="3"/>
      </w:r>
      <w:r w:rsidR="00BF1C5A">
        <w:rPr>
          <w:rFonts w:asciiTheme="minorHAnsi" w:eastAsiaTheme="minorHAnsi" w:hAnsiTheme="minorHAnsi" w:cstheme="minorBidi"/>
          <w:color w:val="auto"/>
          <w:sz w:val="24"/>
          <w:szCs w:val="24"/>
        </w:rPr>
        <w:t xml:space="preserve"> </w:t>
      </w:r>
      <w:r w:rsidR="00D65BB3">
        <w:rPr>
          <w:rFonts w:asciiTheme="minorHAnsi" w:eastAsiaTheme="minorHAnsi" w:hAnsiTheme="minorHAnsi" w:cstheme="minorBidi"/>
          <w:color w:val="auto"/>
          <w:sz w:val="24"/>
          <w:szCs w:val="24"/>
        </w:rPr>
        <w:t xml:space="preserve">and </w:t>
      </w:r>
      <w:r w:rsidR="00D65BB3" w:rsidRPr="00D65BB3">
        <w:rPr>
          <w:rFonts w:asciiTheme="minorHAnsi" w:eastAsiaTheme="minorHAnsi" w:hAnsiTheme="minorHAnsi" w:cstheme="minorBidi"/>
          <w:color w:val="auto"/>
          <w:sz w:val="24"/>
          <w:szCs w:val="24"/>
        </w:rPr>
        <w:t>those who argue that it must adapt to survive</w:t>
      </w:r>
      <w:r w:rsidR="00BF1C5A">
        <w:rPr>
          <w:rFonts w:asciiTheme="minorHAnsi" w:eastAsiaTheme="minorHAnsi" w:hAnsiTheme="minorHAnsi" w:cstheme="minorBidi"/>
          <w:color w:val="auto"/>
          <w:sz w:val="24"/>
          <w:szCs w:val="24"/>
        </w:rPr>
        <w:t>.</w:t>
      </w:r>
      <w:r w:rsidR="00613717">
        <w:rPr>
          <w:rStyle w:val="EndnoteReference"/>
          <w:rFonts w:asciiTheme="minorHAnsi" w:eastAsiaTheme="minorHAnsi" w:hAnsiTheme="minorHAnsi" w:cstheme="minorBidi"/>
          <w:color w:val="auto"/>
          <w:sz w:val="24"/>
          <w:szCs w:val="24"/>
        </w:rPr>
        <w:endnoteReference w:id="4"/>
      </w:r>
      <w:r w:rsidR="00BF1C5A">
        <w:rPr>
          <w:rFonts w:asciiTheme="minorHAnsi" w:eastAsiaTheme="minorHAnsi" w:hAnsiTheme="minorHAnsi" w:cstheme="minorBidi"/>
          <w:color w:val="auto"/>
          <w:sz w:val="24"/>
          <w:szCs w:val="24"/>
        </w:rPr>
        <w:t xml:space="preserve"> </w:t>
      </w:r>
      <w:r w:rsidR="005F7AFB" w:rsidRPr="005F7AFB">
        <w:rPr>
          <w:rFonts w:asciiTheme="minorHAnsi" w:eastAsiaTheme="minorHAnsi" w:hAnsiTheme="minorHAnsi" w:cstheme="minorBidi"/>
          <w:color w:val="auto"/>
          <w:sz w:val="24"/>
          <w:szCs w:val="24"/>
        </w:rPr>
        <w:t xml:space="preserve">What is clear is that its price has risen sharply: manoeuvre survives only in the windows that sensing, concealment, electronic warfare and fires can briefly open. </w:t>
      </w:r>
      <w:r w:rsidRPr="004C3B35">
        <w:rPr>
          <w:rFonts w:asciiTheme="minorHAnsi" w:eastAsiaTheme="minorHAnsi" w:hAnsiTheme="minorHAnsi" w:cstheme="minorBidi"/>
          <w:color w:val="auto"/>
          <w:sz w:val="24"/>
          <w:szCs w:val="24"/>
        </w:rPr>
        <w:t>For Ireland, the question is whether a small force can turn that exposure problem into defensive cost.</w:t>
      </w:r>
    </w:p>
    <w:p w14:paraId="4AD83F48" w14:textId="1A7D9ECA" w:rsidR="00E42B4A" w:rsidRDefault="00947EB5" w:rsidP="00947EB5">
      <w:pPr>
        <w:pStyle w:val="Heading2"/>
        <w:rPr>
          <w:rFonts w:asciiTheme="minorHAnsi" w:eastAsiaTheme="minorHAnsi" w:hAnsiTheme="minorHAnsi" w:cstheme="minorBidi"/>
          <w:color w:val="auto"/>
          <w:sz w:val="24"/>
          <w:szCs w:val="24"/>
        </w:rPr>
      </w:pPr>
      <w:r w:rsidRPr="00262708">
        <w:rPr>
          <w:rFonts w:asciiTheme="minorHAnsi" w:eastAsiaTheme="minorHAnsi" w:hAnsiTheme="minorHAnsi" w:cstheme="minorBidi"/>
          <w:color w:val="auto"/>
          <w:sz w:val="24"/>
          <w:szCs w:val="24"/>
        </w:rPr>
        <w:t>Ireland has no national security strategy and no settled defence policy; the Defence Policy Review</w:t>
      </w:r>
      <w:r w:rsidR="00613717">
        <w:rPr>
          <w:rStyle w:val="EndnoteReference"/>
          <w:rFonts w:asciiTheme="minorHAnsi" w:eastAsiaTheme="minorHAnsi" w:hAnsiTheme="minorHAnsi" w:cstheme="minorBidi"/>
          <w:color w:val="auto"/>
          <w:sz w:val="24"/>
          <w:szCs w:val="24"/>
        </w:rPr>
        <w:endnoteReference w:id="5"/>
      </w:r>
      <w:r w:rsidRPr="00262708">
        <w:rPr>
          <w:rFonts w:asciiTheme="minorHAnsi" w:eastAsiaTheme="minorHAnsi" w:hAnsiTheme="minorHAnsi" w:cstheme="minorBidi"/>
          <w:color w:val="auto"/>
          <w:sz w:val="24"/>
          <w:szCs w:val="24"/>
        </w:rPr>
        <w:t xml:space="preserve"> </w:t>
      </w:r>
      <w:r>
        <w:rPr>
          <w:rFonts w:asciiTheme="minorHAnsi" w:eastAsiaTheme="minorHAnsi" w:hAnsiTheme="minorHAnsi" w:cstheme="minorBidi"/>
          <w:color w:val="auto"/>
          <w:sz w:val="24"/>
          <w:szCs w:val="24"/>
        </w:rPr>
        <w:t>updates the White Paper</w:t>
      </w:r>
      <w:r w:rsidR="00613717">
        <w:rPr>
          <w:rStyle w:val="EndnoteReference"/>
          <w:rFonts w:asciiTheme="minorHAnsi" w:eastAsiaTheme="minorHAnsi" w:hAnsiTheme="minorHAnsi" w:cstheme="minorBidi"/>
          <w:color w:val="auto"/>
          <w:sz w:val="24"/>
          <w:szCs w:val="24"/>
        </w:rPr>
        <w:endnoteReference w:id="6"/>
      </w:r>
      <w:r w:rsidR="00E2362A">
        <w:rPr>
          <w:rFonts w:asciiTheme="minorHAnsi" w:eastAsiaTheme="minorHAnsi" w:hAnsiTheme="minorHAnsi" w:cstheme="minorBidi"/>
          <w:color w:val="auto"/>
          <w:sz w:val="24"/>
          <w:szCs w:val="24"/>
        </w:rPr>
        <w:t xml:space="preserve"> — </w:t>
      </w:r>
      <w:r>
        <w:rPr>
          <w:rFonts w:asciiTheme="minorHAnsi" w:eastAsiaTheme="minorHAnsi" w:hAnsiTheme="minorHAnsi" w:cstheme="minorBidi"/>
          <w:color w:val="auto"/>
          <w:sz w:val="24"/>
          <w:szCs w:val="24"/>
        </w:rPr>
        <w:t>constituting</w:t>
      </w:r>
      <w:r w:rsidRPr="00262708">
        <w:rPr>
          <w:rFonts w:asciiTheme="minorHAnsi" w:eastAsiaTheme="minorHAnsi" w:hAnsiTheme="minorHAnsi" w:cstheme="minorBidi"/>
          <w:color w:val="auto"/>
          <w:sz w:val="24"/>
          <w:szCs w:val="24"/>
        </w:rPr>
        <w:t xml:space="preserve"> a de facto substitute</w:t>
      </w:r>
      <w:r>
        <w:rPr>
          <w:rFonts w:asciiTheme="minorHAnsi" w:eastAsiaTheme="minorHAnsi" w:hAnsiTheme="minorHAnsi" w:cstheme="minorBidi"/>
          <w:color w:val="auto"/>
          <w:sz w:val="24"/>
          <w:szCs w:val="24"/>
        </w:rPr>
        <w:t xml:space="preserve">. The military is tasked </w:t>
      </w:r>
      <w:r w:rsidR="00E2362A">
        <w:rPr>
          <w:rFonts w:asciiTheme="minorHAnsi" w:eastAsiaTheme="minorHAnsi" w:hAnsiTheme="minorHAnsi" w:cstheme="minorBidi"/>
          <w:color w:val="auto"/>
          <w:sz w:val="24"/>
          <w:szCs w:val="24"/>
        </w:rPr>
        <w:t xml:space="preserve">to </w:t>
      </w:r>
      <w:r>
        <w:rPr>
          <w:rFonts w:asciiTheme="minorHAnsi" w:eastAsiaTheme="minorHAnsi" w:hAnsiTheme="minorHAnsi" w:cstheme="minorBidi"/>
          <w:color w:val="auto"/>
          <w:sz w:val="24"/>
          <w:szCs w:val="24"/>
        </w:rPr>
        <w:t>“</w:t>
      </w:r>
      <w:r w:rsidRPr="000E53A4">
        <w:rPr>
          <w:rFonts w:asciiTheme="minorHAnsi" w:eastAsiaTheme="minorHAnsi" w:hAnsiTheme="minorHAnsi" w:cstheme="minorBidi"/>
          <w:color w:val="auto"/>
          <w:sz w:val="24"/>
          <w:szCs w:val="24"/>
        </w:rPr>
        <w:t>provide for the military Defence of the</w:t>
      </w:r>
      <w:r>
        <w:rPr>
          <w:rFonts w:asciiTheme="minorHAnsi" w:eastAsiaTheme="minorHAnsi" w:hAnsiTheme="minorHAnsi" w:cstheme="minorBidi"/>
          <w:color w:val="auto"/>
          <w:sz w:val="24"/>
          <w:szCs w:val="24"/>
        </w:rPr>
        <w:t xml:space="preserve"> </w:t>
      </w:r>
      <w:r w:rsidRPr="000E53A4">
        <w:rPr>
          <w:rFonts w:asciiTheme="minorHAnsi" w:eastAsiaTheme="minorHAnsi" w:hAnsiTheme="minorHAnsi" w:cstheme="minorBidi"/>
          <w:color w:val="auto"/>
          <w:sz w:val="24"/>
          <w:szCs w:val="24"/>
        </w:rPr>
        <w:t>State from armed aggression</w:t>
      </w:r>
      <w:r>
        <w:rPr>
          <w:rFonts w:asciiTheme="minorHAnsi" w:eastAsiaTheme="minorHAnsi" w:hAnsiTheme="minorHAnsi" w:cstheme="minorBidi"/>
          <w:color w:val="auto"/>
          <w:sz w:val="24"/>
          <w:szCs w:val="24"/>
        </w:rPr>
        <w:t>”.</w:t>
      </w:r>
      <w:r w:rsidRPr="00262708">
        <w:rPr>
          <w:rFonts w:asciiTheme="minorHAnsi" w:eastAsiaTheme="minorHAnsi" w:hAnsiTheme="minorHAnsi" w:cstheme="minorBidi"/>
          <w:color w:val="auto"/>
          <w:sz w:val="24"/>
          <w:szCs w:val="24"/>
        </w:rPr>
        <w:t xml:space="preserve"> </w:t>
      </w:r>
      <w:r>
        <w:rPr>
          <w:rFonts w:asciiTheme="minorHAnsi" w:eastAsiaTheme="minorHAnsi" w:hAnsiTheme="minorHAnsi" w:cstheme="minorBidi"/>
          <w:color w:val="auto"/>
          <w:sz w:val="24"/>
          <w:szCs w:val="24"/>
        </w:rPr>
        <w:t>While m</w:t>
      </w:r>
      <w:r w:rsidRPr="00262708">
        <w:rPr>
          <w:rFonts w:asciiTheme="minorHAnsi" w:eastAsiaTheme="minorHAnsi" w:hAnsiTheme="minorHAnsi" w:cstheme="minorBidi"/>
          <w:color w:val="auto"/>
          <w:sz w:val="24"/>
          <w:szCs w:val="24"/>
        </w:rPr>
        <w:t xml:space="preserve">ilitary </w:t>
      </w:r>
      <w:r>
        <w:rPr>
          <w:rFonts w:asciiTheme="minorHAnsi" w:eastAsiaTheme="minorHAnsi" w:hAnsiTheme="minorHAnsi" w:cstheme="minorBidi"/>
          <w:color w:val="auto"/>
          <w:sz w:val="24"/>
          <w:szCs w:val="24"/>
        </w:rPr>
        <w:t>strategy and operations</w:t>
      </w:r>
      <w:r w:rsidRPr="00262708">
        <w:rPr>
          <w:rFonts w:asciiTheme="minorHAnsi" w:eastAsiaTheme="minorHAnsi" w:hAnsiTheme="minorHAnsi" w:cstheme="minorBidi"/>
          <w:color w:val="auto"/>
          <w:sz w:val="24"/>
          <w:szCs w:val="24"/>
        </w:rPr>
        <w:t xml:space="preserve"> can organise effort</w:t>
      </w:r>
      <w:r>
        <w:rPr>
          <w:rFonts w:asciiTheme="minorHAnsi" w:eastAsiaTheme="minorHAnsi" w:hAnsiTheme="minorHAnsi" w:cstheme="minorBidi"/>
          <w:color w:val="auto"/>
          <w:sz w:val="24"/>
          <w:szCs w:val="24"/>
        </w:rPr>
        <w:t>, policy directs</w:t>
      </w:r>
      <w:r w:rsidRPr="00262708">
        <w:rPr>
          <w:rFonts w:asciiTheme="minorHAnsi" w:eastAsiaTheme="minorHAnsi" w:hAnsiTheme="minorHAnsi" w:cstheme="minorBidi"/>
          <w:color w:val="auto"/>
          <w:sz w:val="24"/>
          <w:szCs w:val="24"/>
        </w:rPr>
        <w:t xml:space="preserve">. In that vacuum, force design drifts toward continuity. </w:t>
      </w:r>
    </w:p>
    <w:p w14:paraId="6769E7F3" w14:textId="49F57816" w:rsidR="00947EB5" w:rsidRDefault="007F74B6" w:rsidP="00947EB5">
      <w:pPr>
        <w:pStyle w:val="Heading2"/>
        <w:rPr>
          <w:rFonts w:asciiTheme="minorHAnsi" w:eastAsiaTheme="minorHAnsi" w:hAnsiTheme="minorHAnsi" w:cstheme="minorBidi"/>
          <w:color w:val="auto"/>
          <w:sz w:val="24"/>
          <w:szCs w:val="24"/>
        </w:rPr>
      </w:pPr>
      <w:r w:rsidRPr="007F74B6">
        <w:rPr>
          <w:rFonts w:asciiTheme="minorHAnsi" w:eastAsiaTheme="minorHAnsi" w:hAnsiTheme="minorHAnsi" w:cstheme="minorBidi"/>
          <w:color w:val="auto"/>
          <w:sz w:val="24"/>
          <w:szCs w:val="24"/>
        </w:rPr>
        <w:t>Territorial defence is no longer implausible. It remains politically constrained and under-resourced, but force design cannot assume Europe’s post-1945 “long peace”</w:t>
      </w:r>
      <w:r w:rsidR="00613717">
        <w:rPr>
          <w:rStyle w:val="EndnoteReference"/>
          <w:rFonts w:asciiTheme="minorHAnsi" w:eastAsiaTheme="minorHAnsi" w:hAnsiTheme="minorHAnsi" w:cstheme="minorBidi"/>
          <w:color w:val="auto"/>
          <w:sz w:val="24"/>
          <w:szCs w:val="24"/>
        </w:rPr>
        <w:endnoteReference w:id="7"/>
      </w:r>
      <w:r w:rsidRPr="007F74B6">
        <w:rPr>
          <w:rFonts w:asciiTheme="minorHAnsi" w:eastAsiaTheme="minorHAnsi" w:hAnsiTheme="minorHAnsi" w:cstheme="minorBidi"/>
          <w:color w:val="auto"/>
          <w:sz w:val="24"/>
          <w:szCs w:val="24"/>
        </w:rPr>
        <w:t xml:space="preserve"> will continue indefinitely</w:t>
      </w:r>
      <w:r w:rsidR="00947EB5" w:rsidRPr="00CA53E2">
        <w:rPr>
          <w:rFonts w:asciiTheme="minorHAnsi" w:eastAsiaTheme="minorHAnsi" w:hAnsiTheme="minorHAnsi" w:cstheme="minorBidi"/>
          <w:color w:val="auto"/>
          <w:sz w:val="24"/>
          <w:szCs w:val="24"/>
        </w:rPr>
        <w:t>.</w:t>
      </w:r>
      <w:r w:rsidR="00947EB5">
        <w:rPr>
          <w:rFonts w:asciiTheme="minorHAnsi" w:eastAsiaTheme="minorHAnsi" w:hAnsiTheme="minorHAnsi" w:cstheme="minorBidi"/>
          <w:color w:val="auto"/>
          <w:sz w:val="24"/>
          <w:szCs w:val="24"/>
        </w:rPr>
        <w:t xml:space="preserve"> </w:t>
      </w:r>
      <w:r w:rsidR="00210E07">
        <w:rPr>
          <w:rFonts w:asciiTheme="minorHAnsi" w:eastAsiaTheme="minorHAnsi" w:hAnsiTheme="minorHAnsi" w:cstheme="minorBidi"/>
          <w:color w:val="auto"/>
          <w:sz w:val="24"/>
          <w:szCs w:val="24"/>
        </w:rPr>
        <w:t>The d</w:t>
      </w:r>
      <w:r w:rsidR="00BD22DF">
        <w:rPr>
          <w:rFonts w:asciiTheme="minorHAnsi" w:eastAsiaTheme="minorHAnsi" w:hAnsiTheme="minorHAnsi" w:cstheme="minorBidi"/>
          <w:color w:val="auto"/>
          <w:sz w:val="24"/>
          <w:szCs w:val="24"/>
        </w:rPr>
        <w:t>ispute over</w:t>
      </w:r>
      <w:r w:rsidR="00A5525D">
        <w:rPr>
          <w:rFonts w:asciiTheme="minorHAnsi" w:eastAsiaTheme="minorHAnsi" w:hAnsiTheme="minorHAnsi" w:cstheme="minorBidi"/>
          <w:color w:val="auto"/>
          <w:sz w:val="24"/>
          <w:szCs w:val="24"/>
        </w:rPr>
        <w:t xml:space="preserve"> </w:t>
      </w:r>
      <w:r w:rsidR="00947EB5" w:rsidRPr="00B46909">
        <w:rPr>
          <w:rFonts w:asciiTheme="minorHAnsi" w:eastAsiaTheme="minorHAnsi" w:hAnsiTheme="minorHAnsi" w:cstheme="minorBidi"/>
          <w:color w:val="auto"/>
          <w:sz w:val="24"/>
          <w:szCs w:val="24"/>
        </w:rPr>
        <w:t>Greenland</w:t>
      </w:r>
      <w:r w:rsidR="00613717">
        <w:rPr>
          <w:rStyle w:val="EndnoteReference"/>
          <w:rFonts w:asciiTheme="minorHAnsi" w:eastAsiaTheme="minorHAnsi" w:hAnsiTheme="minorHAnsi" w:cstheme="minorBidi"/>
          <w:color w:val="auto"/>
          <w:sz w:val="24"/>
          <w:szCs w:val="24"/>
        </w:rPr>
        <w:endnoteReference w:id="8"/>
      </w:r>
      <w:r w:rsidR="00947EB5" w:rsidRPr="00B46909">
        <w:rPr>
          <w:rFonts w:asciiTheme="minorHAnsi" w:eastAsiaTheme="minorHAnsi" w:hAnsiTheme="minorHAnsi" w:cstheme="minorBidi"/>
          <w:color w:val="auto"/>
          <w:sz w:val="24"/>
          <w:szCs w:val="24"/>
        </w:rPr>
        <w:t xml:space="preserve"> and Denmark’s response</w:t>
      </w:r>
      <w:r w:rsidR="00613717">
        <w:rPr>
          <w:rStyle w:val="EndnoteReference"/>
          <w:rFonts w:asciiTheme="minorHAnsi" w:eastAsiaTheme="minorHAnsi" w:hAnsiTheme="minorHAnsi" w:cstheme="minorBidi"/>
          <w:color w:val="auto"/>
          <w:sz w:val="24"/>
          <w:szCs w:val="24"/>
        </w:rPr>
        <w:endnoteReference w:id="9"/>
      </w:r>
      <w:r w:rsidR="00947EB5" w:rsidRPr="00B46909">
        <w:rPr>
          <w:rFonts w:asciiTheme="minorHAnsi" w:eastAsiaTheme="minorHAnsi" w:hAnsiTheme="minorHAnsi" w:cstheme="minorBidi"/>
          <w:color w:val="auto"/>
          <w:sz w:val="24"/>
          <w:szCs w:val="24"/>
        </w:rPr>
        <w:t xml:space="preserve">  </w:t>
      </w:r>
      <w:r w:rsidR="00530028" w:rsidRPr="00530028">
        <w:rPr>
          <w:rFonts w:asciiTheme="minorHAnsi" w:eastAsiaTheme="minorHAnsi" w:hAnsiTheme="minorHAnsi" w:cstheme="minorBidi"/>
          <w:color w:val="auto"/>
          <w:sz w:val="24"/>
          <w:szCs w:val="24"/>
        </w:rPr>
        <w:t>show how quickly strategically marginal scenarios can become plausible</w:t>
      </w:r>
      <w:r w:rsidR="002E5AF4">
        <w:rPr>
          <w:rFonts w:asciiTheme="minorHAnsi" w:eastAsiaTheme="minorHAnsi" w:hAnsiTheme="minorHAnsi" w:cstheme="minorBidi"/>
          <w:color w:val="auto"/>
          <w:sz w:val="24"/>
          <w:szCs w:val="24"/>
        </w:rPr>
        <w:t xml:space="preserve"> planning problems</w:t>
      </w:r>
      <w:r w:rsidR="00BD22DF">
        <w:rPr>
          <w:rFonts w:asciiTheme="minorHAnsi" w:eastAsiaTheme="minorHAnsi" w:hAnsiTheme="minorHAnsi" w:cstheme="minorBidi"/>
          <w:color w:val="auto"/>
          <w:sz w:val="24"/>
          <w:szCs w:val="24"/>
        </w:rPr>
        <w:t>.</w:t>
      </w:r>
      <w:r w:rsidR="00A5525D" w:rsidRPr="00A5525D">
        <w:t xml:space="preserve"> </w:t>
      </w:r>
      <w:r w:rsidR="00A5525D" w:rsidRPr="00A5525D">
        <w:rPr>
          <w:rFonts w:asciiTheme="minorHAnsi" w:eastAsiaTheme="minorHAnsi" w:hAnsiTheme="minorHAnsi" w:cstheme="minorBidi"/>
          <w:color w:val="auto"/>
          <w:sz w:val="24"/>
          <w:szCs w:val="24"/>
        </w:rPr>
        <w:t xml:space="preserve">Threat perception is a poor guide to future risk. Without </w:t>
      </w:r>
      <w:proofErr w:type="spellStart"/>
      <w:r w:rsidR="00A5525D" w:rsidRPr="00A5525D">
        <w:rPr>
          <w:rFonts w:asciiTheme="minorHAnsi" w:eastAsiaTheme="minorHAnsi" w:hAnsiTheme="minorHAnsi" w:cstheme="minorBidi"/>
          <w:color w:val="auto"/>
          <w:sz w:val="24"/>
          <w:szCs w:val="24"/>
        </w:rPr>
        <w:t>UxS</w:t>
      </w:r>
      <w:proofErr w:type="spellEnd"/>
      <w:r w:rsidR="00A5525D" w:rsidRPr="00A5525D">
        <w:rPr>
          <w:rFonts w:asciiTheme="minorHAnsi" w:eastAsiaTheme="minorHAnsi" w:hAnsiTheme="minorHAnsi" w:cstheme="minorBidi"/>
          <w:color w:val="auto"/>
          <w:sz w:val="24"/>
          <w:szCs w:val="24"/>
        </w:rPr>
        <w:t xml:space="preserve"> adaptation, Ireland risks preserving yesterday’s force without a credible theory of victory for </w:t>
      </w:r>
      <w:r w:rsidR="00CE7751">
        <w:rPr>
          <w:rFonts w:asciiTheme="minorHAnsi" w:eastAsiaTheme="minorHAnsi" w:hAnsiTheme="minorHAnsi" w:cstheme="minorBidi"/>
          <w:color w:val="auto"/>
          <w:sz w:val="24"/>
          <w:szCs w:val="24"/>
        </w:rPr>
        <w:t>future conflict</w:t>
      </w:r>
      <w:r w:rsidR="00A5525D" w:rsidRPr="00A5525D">
        <w:rPr>
          <w:rFonts w:asciiTheme="minorHAnsi" w:eastAsiaTheme="minorHAnsi" w:hAnsiTheme="minorHAnsi" w:cstheme="minorBidi"/>
          <w:color w:val="auto"/>
          <w:sz w:val="24"/>
          <w:szCs w:val="24"/>
        </w:rPr>
        <w:t>.</w:t>
      </w:r>
      <w:r w:rsidR="00947EB5">
        <w:rPr>
          <w:rFonts w:asciiTheme="minorHAnsi" w:eastAsiaTheme="minorHAnsi" w:hAnsiTheme="minorHAnsi" w:cstheme="minorBidi"/>
          <w:color w:val="auto"/>
          <w:sz w:val="24"/>
          <w:szCs w:val="24"/>
        </w:rPr>
        <w:t xml:space="preserve"> </w:t>
      </w:r>
      <w:r w:rsidR="00BD22DF" w:rsidRPr="00BD22DF">
        <w:rPr>
          <w:rFonts w:asciiTheme="minorHAnsi" w:eastAsiaTheme="minorHAnsi" w:hAnsiTheme="minorHAnsi" w:cstheme="minorBidi"/>
          <w:color w:val="auto"/>
          <w:sz w:val="24"/>
          <w:szCs w:val="24"/>
        </w:rPr>
        <w:t>Any force arriving by sea or air must be contested on land; that task falls primarily to light infantry.</w:t>
      </w:r>
      <w:r w:rsidR="00BF065B" w:rsidRPr="00BF065B">
        <w:rPr>
          <w:rFonts w:asciiTheme="minorHAnsi" w:eastAsiaTheme="minorHAnsi" w:hAnsiTheme="minorHAnsi" w:cstheme="minorBidi"/>
          <w:color w:val="auto"/>
          <w:sz w:val="24"/>
          <w:szCs w:val="24"/>
        </w:rPr>
        <w:t xml:space="preserve"> That makes the section</w:t>
      </w:r>
      <w:r w:rsidR="00BF065B">
        <w:rPr>
          <w:rFonts w:asciiTheme="minorHAnsi" w:eastAsiaTheme="minorHAnsi" w:hAnsiTheme="minorHAnsi" w:cstheme="minorBidi"/>
          <w:color w:val="auto"/>
          <w:sz w:val="24"/>
          <w:szCs w:val="24"/>
        </w:rPr>
        <w:t xml:space="preserve"> the</w:t>
      </w:r>
      <w:r w:rsidR="00BF065B" w:rsidRPr="00BF065B">
        <w:rPr>
          <w:rFonts w:asciiTheme="minorHAnsi" w:eastAsiaTheme="minorHAnsi" w:hAnsiTheme="minorHAnsi" w:cstheme="minorBidi"/>
          <w:color w:val="auto"/>
          <w:sz w:val="24"/>
          <w:szCs w:val="24"/>
        </w:rPr>
        <w:t xml:space="preserve"> critical unit of analysis. </w:t>
      </w:r>
    </w:p>
    <w:p w14:paraId="38021E4B" w14:textId="77777777" w:rsidR="00CC44E2" w:rsidRDefault="00CC44E2">
      <w:r>
        <w:br w:type="page"/>
      </w:r>
    </w:p>
    <w:p w14:paraId="5AB6E8DB" w14:textId="60E6CA3C" w:rsidR="003C060B" w:rsidRDefault="006C15B4" w:rsidP="00947EB5">
      <w:r w:rsidRPr="00803FC3">
        <w:lastRenderedPageBreak/>
        <w:t>Capability is sometimes reduced to equipment, but it is better understood as the synthesis described by DOTMLPF-I</w:t>
      </w:r>
      <w:r>
        <w:t>.</w:t>
      </w:r>
      <w:r w:rsidR="00613717">
        <w:rPr>
          <w:rStyle w:val="EndnoteReference"/>
        </w:rPr>
        <w:endnoteReference w:id="10"/>
      </w:r>
      <w:r w:rsidR="00613717" w:rsidRPr="00174027">
        <w:t xml:space="preserve"> </w:t>
      </w:r>
      <w:r w:rsidR="00174027" w:rsidRPr="00174027">
        <w:t>Ireland’s light infantry section is not an equipment problem; it is a structure overtaken by the threat.</w:t>
      </w:r>
      <w:r w:rsidR="00174027">
        <w:t xml:space="preserve"> </w:t>
      </w:r>
      <w:r w:rsidR="00947EB5">
        <w:t>O</w:t>
      </w:r>
      <w:r w:rsidR="00947EB5" w:rsidRPr="00803FC3">
        <w:t>n that basis</w:t>
      </w:r>
      <w:r w:rsidR="00D427C5">
        <w:t>,</w:t>
      </w:r>
      <w:r w:rsidR="00947EB5" w:rsidRPr="00803FC3">
        <w:t xml:space="preserve"> the section fails against nearly every line. Its doctrine</w:t>
      </w:r>
      <w:r w:rsidR="00613717">
        <w:rPr>
          <w:rStyle w:val="EndnoteReference"/>
        </w:rPr>
        <w:endnoteReference w:id="11"/>
      </w:r>
      <w:r w:rsidR="00947EB5" w:rsidRPr="00803FC3">
        <w:t xml:space="preserve"> remains that of a foot-mobile light infantry section, </w:t>
      </w:r>
      <w:r w:rsidR="00947EB5" w:rsidRPr="00803FC3">
        <w:rPr>
          <w:highlight w:val="yellow"/>
        </w:rPr>
        <w:t>never reconciled with the vehicles now built to carry it</w:t>
      </w:r>
      <w:r w:rsidR="00947EB5" w:rsidRPr="00803FC3">
        <w:t>. Its organisation may now be rebuilt around vehicle capacity,</w:t>
      </w:r>
      <w:r w:rsidR="00613717">
        <w:rPr>
          <w:rStyle w:val="EndnoteReference"/>
        </w:rPr>
        <w:endnoteReference w:id="12"/>
      </w:r>
      <w:r w:rsidR="00947EB5" w:rsidRPr="008762BE">
        <w:rPr>
          <w:rStyle w:val="FootnoteReference"/>
        </w:rPr>
        <w:t xml:space="preserve"> </w:t>
      </w:r>
      <w:r w:rsidR="00947EB5" w:rsidRPr="00803FC3">
        <w:t xml:space="preserve">on the assumption that one section must fit one carrier </w:t>
      </w:r>
      <w:r w:rsidR="00947EB5" w:rsidRPr="00C2058B">
        <w:rPr>
          <w:strike/>
        </w:rPr>
        <w:t>— a constraint more appropriate for mechanised and armoured formations</w:t>
      </w:r>
      <w:r w:rsidR="00947EB5">
        <w:t xml:space="preserve">. </w:t>
      </w:r>
      <w:r w:rsidR="00947EB5" w:rsidRPr="00803FC3">
        <w:t>It</w:t>
      </w:r>
      <w:r w:rsidR="00947EB5">
        <w:t xml:space="preserve"> should</w:t>
      </w:r>
      <w:r w:rsidR="00947EB5" w:rsidRPr="00803FC3">
        <w:t xml:space="preserve"> not bind light infantry, which </w:t>
      </w:r>
      <w:r w:rsidR="00A83B46">
        <w:t>can move</w:t>
      </w:r>
      <w:r w:rsidR="00947EB5" w:rsidRPr="00803FC3">
        <w:t xml:space="preserve"> on foot or in soft-skin vehicles, increasingly all-terrain </w:t>
      </w:r>
      <w:r w:rsidR="00947EB5">
        <w:t>vehicles</w:t>
      </w:r>
      <w:r w:rsidR="00D427C5">
        <w:t xml:space="preserve"> </w:t>
      </w:r>
      <w:r w:rsidR="00947EB5" w:rsidRPr="00803FC3">
        <w:t>such as the ULTV.</w:t>
      </w:r>
      <w:r w:rsidR="00613717">
        <w:rPr>
          <w:rStyle w:val="EndnoteReference"/>
        </w:rPr>
        <w:endnoteReference w:id="13"/>
      </w:r>
      <w:r w:rsidR="00947EB5" w:rsidRPr="00803FC3">
        <w:rPr>
          <w:rStyle w:val="FootnoteReference"/>
        </w:rPr>
        <w:t xml:space="preserve"> </w:t>
      </w:r>
      <w:r w:rsidR="00947EB5">
        <w:rPr>
          <w:rStyle w:val="FootnoteReference"/>
        </w:rPr>
        <w:t xml:space="preserve"> </w:t>
      </w:r>
      <w:r w:rsidR="00947EB5">
        <w:t>I</w:t>
      </w:r>
      <w:r w:rsidR="00947EB5" w:rsidRPr="00227DF4">
        <w:t>t</w:t>
      </w:r>
      <w:r w:rsidR="00214E78">
        <w:t xml:space="preserve"> still trains </w:t>
      </w:r>
      <w:r w:rsidR="00D427C5">
        <w:t>20</w:t>
      </w:r>
      <w:r w:rsidR="00D427C5" w:rsidRPr="00D427C5">
        <w:rPr>
          <w:vertAlign w:val="superscript"/>
        </w:rPr>
        <w:t>th</w:t>
      </w:r>
      <w:r w:rsidR="00D427C5">
        <w:t xml:space="preserve"> century </w:t>
      </w:r>
      <w:r w:rsidR="00947EB5" w:rsidRPr="00227DF4">
        <w:t xml:space="preserve">conventional </w:t>
      </w:r>
      <w:r w:rsidR="00D427C5">
        <w:t>tactics</w:t>
      </w:r>
      <w:r w:rsidR="00947EB5" w:rsidRPr="00227DF4">
        <w:t xml:space="preserve"> and </w:t>
      </w:r>
      <w:r w:rsidR="00214E78">
        <w:t xml:space="preserve">for </w:t>
      </w:r>
      <w:r w:rsidR="00947EB5" w:rsidRPr="00227DF4">
        <w:t xml:space="preserve">the peace-support tasks of the decades since. </w:t>
      </w:r>
      <w:r w:rsidR="007B7BC3" w:rsidRPr="007B7BC3">
        <w:t>It neglects</w:t>
      </w:r>
      <w:r w:rsidR="006E5232">
        <w:t xml:space="preserve"> dispersion, </w:t>
      </w:r>
      <w:r w:rsidR="007B7BC3" w:rsidRPr="007B7BC3">
        <w:t>“infobesity” — the cognitive burden of sensor-rich combat</w:t>
      </w:r>
      <w:r w:rsidR="00694A56">
        <w:rPr>
          <w:rStyle w:val="EndnoteReference"/>
        </w:rPr>
        <w:endnoteReference w:id="14"/>
      </w:r>
      <w:r w:rsidR="007B7BC3" w:rsidRPr="007B7BC3">
        <w:t xml:space="preserve"> —</w:t>
      </w:r>
      <w:r w:rsidR="007B7BC3">
        <w:t xml:space="preserve"> </w:t>
      </w:r>
      <w:r w:rsidR="00947EB5" w:rsidRPr="00227DF4">
        <w:t>and</w:t>
      </w:r>
      <w:r w:rsidR="005C0AE1">
        <w:t xml:space="preserve"> the</w:t>
      </w:r>
      <w:r w:rsidR="00947EB5" w:rsidRPr="00227DF4">
        <w:t xml:space="preserve"> exposure of a section that can be found and struck on a checkpoint or logistics convoy as readily as in battle, without higher-echelon cover. </w:t>
      </w:r>
      <w:r w:rsidR="003C060B" w:rsidRPr="003C060B">
        <w:t xml:space="preserve">Its materiel reflects a Cold War mentality. Its leadership is not configured for mission command under persistent observation. </w:t>
      </w:r>
      <w:r w:rsidR="00335369">
        <w:t>It fields</w:t>
      </w:r>
      <w:r w:rsidR="003C060B" w:rsidRPr="003C060B">
        <w:t xml:space="preserve"> too few soldiers to carry the cognitive load, operate the new systems and remain cohesive once dispersed. Adding drones changes none of that. </w:t>
      </w:r>
    </w:p>
    <w:p w14:paraId="1ED1A5A1" w14:textId="73770BD0" w:rsidR="00B47134" w:rsidRPr="00B47134" w:rsidRDefault="00B47134" w:rsidP="00B47134">
      <w:r w:rsidRPr="00B47134">
        <w:t xml:space="preserve">These are not uniquely Irish problems. Section design, vehicle capacity, organic support weapons and UAS integration are being reconsidered elsewhere. French RI 2030 reform shows one mechanised </w:t>
      </w:r>
      <w:r w:rsidR="001A7BA9">
        <w:t>solution</w:t>
      </w:r>
      <w:r w:rsidRPr="00B47134">
        <w:t>: the vehicle acts as a mission-configurable “weapons store”, anti-armour is distributed across combat groups</w:t>
      </w:r>
      <w:r w:rsidR="004D0C8F">
        <w:t xml:space="preserve"> and</w:t>
      </w:r>
      <w:r w:rsidRPr="00B47134">
        <w:t xml:space="preserve"> platoon</w:t>
      </w:r>
      <w:r w:rsidR="004D0C8F">
        <w:t>-</w:t>
      </w:r>
      <w:r w:rsidRPr="00B47134">
        <w:t>level</w:t>
      </w:r>
      <w:r w:rsidR="004D0C8F">
        <w:t xml:space="preserve"> UAS while</w:t>
      </w:r>
      <w:r w:rsidRPr="00B47134">
        <w:t xml:space="preserve"> heavier UAS, EW and robotic effects remain </w:t>
      </w:r>
      <w:r w:rsidR="004D0C8F">
        <w:t>separate</w:t>
      </w:r>
      <w:r w:rsidRPr="00B47134">
        <w:t>.</w:t>
      </w:r>
      <w:r w:rsidR="007566C6">
        <w:rPr>
          <w:rStyle w:val="EndnoteReference"/>
        </w:rPr>
        <w:endnoteReference w:id="15"/>
      </w:r>
      <w:r w:rsidR="008E0498">
        <w:t xml:space="preserve"> </w:t>
      </w:r>
      <w:r w:rsidR="00A72C99" w:rsidRPr="00A72C99">
        <w:t>For a mechanised force, that is coherent</w:t>
      </w:r>
      <w:r w:rsidR="00127967">
        <w:t>.</w:t>
      </w:r>
      <w:r w:rsidR="00A72C99" w:rsidRPr="00A72C99">
        <w:t xml:space="preserve"> For Irish light</w:t>
      </w:r>
      <w:r w:rsidR="004D0C8F">
        <w:t xml:space="preserve"> and mechanised</w:t>
      </w:r>
      <w:r w:rsidR="00A72C99" w:rsidRPr="00A72C99">
        <w:t xml:space="preserve"> infantry, it</w:t>
      </w:r>
      <w:r w:rsidR="004D0C8F">
        <w:t xml:space="preserve"> may not </w:t>
      </w:r>
      <w:r w:rsidR="001C75AE">
        <w:t>suffice</w:t>
      </w:r>
      <w:r w:rsidR="00A72C99" w:rsidRPr="00A72C99">
        <w:t xml:space="preserve">. </w:t>
      </w:r>
      <w:r w:rsidRPr="00B47134">
        <w:t xml:space="preserve">The British Army’s experimental </w:t>
      </w:r>
      <w:r w:rsidR="00127967" w:rsidRPr="00294FE3">
        <w:rPr>
          <w:i/>
          <w:iCs/>
        </w:rPr>
        <w:t>urban-optimised</w:t>
      </w:r>
      <w:r w:rsidR="00127967">
        <w:t xml:space="preserve"> </w:t>
      </w:r>
      <w:r w:rsidRPr="00B47134">
        <w:t xml:space="preserve">Phalanx Platoon </w:t>
      </w:r>
      <w:r>
        <w:t>C</w:t>
      </w:r>
      <w:r w:rsidRPr="00B47134">
        <w:t>oncept</w:t>
      </w:r>
      <w:r w:rsidR="005453F0">
        <w:rPr>
          <w:rStyle w:val="EndnoteReference"/>
        </w:rPr>
        <w:endnoteReference w:id="16"/>
      </w:r>
      <w:r w:rsidRPr="00B47134">
        <w:t xml:space="preserve"> points in the same direction from a different angle. Yet adaptation remains uneven. Exercises such as </w:t>
      </w:r>
      <w:proofErr w:type="spellStart"/>
      <w:r w:rsidR="00F92358" w:rsidRPr="00F92358">
        <w:rPr>
          <w:i/>
          <w:iCs/>
        </w:rPr>
        <w:t>Gévaudan</w:t>
      </w:r>
      <w:proofErr w:type="spellEnd"/>
      <w:r w:rsidR="00F92358" w:rsidRPr="00F92358">
        <w:rPr>
          <w:i/>
          <w:iCs/>
        </w:rPr>
        <w:t xml:space="preserve"> 26</w:t>
      </w:r>
      <w:r w:rsidR="00F92358" w:rsidRPr="003C060B">
        <w:t xml:space="preserve"> </w:t>
      </w:r>
      <w:r w:rsidR="00F92358">
        <w:t xml:space="preserve">and </w:t>
      </w:r>
      <w:r w:rsidR="00F92358" w:rsidRPr="00F92358">
        <w:rPr>
          <w:i/>
          <w:iCs/>
        </w:rPr>
        <w:t>Hedgehog</w:t>
      </w:r>
      <w:r w:rsidR="00694A56">
        <w:rPr>
          <w:rStyle w:val="EndnoteReference"/>
          <w:i/>
          <w:iCs/>
        </w:rPr>
        <w:endnoteReference w:id="17"/>
      </w:r>
      <w:r w:rsidR="00B86BAF">
        <w:t xml:space="preserve"> </w:t>
      </w:r>
      <w:r w:rsidRPr="00B47134">
        <w:t xml:space="preserve">suggest that integrating drones is easier than adapting </w:t>
      </w:r>
      <w:r w:rsidR="0021641C">
        <w:t>to the implications of</w:t>
      </w:r>
      <w:r w:rsidRPr="00B47134">
        <w:t xml:space="preserve"> persistent observation. The challenge is therefore not acquiring uncrewed systems, but redesigning the infantry section around the battlefield they have created.</w:t>
      </w:r>
      <w:r w:rsidR="00694A56">
        <w:rPr>
          <w:rStyle w:val="EndnoteReference"/>
        </w:rPr>
        <w:endnoteReference w:id="18"/>
      </w:r>
      <w:r w:rsidR="00BF0F0F">
        <w:t xml:space="preserve"> </w:t>
      </w:r>
    </w:p>
    <w:p w14:paraId="449AE38F" w14:textId="7078BD46" w:rsidR="00B47134" w:rsidRDefault="00B47134" w:rsidP="00947EB5"/>
    <w:p w14:paraId="2F040274" w14:textId="3AE854E9" w:rsidR="00B53E30" w:rsidRPr="001C75AE" w:rsidRDefault="00FA5FF6" w:rsidP="00947EB5">
      <w:pPr>
        <w:rPr>
          <w:highlight w:val="yellow"/>
        </w:rPr>
      </w:pPr>
      <w:r w:rsidRPr="001C75AE">
        <w:rPr>
          <w:highlight w:val="yellow"/>
        </w:rPr>
        <w:t>Need access to this janes article</w:t>
      </w:r>
      <w:r w:rsidR="004D0C8F" w:rsidRPr="001C75AE">
        <w:rPr>
          <w:highlight w:val="yellow"/>
        </w:rPr>
        <w:t xml:space="preserve">: </w:t>
      </w:r>
      <w:hyperlink r:id="rId8" w:history="1">
        <w:r w:rsidR="004D0C8F" w:rsidRPr="001C75AE">
          <w:rPr>
            <w:rStyle w:val="Hyperlink"/>
            <w:highlight w:val="yellow"/>
          </w:rPr>
          <w:t>https://www.janes.com/defence-intelligence-insights/defence-news/air/french-army-restructures-its-infantry-battalions</w:t>
        </w:r>
      </w:hyperlink>
    </w:p>
    <w:p w14:paraId="72C41B37" w14:textId="0970070F" w:rsidR="00B53E30" w:rsidRPr="00803FC3" w:rsidRDefault="004D0C8F" w:rsidP="00947EB5">
      <w:r w:rsidRPr="001C75AE">
        <w:rPr>
          <w:highlight w:val="yellow"/>
        </w:rPr>
        <w:t xml:space="preserve">need access to this janes article: </w:t>
      </w:r>
      <w:r w:rsidR="00B53E30" w:rsidRPr="001C75AE">
        <w:rPr>
          <w:highlight w:val="yellow"/>
        </w:rPr>
        <w:t>https://www.janes.com/defence-intelligence-insights/defence-news/weapons/italian-army-improves-infantry-equipment-restructures-units</w:t>
      </w:r>
    </w:p>
    <w:p w14:paraId="6928EFC3" w14:textId="35CECDD7" w:rsidR="001D0016" w:rsidRPr="001D0016" w:rsidRDefault="001D0016" w:rsidP="001D0016">
      <w:r w:rsidRPr="001D0016">
        <w:rPr>
          <w:highlight w:val="yellow"/>
        </w:rPr>
        <w:t xml:space="preserve"> I will reference TM 201 as proof that doctrine hasn’t changed. However, I think I want to cite paragraph 0202 “The fundamental role of the infantry man/woman has changed little over recent centuries: their tasks are still to close with and destroy the enemy or force them to surrender, to seize and hold terrain, to dominate and control close </w:t>
      </w:r>
      <w:r w:rsidRPr="001D0016">
        <w:rPr>
          <w:highlight w:val="yellow"/>
        </w:rPr>
        <w:lastRenderedPageBreak/>
        <w:t>country and finally, to carry out close surveillance”. Then we can say that the first task – their most important – cannot be achieved without substantial review of the doctrine, organisation, training, leadership, materiel,</w:t>
      </w:r>
      <w:r>
        <w:t xml:space="preserve"> </w:t>
      </w:r>
    </w:p>
    <w:p w14:paraId="7D7769F6" w14:textId="77777777" w:rsidR="001D0016" w:rsidRPr="001D0016" w:rsidRDefault="001D0016" w:rsidP="001D0016"/>
    <w:p w14:paraId="517B9CD4" w14:textId="3A05AA27" w:rsidR="00766DD3" w:rsidRPr="00262708" w:rsidRDefault="00766DD3" w:rsidP="00766DD3">
      <w:pPr>
        <w:pStyle w:val="Heading2"/>
        <w:rPr>
          <w:rFonts w:asciiTheme="minorHAnsi" w:eastAsiaTheme="minorHAnsi" w:hAnsiTheme="minorHAnsi" w:cstheme="minorBidi"/>
          <w:color w:val="auto"/>
          <w:sz w:val="24"/>
          <w:szCs w:val="24"/>
        </w:rPr>
      </w:pPr>
      <w:r w:rsidRPr="00262708">
        <w:rPr>
          <w:rFonts w:asciiTheme="minorHAnsi" w:eastAsiaTheme="minorHAnsi" w:hAnsiTheme="minorHAnsi" w:cstheme="minorBidi"/>
          <w:color w:val="auto"/>
          <w:sz w:val="24"/>
          <w:szCs w:val="24"/>
        </w:rPr>
        <w:t xml:space="preserve">Relative combat power </w:t>
      </w:r>
      <w:r>
        <w:rPr>
          <w:rFonts w:asciiTheme="minorHAnsi" w:eastAsiaTheme="minorHAnsi" w:hAnsiTheme="minorHAnsi" w:cstheme="minorBidi"/>
          <w:color w:val="auto"/>
          <w:sz w:val="24"/>
          <w:szCs w:val="24"/>
        </w:rPr>
        <w:t>rewards</w:t>
      </w:r>
      <w:r w:rsidRPr="00262708">
        <w:rPr>
          <w:rFonts w:asciiTheme="minorHAnsi" w:eastAsiaTheme="minorHAnsi" w:hAnsiTheme="minorHAnsi" w:cstheme="minorBidi"/>
          <w:color w:val="auto"/>
          <w:sz w:val="24"/>
          <w:szCs w:val="24"/>
        </w:rPr>
        <w:t xml:space="preserve"> the side </w:t>
      </w:r>
      <w:r>
        <w:rPr>
          <w:rFonts w:asciiTheme="minorHAnsi" w:eastAsiaTheme="minorHAnsi" w:hAnsiTheme="minorHAnsi" w:cstheme="minorBidi"/>
          <w:color w:val="auto"/>
          <w:sz w:val="24"/>
          <w:szCs w:val="24"/>
        </w:rPr>
        <w:t>which</w:t>
      </w:r>
      <w:r w:rsidRPr="00262708">
        <w:rPr>
          <w:rFonts w:asciiTheme="minorHAnsi" w:eastAsiaTheme="minorHAnsi" w:hAnsiTheme="minorHAnsi" w:cstheme="minorBidi"/>
          <w:color w:val="auto"/>
          <w:sz w:val="24"/>
          <w:szCs w:val="24"/>
        </w:rPr>
        <w:t xml:space="preserve"> can mass force and absorb loss</w:t>
      </w:r>
      <w:r w:rsidR="00E15ABA">
        <w:rPr>
          <w:rFonts w:asciiTheme="minorHAnsi" w:eastAsiaTheme="minorHAnsi" w:hAnsiTheme="minorHAnsi" w:cstheme="minorBidi"/>
          <w:color w:val="auto"/>
          <w:sz w:val="24"/>
          <w:szCs w:val="24"/>
        </w:rPr>
        <w:t>.</w:t>
      </w:r>
      <w:r w:rsidRPr="00262708">
        <w:rPr>
          <w:rFonts w:asciiTheme="minorHAnsi" w:eastAsiaTheme="minorHAnsi" w:hAnsiTheme="minorHAnsi" w:cstheme="minorBidi"/>
          <w:color w:val="auto"/>
          <w:sz w:val="24"/>
          <w:szCs w:val="24"/>
        </w:rPr>
        <w:t xml:space="preserve"> </w:t>
      </w:r>
      <w:r w:rsidR="00D37663" w:rsidRPr="00D37663">
        <w:rPr>
          <w:rFonts w:asciiTheme="minorHAnsi" w:eastAsiaTheme="minorHAnsi" w:hAnsiTheme="minorHAnsi" w:cstheme="minorBidi"/>
          <w:color w:val="auto"/>
          <w:sz w:val="24"/>
          <w:szCs w:val="24"/>
        </w:rPr>
        <w:t>Low-cost uncrewed systems disturb that arithmetic, a shift which</w:t>
      </w:r>
      <w:r w:rsidR="00092ECB">
        <w:rPr>
          <w:rFonts w:asciiTheme="minorHAnsi" w:eastAsiaTheme="minorHAnsi" w:hAnsiTheme="minorHAnsi" w:cstheme="minorBidi"/>
          <w:color w:val="auto"/>
          <w:sz w:val="24"/>
          <w:szCs w:val="24"/>
        </w:rPr>
        <w:t xml:space="preserve"> the</w:t>
      </w:r>
      <w:r>
        <w:rPr>
          <w:rFonts w:asciiTheme="minorHAnsi" w:eastAsiaTheme="minorHAnsi" w:hAnsiTheme="minorHAnsi" w:cstheme="minorBidi"/>
          <w:color w:val="auto"/>
          <w:sz w:val="24"/>
          <w:szCs w:val="24"/>
        </w:rPr>
        <w:t xml:space="preserve"> Lanchester Force Equations</w:t>
      </w:r>
      <w:r w:rsidR="008F6405">
        <w:rPr>
          <w:rStyle w:val="EndnoteReference"/>
          <w:rFonts w:asciiTheme="minorHAnsi" w:eastAsiaTheme="minorHAnsi" w:hAnsiTheme="minorHAnsi" w:cstheme="minorBidi"/>
          <w:color w:val="auto"/>
          <w:sz w:val="24"/>
          <w:szCs w:val="24"/>
        </w:rPr>
        <w:endnoteReference w:id="19"/>
      </w:r>
      <w:r>
        <w:rPr>
          <w:rFonts w:asciiTheme="minorHAnsi" w:eastAsiaTheme="minorHAnsi" w:hAnsiTheme="minorHAnsi" w:cstheme="minorBidi"/>
          <w:color w:val="auto"/>
          <w:sz w:val="24"/>
          <w:szCs w:val="24"/>
        </w:rPr>
        <w:t xml:space="preserve"> and the 3:1 heuristic</w:t>
      </w:r>
      <w:r w:rsidR="008F6405">
        <w:rPr>
          <w:rStyle w:val="EndnoteReference"/>
          <w:rFonts w:asciiTheme="minorHAnsi" w:eastAsiaTheme="minorHAnsi" w:hAnsiTheme="minorHAnsi" w:cstheme="minorBidi"/>
          <w:color w:val="auto"/>
          <w:sz w:val="24"/>
          <w:szCs w:val="24"/>
        </w:rPr>
        <w:endnoteReference w:id="20"/>
      </w:r>
      <w:r w:rsidRPr="00C03858">
        <w:rPr>
          <w:rFonts w:asciiTheme="minorHAnsi" w:eastAsiaTheme="minorHAnsi" w:hAnsiTheme="minorHAnsi" w:cstheme="minorBidi"/>
          <w:color w:val="auto"/>
          <w:sz w:val="24"/>
          <w:szCs w:val="24"/>
        </w:rPr>
        <w:t xml:space="preserve"> </w:t>
      </w:r>
      <w:r w:rsidR="00D37663" w:rsidRPr="00D37663">
        <w:rPr>
          <w:rFonts w:asciiTheme="minorHAnsi" w:eastAsiaTheme="minorHAnsi" w:hAnsiTheme="minorHAnsi" w:cstheme="minorBidi"/>
          <w:color w:val="auto"/>
          <w:sz w:val="24"/>
          <w:szCs w:val="24"/>
        </w:rPr>
        <w:t>help frame but cannot fully capture.</w:t>
      </w:r>
      <w:r w:rsidR="00D37663">
        <w:rPr>
          <w:rFonts w:asciiTheme="minorHAnsi" w:eastAsiaTheme="minorHAnsi" w:hAnsiTheme="minorHAnsi" w:cstheme="minorBidi"/>
          <w:color w:val="auto"/>
          <w:sz w:val="24"/>
          <w:szCs w:val="24"/>
        </w:rPr>
        <w:t xml:space="preserve"> </w:t>
      </w:r>
      <w:r w:rsidRPr="00C03858">
        <w:rPr>
          <w:rFonts w:asciiTheme="minorHAnsi" w:eastAsiaTheme="minorHAnsi" w:hAnsiTheme="minorHAnsi" w:cstheme="minorBidi"/>
          <w:color w:val="auto"/>
          <w:sz w:val="24"/>
          <w:szCs w:val="24"/>
        </w:rPr>
        <w:t xml:space="preserve">They drive down the price of finding the enemy, striking them precisely and sustaining the force. A defender who can see, strike at range and attrit an attacker with systems costing hundreds rather than millions need not match him platform-for-platform. The asymmetry is structural: the attacker must still mass to break through, yet massing is exactly what persistent observation punishes most. For a state </w:t>
      </w:r>
      <w:r w:rsidR="003A11A1">
        <w:rPr>
          <w:rFonts w:asciiTheme="minorHAnsi" w:eastAsiaTheme="minorHAnsi" w:hAnsiTheme="minorHAnsi" w:cstheme="minorBidi"/>
          <w:color w:val="auto"/>
          <w:sz w:val="24"/>
          <w:szCs w:val="24"/>
        </w:rPr>
        <w:t>which</w:t>
      </w:r>
      <w:r w:rsidRPr="00C03858">
        <w:rPr>
          <w:rFonts w:asciiTheme="minorHAnsi" w:eastAsiaTheme="minorHAnsi" w:hAnsiTheme="minorHAnsi" w:cstheme="minorBidi"/>
          <w:color w:val="auto"/>
          <w:sz w:val="24"/>
          <w:szCs w:val="24"/>
        </w:rPr>
        <w:t xml:space="preserve"> cannot buy conventional scale, this is how scarcity stops being </w:t>
      </w:r>
      <w:r w:rsidR="00E15ABA">
        <w:rPr>
          <w:rFonts w:asciiTheme="minorHAnsi" w:eastAsiaTheme="minorHAnsi" w:hAnsiTheme="minorHAnsi" w:cstheme="minorBidi"/>
          <w:color w:val="auto"/>
          <w:sz w:val="24"/>
          <w:szCs w:val="24"/>
        </w:rPr>
        <w:t>decisive.</w:t>
      </w:r>
    </w:p>
    <w:p w14:paraId="2BCA4CB1" w14:textId="7618B6D2" w:rsidR="00656D8B" w:rsidRDefault="00EB4DCB" w:rsidP="006E41D2">
      <w:r>
        <w:fldChar w:fldCharType="begin"/>
      </w:r>
      <w:r>
        <w:instrText xml:space="preserve"> REF _Ref233053446 \h </w:instrText>
      </w:r>
      <w:r>
        <w:fldChar w:fldCharType="separate"/>
      </w:r>
      <w:r>
        <w:t xml:space="preserve">Table </w:t>
      </w:r>
      <w:r>
        <w:rPr>
          <w:noProof/>
        </w:rPr>
        <w:t>1</w:t>
      </w:r>
      <w:r>
        <w:fldChar w:fldCharType="end"/>
      </w:r>
      <w:r w:rsidR="001E7AE7" w:rsidRPr="001E7AE7">
        <w:t xml:space="preserve"> </w:t>
      </w:r>
      <w:r w:rsidR="00656D8B" w:rsidRPr="00656D8B">
        <w:t xml:space="preserve">shows that FPV-OWADs cannot be dismissed as cheap substitutes for Javelin. The operational comparison is the telling one: defeating an armoured company costs roughly €1.13 million in Javelins, compared with under €85,000 in FPV-OWADs – more than an order of magnitude less for the same task, on assumptions generous to Javelin. Ireland's recent Javelin-only procurement buys 44 missiles; the same budget fields thousands of FPV-OWADs. Javelin remains the higher-confidence kill mechanism, and FPV-OWADs may require several strikes to destroy armour, </w:t>
      </w:r>
      <w:r w:rsidR="007A6FF0" w:rsidRPr="007A6FF0">
        <w:t>but they can immobilise it for follow-on fires and reach more than an order of magnitude further.</w:t>
      </w:r>
      <w:r w:rsidR="00656D8B" w:rsidRPr="00656D8B">
        <w:t xml:space="preserve"> The direction is unambiguous: FPV-OWADs do not replace ATGMs, but they change the defensive arithmetic and can no longer be ignored</w:t>
      </w:r>
      <w:r w:rsidR="006E6DF6">
        <w:t>.</w:t>
      </w:r>
      <w:r w:rsidR="008F6405">
        <w:rPr>
          <w:rStyle w:val="EndnoteReference"/>
        </w:rPr>
        <w:endnoteReference w:id="21"/>
      </w:r>
    </w:p>
    <w:p w14:paraId="2C8ED009" w14:textId="77777777" w:rsidR="002C4F0D" w:rsidRDefault="00EE12B1" w:rsidP="002C4F0D">
      <w:pPr>
        <w:keepNext/>
      </w:pPr>
      <w:r w:rsidRPr="00EE12B1">
        <w:rPr>
          <w:noProof/>
        </w:rPr>
        <w:drawing>
          <wp:inline distT="0" distB="0" distL="0" distR="0" wp14:anchorId="1ED79B76" wp14:editId="6CD40A73">
            <wp:extent cx="5731510" cy="1757045"/>
            <wp:effectExtent l="0" t="0" r="2540" b="0"/>
            <wp:docPr id="17789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5998" name=""/>
                    <pic:cNvPicPr/>
                  </pic:nvPicPr>
                  <pic:blipFill>
                    <a:blip r:embed="rId9"/>
                    <a:stretch>
                      <a:fillRect/>
                    </a:stretch>
                  </pic:blipFill>
                  <pic:spPr>
                    <a:xfrm>
                      <a:off x="0" y="0"/>
                      <a:ext cx="5731510" cy="1757045"/>
                    </a:xfrm>
                    <a:prstGeom prst="rect">
                      <a:avLst/>
                    </a:prstGeom>
                  </pic:spPr>
                </pic:pic>
              </a:graphicData>
            </a:graphic>
          </wp:inline>
        </w:drawing>
      </w:r>
    </w:p>
    <w:p w14:paraId="5C9164F7" w14:textId="74ED2F81" w:rsidR="006E41D2" w:rsidRPr="00E05D57" w:rsidRDefault="002C4F0D" w:rsidP="002C4F0D">
      <w:pPr>
        <w:pStyle w:val="Caption"/>
        <w:jc w:val="center"/>
      </w:pPr>
      <w:bookmarkStart w:id="0" w:name="_Ref233053446"/>
      <w:r>
        <w:t xml:space="preserve">Table </w:t>
      </w:r>
      <w:r>
        <w:fldChar w:fldCharType="begin"/>
      </w:r>
      <w:r>
        <w:instrText xml:space="preserve"> SEQ Table \* ARABIC </w:instrText>
      </w:r>
      <w:r>
        <w:fldChar w:fldCharType="separate"/>
      </w:r>
      <w:r>
        <w:rPr>
          <w:noProof/>
        </w:rPr>
        <w:t>1</w:t>
      </w:r>
      <w:r>
        <w:rPr>
          <w:noProof/>
        </w:rPr>
        <w:fldChar w:fldCharType="end"/>
      </w:r>
      <w:bookmarkEnd w:id="0"/>
      <w:r>
        <w:t xml:space="preserve">. </w:t>
      </w:r>
      <w:r w:rsidRPr="002C4F0D">
        <w:t>Comparative Anti-Armour Cost-Imposition Model</w:t>
      </w:r>
      <w:r w:rsidRPr="00F1368C">
        <w:t>: ATGMs versus FPV-OWADs and Loitering-OWADs</w:t>
      </w:r>
    </w:p>
    <w:p w14:paraId="63EC1BBB" w14:textId="77777777" w:rsidR="008E24F7" w:rsidRDefault="008E24F7" w:rsidP="008E24F7">
      <w:pPr>
        <w:pStyle w:val="Heading2"/>
        <w:rPr>
          <w:rFonts w:asciiTheme="minorHAnsi" w:eastAsiaTheme="minorHAnsi" w:hAnsiTheme="minorHAnsi" w:cstheme="minorBidi"/>
          <w:color w:val="auto"/>
          <w:sz w:val="24"/>
          <w:szCs w:val="24"/>
        </w:rPr>
      </w:pPr>
      <w:r w:rsidRPr="00667CD1">
        <w:rPr>
          <w:rFonts w:asciiTheme="minorHAnsi" w:eastAsiaTheme="minorHAnsi" w:hAnsiTheme="minorHAnsi" w:cstheme="minorBidi"/>
          <w:color w:val="auto"/>
          <w:sz w:val="24"/>
          <w:szCs w:val="24"/>
        </w:rPr>
        <w:lastRenderedPageBreak/>
        <w:t xml:space="preserve">Ireland has long treated serious territorial defence as financially unreachable, because credibility was assumed to require conventional mass. </w:t>
      </w:r>
      <w:proofErr w:type="spellStart"/>
      <w:r w:rsidRPr="00667CD1">
        <w:rPr>
          <w:rFonts w:asciiTheme="minorHAnsi" w:eastAsiaTheme="minorHAnsi" w:hAnsiTheme="minorHAnsi" w:cstheme="minorBidi"/>
          <w:color w:val="auto"/>
          <w:sz w:val="24"/>
          <w:szCs w:val="24"/>
        </w:rPr>
        <w:t>UxS</w:t>
      </w:r>
      <w:proofErr w:type="spellEnd"/>
      <w:r w:rsidRPr="00667CD1">
        <w:rPr>
          <w:rFonts w:asciiTheme="minorHAnsi" w:eastAsiaTheme="minorHAnsi" w:hAnsiTheme="minorHAnsi" w:cstheme="minorBidi"/>
          <w:color w:val="auto"/>
          <w:sz w:val="24"/>
          <w:szCs w:val="24"/>
        </w:rPr>
        <w:t xml:space="preserve"> break that premise: if cheap precision systems can make lodgement, movement and sustainment costly, the constraint shifts from money to organisation. For an island state, any hostile ground force must first arrive by sea or air, concentrating at a predictable point of entry – where exposure is highest and cheap precision strike most punishing.</w:t>
      </w:r>
    </w:p>
    <w:p w14:paraId="73F0C83F" w14:textId="3F12D028" w:rsidR="008E24F7" w:rsidRDefault="008E24F7" w:rsidP="008E24F7">
      <w:pPr>
        <w:pStyle w:val="Heading2"/>
        <w:rPr>
          <w:rFonts w:asciiTheme="minorHAnsi" w:eastAsiaTheme="minorHAnsi" w:hAnsiTheme="minorHAnsi" w:cstheme="minorBidi"/>
          <w:color w:val="auto"/>
          <w:sz w:val="24"/>
          <w:szCs w:val="24"/>
        </w:rPr>
      </w:pPr>
      <w:r w:rsidRPr="000773AE">
        <w:rPr>
          <w:rFonts w:asciiTheme="minorHAnsi" w:eastAsiaTheme="minorHAnsi" w:hAnsiTheme="minorHAnsi" w:cstheme="minorBidi"/>
          <w:color w:val="auto"/>
          <w:sz w:val="24"/>
          <w:szCs w:val="24"/>
        </w:rPr>
        <w:t xml:space="preserve">Deterrence-by-denial here means one thing: making an attacker doubt that victory will be quick or cheap. A defender need not win. </w:t>
      </w:r>
      <w:r>
        <w:rPr>
          <w:rFonts w:asciiTheme="minorHAnsi" w:eastAsiaTheme="minorHAnsi" w:hAnsiTheme="minorHAnsi" w:cstheme="minorBidi"/>
          <w:color w:val="auto"/>
          <w:sz w:val="24"/>
          <w:szCs w:val="24"/>
        </w:rPr>
        <w:t>They</w:t>
      </w:r>
      <w:r w:rsidRPr="000773AE">
        <w:rPr>
          <w:rFonts w:asciiTheme="minorHAnsi" w:eastAsiaTheme="minorHAnsi" w:hAnsiTheme="minorHAnsi" w:cstheme="minorBidi"/>
          <w:color w:val="auto"/>
          <w:sz w:val="24"/>
          <w:szCs w:val="24"/>
        </w:rPr>
        <w:t xml:space="preserve"> need only to impose enough delay, attrition and uncertainty that the operation's price climbs past what the aggressor will pay. It does not stop an attack; it makes the attack expensive, slow and uncertain of success. </w:t>
      </w:r>
    </w:p>
    <w:p w14:paraId="4539E762" w14:textId="19379AA5" w:rsidR="000A62A6" w:rsidRDefault="0030344C" w:rsidP="006B245A">
      <w:pPr>
        <w:rPr>
          <w:rFonts w:asciiTheme="majorHAnsi" w:eastAsiaTheme="majorEastAsia" w:hAnsiTheme="majorHAnsi" w:cstheme="majorBidi"/>
          <w:color w:val="0F4761" w:themeColor="accent1" w:themeShade="BF"/>
          <w:sz w:val="32"/>
          <w:szCs w:val="32"/>
        </w:rPr>
      </w:pPr>
      <w:r w:rsidRPr="0030344C">
        <w:t xml:space="preserve">The pace of change is uncertain and programmes are mid-stream </w:t>
      </w:r>
      <w:r w:rsidR="00034CC3">
        <w:t>—</w:t>
      </w:r>
      <w:r w:rsidRPr="0030344C">
        <w:t xml:space="preserve"> so reopening the section design now looks premature. Each clause is true. Neither is a reason to stand still. The deeper objection is that force design must fit the platform: the carrier defines the section, the section sets the </w:t>
      </w:r>
      <w:r w:rsidR="00D31766">
        <w:t>capability</w:t>
      </w:r>
      <w:r w:rsidRPr="0030344C">
        <w:t xml:space="preserve">. Vehicle capacity is a real constraint </w:t>
      </w:r>
      <w:r w:rsidR="00034CC3">
        <w:t>—</w:t>
      </w:r>
      <w:r w:rsidR="00034CC3" w:rsidRPr="0030344C">
        <w:t xml:space="preserve"> </w:t>
      </w:r>
      <w:r w:rsidRPr="0030344C">
        <w:t xml:space="preserve">it drives lift, sustainment, command and tactical mobility and cannot be dismissed. But it need not come first. The threat defines force protection and force protection drives </w:t>
      </w:r>
      <w:r w:rsidR="00841CA6">
        <w:t>capability development</w:t>
      </w:r>
      <w:r w:rsidRPr="0030344C">
        <w:t xml:space="preserve">. Light infantry may not have this problem at all: it needs no armour, moving on foot or in commercial 4x4s already in Defence Forces service. A survivable light section is not an expensive structure waiting on a vehicle programme. It is a cheap one, available now </w:t>
      </w:r>
      <w:r w:rsidR="00034CC3">
        <w:t>—</w:t>
      </w:r>
      <w:r w:rsidR="00034CC3" w:rsidRPr="0030344C">
        <w:t xml:space="preserve"> </w:t>
      </w:r>
      <w:r w:rsidRPr="0030344C">
        <w:t>held back only by a constraint borrowed from a different kind of infantry.</w:t>
      </w:r>
      <w:r w:rsidR="000A62A6">
        <w:br w:type="page"/>
      </w:r>
    </w:p>
    <w:sectPr w:rsidR="000A62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C989F" w14:textId="77777777" w:rsidR="00626C85" w:rsidRDefault="00626C85" w:rsidP="008F41DA">
      <w:pPr>
        <w:spacing w:after="0" w:line="240" w:lineRule="auto"/>
      </w:pPr>
      <w:r>
        <w:separator/>
      </w:r>
    </w:p>
  </w:endnote>
  <w:endnote w:type="continuationSeparator" w:id="0">
    <w:p w14:paraId="27FA0C29" w14:textId="77777777" w:rsidR="00626C85" w:rsidRDefault="00626C85" w:rsidP="008F41DA">
      <w:pPr>
        <w:spacing w:after="0" w:line="240" w:lineRule="auto"/>
      </w:pPr>
      <w:r>
        <w:continuationSeparator/>
      </w:r>
    </w:p>
  </w:endnote>
  <w:endnote w:id="1">
    <w:p w14:paraId="4B06B5B5" w14:textId="7CD22A55" w:rsidR="00613717" w:rsidRDefault="00613717">
      <w:pPr>
        <w:pStyle w:val="EndnoteText"/>
      </w:pPr>
      <w:r>
        <w:rPr>
          <w:rStyle w:val="EndnoteReference"/>
        </w:rPr>
        <w:endnoteRef/>
      </w:r>
      <w:r>
        <w:t xml:space="preserve"> </w:t>
      </w:r>
      <w:r w:rsidRPr="007561E8">
        <w:t xml:space="preserve">Watling, J. and Bronk, J. </w:t>
      </w:r>
      <w:r w:rsidRPr="007561E8">
        <w:rPr>
          <w:i/>
          <w:iCs/>
        </w:rPr>
        <w:t>Protecting the Force from Uncrewed Aerial Systems</w:t>
      </w:r>
      <w:r w:rsidRPr="007561E8">
        <w:t xml:space="preserve">. London: Royal United Services Institute for Defence and Security Studies, 2024. Available at: </w:t>
      </w:r>
      <w:hyperlink r:id="rId1" w:tgtFrame="_new" w:history="1">
        <w:r w:rsidRPr="007561E8">
          <w:rPr>
            <w:rStyle w:val="Hyperlink"/>
          </w:rPr>
          <w:t>https://static.rusi.org/protecting-the-force-from-uncrewed-uas.pdf</w:t>
        </w:r>
      </w:hyperlink>
      <w:r w:rsidRPr="007561E8">
        <w:t xml:space="preserve"> (accessed 11 December 2025).</w:t>
      </w:r>
    </w:p>
  </w:endnote>
  <w:endnote w:id="2">
    <w:p w14:paraId="5FE91A06" w14:textId="6563220C" w:rsidR="00613717" w:rsidRDefault="00613717">
      <w:pPr>
        <w:pStyle w:val="EndnoteText"/>
      </w:pPr>
      <w:r>
        <w:rPr>
          <w:rStyle w:val="EndnoteReference"/>
        </w:rPr>
        <w:endnoteRef/>
      </w:r>
      <w:r>
        <w:t xml:space="preserve"> </w:t>
      </w:r>
      <w:r w:rsidRPr="00CA43AC">
        <w:t xml:space="preserve">Molloy, O. </w:t>
      </w:r>
      <w:r w:rsidRPr="00CA43AC">
        <w:rPr>
          <w:i/>
          <w:iCs/>
        </w:rPr>
        <w:t>Drones in Modern Warfare: Lessons Learnt from the War in Ukraine</w:t>
      </w:r>
      <w:r w:rsidRPr="00CA43AC">
        <w:t xml:space="preserve">. Australian Army Occasional Paper, no. 29. Canberra: Australian Army Research Centre, 2024, p. 17. DOI: 10.61451/267513. Available at: </w:t>
      </w:r>
      <w:hyperlink r:id="rId2" w:history="1">
        <w:r w:rsidRPr="00CA43AC">
          <w:rPr>
            <w:rStyle w:val="Hyperlink"/>
          </w:rPr>
          <w:t>https://researchcentre.army.gov.au/sites/default/files/241104-Occasional-Paper-29-Lessons-Learnt-from-Ukraine.pdf.pdf</w:t>
        </w:r>
      </w:hyperlink>
      <w:r w:rsidRPr="00CA43AC">
        <w:t xml:space="preserve"> (accessed 2 November 2025).</w:t>
      </w:r>
    </w:p>
  </w:endnote>
  <w:endnote w:id="3">
    <w:p w14:paraId="5A56A196" w14:textId="37B81DFD" w:rsidR="00613717" w:rsidRDefault="00613717">
      <w:pPr>
        <w:pStyle w:val="EndnoteText"/>
      </w:pPr>
      <w:r>
        <w:rPr>
          <w:rStyle w:val="EndnoteReference"/>
        </w:rPr>
        <w:endnoteRef/>
      </w:r>
      <w:r>
        <w:t xml:space="preserve"> </w:t>
      </w:r>
      <w:r w:rsidRPr="00663508">
        <w:t xml:space="preserve">Fox, A. C. </w:t>
      </w:r>
      <w:r w:rsidRPr="00663508">
        <w:rPr>
          <w:i/>
          <w:iCs/>
        </w:rPr>
        <w:t>Manoeuvre Is Dead? Understanding the Conditions and Components of Warfighting</w:t>
      </w:r>
      <w:r w:rsidRPr="00663508">
        <w:t xml:space="preserve">. </w:t>
      </w:r>
      <w:r w:rsidRPr="00663508">
        <w:rPr>
          <w:i/>
          <w:iCs/>
        </w:rPr>
        <w:t>The RUSI Journal</w:t>
      </w:r>
      <w:r w:rsidRPr="00663508">
        <w:t xml:space="preserve">, 166(6–7), 2021, pp. 10–18. Available at: </w:t>
      </w:r>
      <w:hyperlink r:id="rId3" w:tgtFrame="_new" w:history="1">
        <w:r w:rsidRPr="00663508">
          <w:rPr>
            <w:rStyle w:val="Hyperlink"/>
          </w:rPr>
          <w:t>https://doi-org.may.idm.oclc.org/10.1080/03071847.2022.2058601</w:t>
        </w:r>
      </w:hyperlink>
      <w:r w:rsidRPr="00663508">
        <w:t xml:space="preserve"> (accessed 17 February 2026).</w:t>
      </w:r>
    </w:p>
  </w:endnote>
  <w:endnote w:id="4">
    <w:p w14:paraId="693C8F74" w14:textId="4107ED74" w:rsidR="00613717" w:rsidRDefault="00613717">
      <w:pPr>
        <w:pStyle w:val="EndnoteText"/>
      </w:pPr>
      <w:r>
        <w:rPr>
          <w:rStyle w:val="EndnoteReference"/>
        </w:rPr>
        <w:endnoteRef/>
      </w:r>
      <w:r>
        <w:t xml:space="preserve"> </w:t>
      </w:r>
      <w:r w:rsidRPr="008F12D3">
        <w:t xml:space="preserve">Cornish, P. </w:t>
      </w:r>
      <w:r w:rsidRPr="008F12D3">
        <w:rPr>
          <w:i/>
          <w:iCs/>
        </w:rPr>
        <w:t>SDR Threats Series: Styles and Themes of Contemporary Warfare</w:t>
      </w:r>
      <w:r w:rsidRPr="008F12D3">
        <w:t xml:space="preserve">. </w:t>
      </w:r>
      <w:r w:rsidRPr="008F12D3">
        <w:rPr>
          <w:i/>
          <w:iCs/>
        </w:rPr>
        <w:t>This Means War</w:t>
      </w:r>
      <w:r w:rsidRPr="008F12D3">
        <w:t xml:space="preserve"> podcast, interview by P. Roberts, 2024. Available at: </w:t>
      </w:r>
      <w:hyperlink r:id="rId4" w:tgtFrame="_new" w:history="1">
        <w:r w:rsidRPr="008F12D3">
          <w:rPr>
            <w:rStyle w:val="Hyperlink"/>
          </w:rPr>
          <w:t>https://podcasts.apple.com/gb/podcast/sdr-threats-series-styles-and-themes-of/id1629454648?i=1000675880639</w:t>
        </w:r>
      </w:hyperlink>
      <w:r w:rsidRPr="008F12D3">
        <w:t xml:space="preserve"> (accessed 10 February 2026)</w:t>
      </w:r>
      <w:r>
        <w:t xml:space="preserve">; </w:t>
      </w:r>
      <w:r w:rsidRPr="00BF1C5A">
        <w:t xml:space="preserve">Revels, W. and Uribe, E. </w:t>
      </w:r>
      <w:r w:rsidRPr="00BF1C5A">
        <w:rPr>
          <w:i/>
          <w:iCs/>
        </w:rPr>
        <w:t xml:space="preserve">Drones Won't Save Us: Learning the Wrong Lessons from Ukraine Will Cost the US Army Its Edge in </w:t>
      </w:r>
      <w:proofErr w:type="spellStart"/>
      <w:r w:rsidRPr="00BF1C5A">
        <w:rPr>
          <w:i/>
          <w:iCs/>
        </w:rPr>
        <w:t>Maneuver</w:t>
      </w:r>
      <w:proofErr w:type="spellEnd"/>
      <w:r w:rsidRPr="00BF1C5A">
        <w:rPr>
          <w:i/>
          <w:iCs/>
        </w:rPr>
        <w:t xml:space="preserve"> Warfare</w:t>
      </w:r>
      <w:r w:rsidRPr="00BF1C5A">
        <w:t xml:space="preserve">. </w:t>
      </w:r>
      <w:r w:rsidRPr="00BF1C5A">
        <w:rPr>
          <w:i/>
          <w:iCs/>
        </w:rPr>
        <w:t>Modern War Institute at West Point</w:t>
      </w:r>
      <w:r w:rsidRPr="00BF1C5A">
        <w:t xml:space="preserve">, 11 May 2025. Available at: </w:t>
      </w:r>
      <w:hyperlink r:id="rId5" w:history="1">
        <w:r w:rsidRPr="00BF1C5A">
          <w:rPr>
            <w:rStyle w:val="Hyperlink"/>
          </w:rPr>
          <w:t>https://mwi.westpoint.edu/drones-wont-save-us-learning-the-wrong-lessons-from-ukraine-will-cost-the-us-army-its-edge-in-maneuver-warfare/</w:t>
        </w:r>
      </w:hyperlink>
      <w:r w:rsidRPr="00BF1C5A">
        <w:t xml:space="preserve"> (accessed 12 February 2026)</w:t>
      </w:r>
      <w:r>
        <w:t xml:space="preserve">; </w:t>
      </w:r>
      <w:r w:rsidRPr="008F12D3">
        <w:t xml:space="preserve">Watling, J. and Danylyuk, O. V. </w:t>
      </w:r>
      <w:r w:rsidRPr="008F12D3">
        <w:rPr>
          <w:i/>
          <w:iCs/>
        </w:rPr>
        <w:t>Preliminary Lessons from Ukraine's Offensive Operations, 2022–23</w:t>
      </w:r>
      <w:r w:rsidRPr="008F12D3">
        <w:t xml:space="preserve">. London: Royal United Services Institute for Defence and Security Studies, 2024. Available at: </w:t>
      </w:r>
      <w:hyperlink r:id="rId6" w:tgtFrame="_new" w:history="1">
        <w:r w:rsidRPr="008F12D3">
          <w:rPr>
            <w:rStyle w:val="Hyperlink"/>
          </w:rPr>
          <w:t>https://static.rusi.org/lessons-learned-ukraine-offensive-2022-23.pdf</w:t>
        </w:r>
      </w:hyperlink>
      <w:r w:rsidRPr="008F12D3">
        <w:t xml:space="preserve"> (accessed 11 December 2025).</w:t>
      </w:r>
    </w:p>
  </w:endnote>
  <w:endnote w:id="5">
    <w:p w14:paraId="07986811" w14:textId="5D961EC4" w:rsidR="00613717" w:rsidRDefault="00613717">
      <w:pPr>
        <w:pStyle w:val="EndnoteText"/>
      </w:pPr>
      <w:r>
        <w:rPr>
          <w:rStyle w:val="EndnoteReference"/>
        </w:rPr>
        <w:endnoteRef/>
      </w:r>
      <w:r>
        <w:t xml:space="preserve"> </w:t>
      </w:r>
      <w:r w:rsidRPr="008F41DA">
        <w:t>Government of Ireland. Defence Policy Review 2024: Adjusting and Affirming Our Defence Policy in an Era of Change. Dublin: Department of Defence, 2024. Available at: https://assets.gov.ie/static/documents/defence-policy-review-2024.pdf (accessed 20 June 2026).</w:t>
      </w:r>
    </w:p>
  </w:endnote>
  <w:endnote w:id="6">
    <w:p w14:paraId="5127F483" w14:textId="7A4150D8" w:rsidR="00613717" w:rsidRDefault="00613717">
      <w:pPr>
        <w:pStyle w:val="EndnoteText"/>
      </w:pPr>
      <w:r>
        <w:rPr>
          <w:rStyle w:val="EndnoteReference"/>
        </w:rPr>
        <w:endnoteRef/>
      </w:r>
      <w:r>
        <w:t xml:space="preserve"> </w:t>
      </w:r>
      <w:r w:rsidRPr="008032E8">
        <w:t xml:space="preserve">Government of Ireland. </w:t>
      </w:r>
      <w:r w:rsidRPr="008032E8">
        <w:rPr>
          <w:i/>
          <w:iCs/>
        </w:rPr>
        <w:t>White Paper on Defence</w:t>
      </w:r>
      <w:r w:rsidRPr="008032E8">
        <w:t xml:space="preserve">. Dublin: Department of Defence, 2015. Available at: </w:t>
      </w:r>
      <w:r w:rsidRPr="007114F8">
        <w:t>https://assets.gov.ie/static/documents/white-paper-on-defence-august-2015.pdf</w:t>
      </w:r>
      <w:r w:rsidRPr="008032E8">
        <w:t xml:space="preserve"> (accessed 20 June 2026).</w:t>
      </w:r>
    </w:p>
  </w:endnote>
  <w:endnote w:id="7">
    <w:p w14:paraId="41AB1D95" w14:textId="11414566" w:rsidR="00613717" w:rsidRDefault="00613717">
      <w:pPr>
        <w:pStyle w:val="EndnoteText"/>
      </w:pPr>
      <w:r>
        <w:rPr>
          <w:rStyle w:val="EndnoteReference"/>
        </w:rPr>
        <w:endnoteRef/>
      </w:r>
      <w:r>
        <w:t xml:space="preserve"> </w:t>
      </w:r>
      <w:r w:rsidRPr="007F74B6">
        <w:t xml:space="preserve">Mearsheimer, J. J. </w:t>
      </w:r>
      <w:r w:rsidRPr="007F74B6">
        <w:rPr>
          <w:i/>
          <w:iCs/>
        </w:rPr>
        <w:t>Back to the Future: Instability in Europe After the Cold War</w:t>
      </w:r>
      <w:r w:rsidRPr="007F74B6">
        <w:t xml:space="preserve">. </w:t>
      </w:r>
      <w:r w:rsidRPr="007F74B6">
        <w:rPr>
          <w:i/>
          <w:iCs/>
        </w:rPr>
        <w:t>International Security</w:t>
      </w:r>
      <w:r w:rsidRPr="007F74B6">
        <w:t xml:space="preserve">, 15(1), 1990, pp. 5–56. Available at: </w:t>
      </w:r>
      <w:hyperlink r:id="rId7" w:history="1">
        <w:r w:rsidRPr="007F74B6">
          <w:rPr>
            <w:rStyle w:val="Hyperlink"/>
          </w:rPr>
          <w:t>https://www.jstor.org/stable/2538981</w:t>
        </w:r>
      </w:hyperlink>
      <w:r w:rsidRPr="007F74B6">
        <w:t xml:space="preserve"> (accessed 29 November 2025).</w:t>
      </w:r>
    </w:p>
  </w:endnote>
  <w:endnote w:id="8">
    <w:p w14:paraId="6A85D723" w14:textId="34BD52CE" w:rsidR="00613717" w:rsidRDefault="00613717">
      <w:pPr>
        <w:pStyle w:val="EndnoteText"/>
      </w:pPr>
      <w:r>
        <w:rPr>
          <w:rStyle w:val="EndnoteReference"/>
        </w:rPr>
        <w:endnoteRef/>
      </w:r>
      <w:r>
        <w:t xml:space="preserve"> </w:t>
      </w:r>
      <w:r>
        <w:t>United States Congress (2025). Congressional record: Proceedings and debates of the 119th Congress, first session. US Government Publishing Office. [online]. Available at: https://www.congress.gov/119/crec/2025/03/04/171/41/CREC-2025-03-04.pdf (accessed 1 April 2026).</w:t>
      </w:r>
    </w:p>
  </w:endnote>
  <w:endnote w:id="9">
    <w:p w14:paraId="4E855503" w14:textId="77777777" w:rsidR="00613717" w:rsidRDefault="00613717" w:rsidP="00613717">
      <w:pPr>
        <w:pStyle w:val="FootnoteText"/>
      </w:pPr>
      <w:r>
        <w:rPr>
          <w:rStyle w:val="EndnoteReference"/>
        </w:rPr>
        <w:endnoteRef/>
      </w:r>
      <w:r>
        <w:t xml:space="preserve"> </w:t>
      </w:r>
      <w:proofErr w:type="spellStart"/>
      <w:r>
        <w:t>Statsministeriet</w:t>
      </w:r>
      <w:proofErr w:type="spellEnd"/>
      <w:r>
        <w:t xml:space="preserve"> (2026). </w:t>
      </w:r>
      <w:proofErr w:type="spellStart"/>
      <w:r>
        <w:t>Fællesudtalelse</w:t>
      </w:r>
      <w:proofErr w:type="spellEnd"/>
      <w:r>
        <w:t xml:space="preserve"> om </w:t>
      </w:r>
      <w:proofErr w:type="spellStart"/>
      <w:r>
        <w:t>Grønland</w:t>
      </w:r>
      <w:proofErr w:type="spellEnd"/>
      <w:r>
        <w:t xml:space="preserve"> [online]. Available at: https://s</w:t>
      </w:r>
    </w:p>
    <w:p w14:paraId="1887FB76" w14:textId="6C1B3AD0" w:rsidR="00613717" w:rsidRDefault="00613717" w:rsidP="00613717">
      <w:pPr>
        <w:pStyle w:val="EndnoteText"/>
      </w:pPr>
      <w:r>
        <w:t>tm.dk/media/qo2dyzxy/erklaering-gl.pdf (accessed 1 April 2026).</w:t>
      </w:r>
    </w:p>
  </w:endnote>
  <w:endnote w:id="10">
    <w:p w14:paraId="16F0FDFF" w14:textId="36769346" w:rsidR="00613717" w:rsidRDefault="00613717">
      <w:pPr>
        <w:pStyle w:val="EndnoteText"/>
      </w:pPr>
      <w:r>
        <w:rPr>
          <w:rStyle w:val="EndnoteReference"/>
        </w:rPr>
        <w:endnoteRef/>
      </w:r>
      <w:r>
        <w:t xml:space="preserve"> </w:t>
      </w:r>
      <w:r w:rsidRPr="00370942">
        <w:t xml:space="preserve">European Defence Agency. </w:t>
      </w:r>
      <w:r w:rsidRPr="00370942">
        <w:rPr>
          <w:i/>
          <w:iCs/>
        </w:rPr>
        <w:t>The 2023 EU Capability Development Priorities: To Be Ready</w:t>
      </w:r>
      <w:r w:rsidRPr="00370942">
        <w:t xml:space="preserve">. Brussels: European Defence Agency, 2023. Available at: </w:t>
      </w:r>
      <w:hyperlink r:id="rId8" w:history="1">
        <w:r w:rsidRPr="00370942">
          <w:rPr>
            <w:rStyle w:val="Hyperlink"/>
          </w:rPr>
          <w:t>https://eda.europa.eu/docs/default-source/eda-publications/2023-eu-capability-development-priorities.pdf</w:t>
        </w:r>
      </w:hyperlink>
      <w:r w:rsidRPr="00370942">
        <w:t xml:space="preserve"> (accessed 22 June 2026)</w:t>
      </w:r>
      <w:r>
        <w:t xml:space="preserve">; </w:t>
      </w:r>
      <w:r w:rsidRPr="0045714A">
        <w:t xml:space="preserve">NATO Allied Command Transformation. </w:t>
      </w:r>
      <w:r w:rsidRPr="0045714A">
        <w:rPr>
          <w:i/>
          <w:iCs/>
        </w:rPr>
        <w:t>NATO CD&amp;E Handbook: A Concept Developer's Toolbox</w:t>
      </w:r>
      <w:r w:rsidRPr="0045714A">
        <w:t xml:space="preserve">. Norfolk, VA: Allied Command Transformation, 2023. Available at: </w:t>
      </w:r>
      <w:hyperlink r:id="rId9" w:history="1">
        <w:r w:rsidRPr="0045714A">
          <w:rPr>
            <w:rStyle w:val="Hyperlink"/>
          </w:rPr>
          <w:t>https://www.act.nato.int/wp-content/uploads/2023/05/NATO-ACT-CDE-Handbook_A_Concept_Developers_Toolbox.pdf</w:t>
        </w:r>
      </w:hyperlink>
      <w:r w:rsidRPr="0045714A">
        <w:t xml:space="preserve"> (accessed 22 June 2026).</w:t>
      </w:r>
    </w:p>
  </w:endnote>
  <w:endnote w:id="11">
    <w:p w14:paraId="3644E971" w14:textId="447DE1E8" w:rsidR="00613717" w:rsidRDefault="00613717">
      <w:pPr>
        <w:pStyle w:val="EndnoteText"/>
      </w:pPr>
      <w:r>
        <w:rPr>
          <w:rStyle w:val="EndnoteReference"/>
        </w:rPr>
        <w:endnoteRef/>
      </w:r>
      <w:r>
        <w:t xml:space="preserve"> </w:t>
      </w:r>
      <w:r>
        <w:t>TM 201</w:t>
      </w:r>
    </w:p>
  </w:endnote>
  <w:endnote w:id="12">
    <w:p w14:paraId="24DBA16B" w14:textId="0E69EA69" w:rsidR="00613717" w:rsidRDefault="00613717">
      <w:pPr>
        <w:pStyle w:val="EndnoteText"/>
      </w:pPr>
      <w:r>
        <w:rPr>
          <w:rStyle w:val="EndnoteReference"/>
        </w:rPr>
        <w:endnoteRef/>
      </w:r>
      <w:r>
        <w:t xml:space="preserve"> </w:t>
      </w:r>
      <w:r w:rsidRPr="003E5AA4">
        <w:t xml:space="preserve">O'Connor, N. </w:t>
      </w:r>
      <w:r w:rsidRPr="003E5AA4">
        <w:rPr>
          <w:i/>
          <w:iCs/>
        </w:rPr>
        <w:t>Ireland Could Be About to Sign €600m Armoured Vehicles Deal, French Arms Firm Says</w:t>
      </w:r>
      <w:r w:rsidRPr="003E5AA4">
        <w:t xml:space="preserve">. </w:t>
      </w:r>
      <w:r w:rsidRPr="003E5AA4">
        <w:rPr>
          <w:i/>
          <w:iCs/>
        </w:rPr>
        <w:t>The Journal</w:t>
      </w:r>
      <w:r w:rsidRPr="003E5AA4">
        <w:t xml:space="preserve">, 2025. Available at: </w:t>
      </w:r>
      <w:hyperlink r:id="rId10" w:tgtFrame="_new" w:history="1">
        <w:r w:rsidRPr="003E5AA4">
          <w:rPr>
            <w:rStyle w:val="Hyperlink"/>
          </w:rPr>
          <w:t>https://www.thejournal.ie/new-apc-vehicles-maybe-coming-from-france-6623112-Feb2025/</w:t>
        </w:r>
      </w:hyperlink>
      <w:r w:rsidRPr="003E5AA4">
        <w:t xml:space="preserve"> (accessed 24 February 2026).</w:t>
      </w:r>
    </w:p>
  </w:endnote>
  <w:endnote w:id="13">
    <w:p w14:paraId="7C7168DD" w14:textId="73DBD179" w:rsidR="00613717" w:rsidRDefault="00613717">
      <w:pPr>
        <w:pStyle w:val="EndnoteText"/>
      </w:pPr>
      <w:r>
        <w:rPr>
          <w:rStyle w:val="EndnoteReference"/>
        </w:rPr>
        <w:endnoteRef/>
      </w:r>
      <w:r>
        <w:t xml:space="preserve"> </w:t>
      </w:r>
      <w:r w:rsidRPr="002F0568">
        <w:t xml:space="preserve">Lopez, C. </w:t>
      </w:r>
      <w:r w:rsidRPr="002F0568">
        <w:rPr>
          <w:i/>
          <w:iCs/>
        </w:rPr>
        <w:t>The Ultra-Light Tactical Vehicle: How Working with Industry and the FMF Can Result in a Swiss Army Knife for Future Lethality</w:t>
      </w:r>
      <w:r w:rsidRPr="002F0568">
        <w:t xml:space="preserve">. </w:t>
      </w:r>
      <w:r w:rsidRPr="002F0568">
        <w:rPr>
          <w:i/>
          <w:iCs/>
        </w:rPr>
        <w:t>Marine Corps Gazette</w:t>
      </w:r>
      <w:r w:rsidRPr="002F0568">
        <w:t xml:space="preserve">, August 2021. Available at: </w:t>
      </w:r>
      <w:hyperlink r:id="rId11" w:history="1">
        <w:r w:rsidRPr="002F0568">
          <w:rPr>
            <w:rStyle w:val="Hyperlink"/>
          </w:rPr>
          <w:t>https://www.mca-marines.org/wp-content/uploads/23-The-Ultra-Light.pdf</w:t>
        </w:r>
      </w:hyperlink>
      <w:r w:rsidRPr="002F0568">
        <w:t xml:space="preserve"> (accessed 21 June 2026).</w:t>
      </w:r>
    </w:p>
  </w:endnote>
  <w:endnote w:id="14">
    <w:p w14:paraId="7D9B75B2" w14:textId="5598C5BD" w:rsidR="00694A56" w:rsidRDefault="00694A56">
      <w:pPr>
        <w:pStyle w:val="EndnoteText"/>
      </w:pPr>
      <w:r>
        <w:rPr>
          <w:rStyle w:val="EndnoteReference"/>
        </w:rPr>
        <w:endnoteRef/>
      </w:r>
      <w:r>
        <w:t xml:space="preserve"> </w:t>
      </w:r>
      <w:proofErr w:type="spellStart"/>
      <w:r w:rsidRPr="001470B3">
        <w:t>Néron</w:t>
      </w:r>
      <w:proofErr w:type="spellEnd"/>
      <w:r w:rsidRPr="001470B3">
        <w:t xml:space="preserve">-Bancel, P. and Garnier, G. </w:t>
      </w:r>
      <w:r w:rsidRPr="001470B3">
        <w:rPr>
          <w:i/>
          <w:iCs/>
        </w:rPr>
        <w:t>At the Other Side of the Hill: The Benefits and False Promises of Battlefield Transparency</w:t>
      </w:r>
      <w:r w:rsidRPr="001470B3">
        <w:t xml:space="preserve">. Paris: </w:t>
      </w:r>
      <w:proofErr w:type="spellStart"/>
      <w:r w:rsidRPr="001470B3">
        <w:t>Institut</w:t>
      </w:r>
      <w:proofErr w:type="spellEnd"/>
      <w:r w:rsidRPr="001470B3">
        <w:t xml:space="preserve"> français des relations </w:t>
      </w:r>
      <w:proofErr w:type="spellStart"/>
      <w:r w:rsidRPr="001470B3">
        <w:t>internationales</w:t>
      </w:r>
      <w:proofErr w:type="spellEnd"/>
      <w:r w:rsidRPr="001470B3">
        <w:t xml:space="preserve"> (IFRI), 27 May 2024, p. 45. Available at: </w:t>
      </w:r>
      <w:hyperlink r:id="rId12" w:tgtFrame="_new" w:history="1">
        <w:r w:rsidRPr="001470B3">
          <w:rPr>
            <w:rStyle w:val="Hyperlink"/>
          </w:rPr>
          <w:t>https://www.ifri.org/en/studies/other-side-hill-benefits-and-false-promises-battlefield-transparency</w:t>
        </w:r>
      </w:hyperlink>
      <w:r w:rsidRPr="001470B3">
        <w:t xml:space="preserve"> (accessed 17 March 2026).</w:t>
      </w:r>
    </w:p>
  </w:endnote>
  <w:endnote w:id="15">
    <w:p w14:paraId="390D3302" w14:textId="057511A1" w:rsidR="007566C6" w:rsidRDefault="007566C6">
      <w:pPr>
        <w:pStyle w:val="EndnoteText"/>
      </w:pPr>
      <w:r>
        <w:rPr>
          <w:rStyle w:val="EndnoteReference"/>
        </w:rPr>
        <w:endnoteRef/>
      </w:r>
      <w:r>
        <w:t xml:space="preserve"> </w:t>
      </w:r>
      <w:r w:rsidRPr="008E0498">
        <w:t xml:space="preserve">Joret, G. “What Specialization of the Infantry in </w:t>
      </w:r>
      <w:proofErr w:type="spellStart"/>
      <w:r w:rsidRPr="008E0498">
        <w:t>Armored</w:t>
      </w:r>
      <w:proofErr w:type="spellEnd"/>
      <w:r w:rsidRPr="008E0498">
        <w:t xml:space="preserve"> Combat Operations?”, </w:t>
      </w:r>
      <w:proofErr w:type="spellStart"/>
      <w:r w:rsidRPr="008E0498">
        <w:t>Fantassins</w:t>
      </w:r>
      <w:proofErr w:type="spellEnd"/>
      <w:r w:rsidRPr="008E0498">
        <w:t xml:space="preserve">, no. 52, Spring–Summer 2024, pp. 125–130, pp. 129–130; Bouffard, J. “The Infantry Regiment Model 2030”, </w:t>
      </w:r>
      <w:proofErr w:type="spellStart"/>
      <w:r w:rsidRPr="008E0498">
        <w:t>Fantassins</w:t>
      </w:r>
      <w:proofErr w:type="spellEnd"/>
      <w:r w:rsidRPr="008E0498">
        <w:t>, no. 52, Spring–Summer 2024, pp. 15–20, p. 18.</w:t>
      </w:r>
    </w:p>
  </w:endnote>
  <w:endnote w:id="16">
    <w:p w14:paraId="393AF30C" w14:textId="77777777" w:rsidR="005453F0" w:rsidRDefault="005453F0" w:rsidP="005453F0">
      <w:pPr>
        <w:pStyle w:val="EndnoteText"/>
      </w:pPr>
      <w:r>
        <w:rPr>
          <w:rStyle w:val="EndnoteReference"/>
        </w:rPr>
        <w:endnoteRef/>
      </w:r>
      <w:r>
        <w:t xml:space="preserve"> </w:t>
      </w:r>
      <w:r w:rsidRPr="00B47134">
        <w:t xml:space="preserve">UK Ministry of Defence and Defence Science and Technology Laboratory. </w:t>
      </w:r>
      <w:r w:rsidRPr="00B47134">
        <w:rPr>
          <w:i/>
          <w:iCs/>
        </w:rPr>
        <w:t>British Army Experiments with Dstl Study on Urban Combat</w:t>
      </w:r>
      <w:r w:rsidRPr="00B47134">
        <w:t xml:space="preserve">. GOV.UK News Story, 30 March 2023. Available at: </w:t>
      </w:r>
      <w:hyperlink r:id="rId13" w:history="1">
        <w:r w:rsidRPr="00B47134">
          <w:rPr>
            <w:rStyle w:val="Hyperlink"/>
          </w:rPr>
          <w:t>https://www.gov.uk/government/news/british-army-experiments-with-dstl-study-on-urban-combat</w:t>
        </w:r>
      </w:hyperlink>
      <w:r w:rsidRPr="00B47134">
        <w:t xml:space="preserve"> (accessed 22 June 2026)</w:t>
      </w:r>
      <w:r>
        <w:t xml:space="preserve">; </w:t>
      </w:r>
      <w:r w:rsidRPr="00B47134">
        <w:t xml:space="preserve">Spencer, J. </w:t>
      </w:r>
      <w:r w:rsidRPr="00B47134">
        <w:rPr>
          <w:i/>
          <w:iCs/>
        </w:rPr>
        <w:t>Creating a Unit Optimized for Urban Warfare</w:t>
      </w:r>
      <w:r w:rsidRPr="00B47134">
        <w:t xml:space="preserve">. </w:t>
      </w:r>
      <w:r w:rsidRPr="00B47134">
        <w:rPr>
          <w:i/>
          <w:iCs/>
        </w:rPr>
        <w:t>Modern War Institute at West Point</w:t>
      </w:r>
      <w:r w:rsidRPr="00B47134">
        <w:t xml:space="preserve">, 18 August 2023. Available at: </w:t>
      </w:r>
      <w:hyperlink r:id="rId14" w:history="1">
        <w:r w:rsidRPr="00B47134">
          <w:rPr>
            <w:rStyle w:val="Hyperlink"/>
          </w:rPr>
          <w:t>https://mwi.westpoint.edu/creating-a-unit-optimized-for-urban-warfare/</w:t>
        </w:r>
      </w:hyperlink>
      <w:r w:rsidRPr="00B47134">
        <w:t xml:space="preserve"> (accessed 22 June 2026).</w:t>
      </w:r>
    </w:p>
  </w:endnote>
  <w:endnote w:id="17">
    <w:p w14:paraId="0DCE7736" w14:textId="59D562A4" w:rsidR="00694A56" w:rsidRDefault="00694A56">
      <w:pPr>
        <w:pStyle w:val="EndnoteText"/>
      </w:pPr>
      <w:r>
        <w:rPr>
          <w:rStyle w:val="EndnoteReference"/>
        </w:rPr>
        <w:endnoteRef/>
      </w:r>
      <w:r>
        <w:t xml:space="preserve"> </w:t>
      </w:r>
      <w:r w:rsidRPr="002405F1">
        <w:t xml:space="preserve">Ministère des </w:t>
      </w:r>
      <w:proofErr w:type="spellStart"/>
      <w:r w:rsidRPr="002405F1">
        <w:t>Armées</w:t>
      </w:r>
      <w:proofErr w:type="spellEnd"/>
      <w:r w:rsidRPr="002405F1">
        <w:t xml:space="preserve">. </w:t>
      </w:r>
      <w:proofErr w:type="spellStart"/>
      <w:r w:rsidRPr="002405F1">
        <w:rPr>
          <w:i/>
          <w:iCs/>
        </w:rPr>
        <w:t>Gévaudan</w:t>
      </w:r>
      <w:proofErr w:type="spellEnd"/>
      <w:r w:rsidRPr="002405F1">
        <w:rPr>
          <w:i/>
          <w:iCs/>
        </w:rPr>
        <w:t xml:space="preserve"> 26 : Les </w:t>
      </w:r>
      <w:proofErr w:type="spellStart"/>
      <w:r w:rsidRPr="002405F1">
        <w:rPr>
          <w:i/>
          <w:iCs/>
        </w:rPr>
        <w:t>Légionnaires</w:t>
      </w:r>
      <w:proofErr w:type="spellEnd"/>
      <w:r w:rsidRPr="002405F1">
        <w:rPr>
          <w:i/>
          <w:iCs/>
        </w:rPr>
        <w:t xml:space="preserve"> au Combat</w:t>
      </w:r>
      <w:r w:rsidRPr="002405F1">
        <w:t xml:space="preserve">. 25 February 2026. Available at: </w:t>
      </w:r>
      <w:hyperlink r:id="rId15" w:tgtFrame="_new" w:history="1">
        <w:r w:rsidRPr="002405F1">
          <w:rPr>
            <w:rStyle w:val="Hyperlink"/>
          </w:rPr>
          <w:t>https://www.defense.gouv.fr/terre/actualites/gevaudan-26-legionnaires-au-combat</w:t>
        </w:r>
      </w:hyperlink>
      <w:r w:rsidRPr="002405F1">
        <w:t xml:space="preserve"> (accessed 1 April 2026)</w:t>
      </w:r>
      <w:r>
        <w:t xml:space="preserve">; </w:t>
      </w:r>
      <w:r w:rsidRPr="002405F1">
        <w:t xml:space="preserve">TF1 INFO. </w:t>
      </w:r>
      <w:r w:rsidRPr="002405F1">
        <w:rPr>
          <w:i/>
          <w:iCs/>
        </w:rPr>
        <w:t xml:space="preserve">Légion </w:t>
      </w:r>
      <w:proofErr w:type="spellStart"/>
      <w:r w:rsidRPr="002405F1">
        <w:rPr>
          <w:i/>
          <w:iCs/>
        </w:rPr>
        <w:t>étrangère</w:t>
      </w:r>
      <w:proofErr w:type="spellEnd"/>
      <w:r w:rsidRPr="002405F1">
        <w:rPr>
          <w:i/>
          <w:iCs/>
        </w:rPr>
        <w:t xml:space="preserve"> : Au Coeur d'un </w:t>
      </w:r>
      <w:proofErr w:type="spellStart"/>
      <w:r w:rsidRPr="002405F1">
        <w:rPr>
          <w:i/>
          <w:iCs/>
        </w:rPr>
        <w:t>Entraînement</w:t>
      </w:r>
      <w:proofErr w:type="spellEnd"/>
      <w:r w:rsidRPr="002405F1">
        <w:rPr>
          <w:i/>
          <w:iCs/>
        </w:rPr>
        <w:t xml:space="preserve"> Plus Vrai </w:t>
      </w:r>
      <w:proofErr w:type="spellStart"/>
      <w:r w:rsidRPr="002405F1">
        <w:rPr>
          <w:i/>
          <w:iCs/>
        </w:rPr>
        <w:t>que</w:t>
      </w:r>
      <w:proofErr w:type="spellEnd"/>
      <w:r w:rsidRPr="002405F1">
        <w:rPr>
          <w:i/>
          <w:iCs/>
        </w:rPr>
        <w:t xml:space="preserve"> Nature</w:t>
      </w:r>
      <w:r w:rsidRPr="002405F1">
        <w:t xml:space="preserve">. YouTube video, 21 February 2026. Available at: </w:t>
      </w:r>
      <w:hyperlink r:id="rId16" w:tgtFrame="_new" w:history="1">
        <w:r w:rsidRPr="002405F1">
          <w:rPr>
            <w:rStyle w:val="Hyperlink"/>
          </w:rPr>
          <w:t>https://www.youtube.com/watch?v=fkE1H-jy3NE</w:t>
        </w:r>
      </w:hyperlink>
      <w:r w:rsidRPr="002405F1">
        <w:t xml:space="preserve"> (accessed 1 April 2026)</w:t>
      </w:r>
      <w:r>
        <w:t xml:space="preserve">; </w:t>
      </w:r>
      <w:r w:rsidRPr="002405F1">
        <w:t xml:space="preserve">Melchior, J. K. </w:t>
      </w:r>
      <w:r w:rsidRPr="002405F1">
        <w:rPr>
          <w:i/>
          <w:iCs/>
        </w:rPr>
        <w:t>NATO Has Seen the Future and Is Unprepared</w:t>
      </w:r>
      <w:r w:rsidRPr="002405F1">
        <w:t xml:space="preserve">. </w:t>
      </w:r>
      <w:r w:rsidRPr="002405F1">
        <w:rPr>
          <w:i/>
          <w:iCs/>
        </w:rPr>
        <w:t>Wall Street Journal</w:t>
      </w:r>
      <w:r w:rsidRPr="002405F1">
        <w:t xml:space="preserve">, 2020. Available at: </w:t>
      </w:r>
      <w:hyperlink r:id="rId17" w:tgtFrame="_new" w:history="1">
        <w:r w:rsidRPr="002405F1">
          <w:rPr>
            <w:rStyle w:val="Hyperlink"/>
          </w:rPr>
          <w:t>https://www.wsj.com/opinion/nato-has-seen-the-future-and-is-unprepared-887eaf0f</w:t>
        </w:r>
      </w:hyperlink>
      <w:r w:rsidRPr="002405F1">
        <w:t xml:space="preserve"> (accessed 13 February 2026).</w:t>
      </w:r>
    </w:p>
  </w:endnote>
  <w:endnote w:id="18">
    <w:p w14:paraId="77C6FB0E" w14:textId="77777777" w:rsidR="00694A56" w:rsidRPr="00BF0F0F" w:rsidRDefault="00694A56" w:rsidP="00694A56">
      <w:pPr>
        <w:pStyle w:val="FootnoteText"/>
      </w:pPr>
      <w:r>
        <w:rPr>
          <w:rStyle w:val="EndnoteReference"/>
        </w:rPr>
        <w:endnoteRef/>
      </w:r>
      <w:r>
        <w:t xml:space="preserve"> </w:t>
      </w:r>
      <w:r w:rsidRPr="00BF0F0F">
        <w:t xml:space="preserve">Molloy, O. </w:t>
      </w:r>
      <w:r w:rsidRPr="00BF0F0F">
        <w:rPr>
          <w:i/>
          <w:iCs/>
        </w:rPr>
        <w:t>Drones in Modern Warfare: Lessons Learnt from the War in Ukraine</w:t>
      </w:r>
      <w:r w:rsidRPr="00BF0F0F">
        <w:t xml:space="preserve">. Australian Army Occasional Paper, no. 29. Canberra: Australian Army Research Centre, 2024, p. </w:t>
      </w:r>
      <w:r>
        <w:t>78</w:t>
      </w:r>
      <w:r w:rsidRPr="00BF0F0F">
        <w:t xml:space="preserve">. DOI: 10.61451/267513. Available at: </w:t>
      </w:r>
      <w:hyperlink r:id="rId18" w:history="1">
        <w:r w:rsidRPr="00BF0F0F">
          <w:rPr>
            <w:rStyle w:val="Hyperlink"/>
          </w:rPr>
          <w:t>https://researchcentre.army.gov.au/sites/default/files/241104-Occasional-Paper-29-Lessons-Learnt-from-Ukraine.pdf.pdf</w:t>
        </w:r>
      </w:hyperlink>
      <w:r w:rsidRPr="00BF0F0F">
        <w:t xml:space="preserve"> (accessed 2 November 2025).</w:t>
      </w:r>
    </w:p>
    <w:p w14:paraId="511A2DEE" w14:textId="279A431F" w:rsidR="00694A56" w:rsidRDefault="00694A56">
      <w:pPr>
        <w:pStyle w:val="EndnoteText"/>
      </w:pPr>
    </w:p>
  </w:endnote>
  <w:endnote w:id="19">
    <w:p w14:paraId="6167DECF" w14:textId="1DE69368" w:rsidR="008F6405" w:rsidRDefault="008F6405">
      <w:pPr>
        <w:pStyle w:val="EndnoteText"/>
      </w:pPr>
      <w:r>
        <w:rPr>
          <w:rStyle w:val="EndnoteReference"/>
        </w:rPr>
        <w:endnoteRef/>
      </w:r>
      <w:r>
        <w:t xml:space="preserve"> </w:t>
      </w:r>
      <w:r w:rsidRPr="009F3487">
        <w:t xml:space="preserve">Lanchester, F. W. </w:t>
      </w:r>
      <w:r w:rsidRPr="009F3487">
        <w:rPr>
          <w:i/>
          <w:iCs/>
        </w:rPr>
        <w:t>Aircraft in Warfare: The Dawn of the Fourth Arm</w:t>
      </w:r>
      <w:r w:rsidRPr="009F3487">
        <w:t>. London: Constable and Company Limited, 1916.</w:t>
      </w:r>
    </w:p>
  </w:endnote>
  <w:endnote w:id="20">
    <w:p w14:paraId="065D773C" w14:textId="3C19885C" w:rsidR="008F6405" w:rsidRDefault="008F6405">
      <w:pPr>
        <w:pStyle w:val="EndnoteText"/>
      </w:pPr>
      <w:r>
        <w:rPr>
          <w:rStyle w:val="EndnoteReference"/>
        </w:rPr>
        <w:endnoteRef/>
      </w:r>
      <w:r>
        <w:t xml:space="preserve"> </w:t>
      </w:r>
      <w:r w:rsidRPr="009F3487">
        <w:t xml:space="preserve">Mearsheimer, J. J. </w:t>
      </w:r>
      <w:r w:rsidRPr="009F3487">
        <w:rPr>
          <w:i/>
          <w:iCs/>
        </w:rPr>
        <w:t>Assessing the Conventional Balance: The 3:1 Rule and Its Critics</w:t>
      </w:r>
      <w:r w:rsidRPr="009F3487">
        <w:t xml:space="preserve">. </w:t>
      </w:r>
      <w:r w:rsidRPr="009F3487">
        <w:rPr>
          <w:i/>
          <w:iCs/>
        </w:rPr>
        <w:t>International Security</w:t>
      </w:r>
      <w:r w:rsidRPr="009F3487">
        <w:t xml:space="preserve">, 13(4), 1989, pp. 54–89. Available at: </w:t>
      </w:r>
      <w:hyperlink r:id="rId19" w:tgtFrame="_new" w:history="1">
        <w:r w:rsidRPr="009F3487">
          <w:rPr>
            <w:rStyle w:val="Hyperlink"/>
          </w:rPr>
          <w:t>https://www.jstor.org/stable/2538780</w:t>
        </w:r>
      </w:hyperlink>
      <w:r w:rsidRPr="009F3487">
        <w:t xml:space="preserve"> (accessed 29 March 2025).</w:t>
      </w:r>
    </w:p>
  </w:endnote>
  <w:endnote w:id="21">
    <w:p w14:paraId="799FDA5B" w14:textId="367AF016" w:rsidR="008F6405" w:rsidRDefault="008F6405">
      <w:pPr>
        <w:pStyle w:val="EndnoteText"/>
      </w:pPr>
      <w:r>
        <w:rPr>
          <w:rStyle w:val="EndnoteReference"/>
        </w:rPr>
        <w:endnoteRef/>
      </w:r>
      <w:r>
        <w:t xml:space="preserve"> </w:t>
      </w:r>
      <w:r w:rsidRPr="00327715">
        <w:t xml:space="preserve">Beatty, A. </w:t>
      </w:r>
      <w:r w:rsidRPr="00327715">
        <w:rPr>
          <w:i/>
          <w:iCs/>
        </w:rPr>
        <w:t>Movement as Exposure: Uncrewed Systems and the Transformation of Light Infantry Tactics: From Tactical Adaptation to Force Design and Deterrence-by-Denial in a Small State Context</w:t>
      </w:r>
      <w:r w:rsidRPr="00327715">
        <w:t>. MA thesis, Maynooth University, 2026. Available from the Defence Forces Library.</w:t>
      </w:r>
      <w:r>
        <w:t xml:space="preserve"> </w:t>
      </w:r>
      <w:r w:rsidRPr="00C12DA0">
        <w:t xml:space="preserve">The salvo column estimates the number and cost of effectors required to defeat an armoured company. </w:t>
      </w:r>
      <w:r w:rsidRPr="007A6FF0">
        <w:t>Effect is normalised to delivered shaped-charge mass, not raw payload:</w:t>
      </w:r>
      <w:r>
        <w:t xml:space="preserve"> </w:t>
      </w:r>
      <w:r w:rsidRPr="00C12DA0">
        <w:t>OWADs are calculated against the 100</w:t>
      </w:r>
      <w:r>
        <w:t>-</w:t>
      </w:r>
      <w:r w:rsidRPr="00C12DA0">
        <w:t>k</w:t>
      </w:r>
      <w:r>
        <w:t>ilogram</w:t>
      </w:r>
      <w:r w:rsidRPr="00C12DA0">
        <w:t xml:space="preserve"> shaped-charge requirement in Bronk and Watling; Javelin is calculated as six missiles at assumed 100 percent kill probability against the 40–60 per cent immobilisation threshold – an assumption</w:t>
      </w:r>
      <w:r>
        <w:t xml:space="preserve"> which</w:t>
      </w:r>
      <w:r w:rsidRPr="00C12DA0">
        <w:t xml:space="preserve"> flatters Javelin and therefore understates the drone advantage. Bronk, J. and Watling, J. </w:t>
      </w:r>
      <w:r w:rsidRPr="00C12DA0">
        <w:rPr>
          <w:i/>
          <w:iCs/>
        </w:rPr>
        <w:t>Mass Precision Strike: Designing UAV Complexes for Land Forces</w:t>
      </w:r>
      <w:r w:rsidRPr="00C12DA0">
        <w:t xml:space="preserve">. London: Royal United Services Institute for Defence and Security Studies, 2024. Available at: </w:t>
      </w:r>
      <w:hyperlink r:id="rId20" w:history="1">
        <w:r w:rsidRPr="00C12DA0">
          <w:rPr>
            <w:rStyle w:val="Hyperlink"/>
          </w:rPr>
          <w:t>https://static.rusi.org/mass-precision-strike-final.pdf</w:t>
        </w:r>
      </w:hyperlink>
      <w:r w:rsidRPr="00C12DA0">
        <w:t xml:space="preserve"> (accessed 16 December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C57F5" w14:textId="77777777" w:rsidR="00626C85" w:rsidRDefault="00626C85" w:rsidP="008F41DA">
      <w:pPr>
        <w:spacing w:after="0" w:line="240" w:lineRule="auto"/>
      </w:pPr>
      <w:r>
        <w:separator/>
      </w:r>
    </w:p>
  </w:footnote>
  <w:footnote w:type="continuationSeparator" w:id="0">
    <w:p w14:paraId="045F82A9" w14:textId="77777777" w:rsidR="00626C85" w:rsidRDefault="00626C85" w:rsidP="008F41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A27"/>
    <w:multiLevelType w:val="hybridMultilevel"/>
    <w:tmpl w:val="1FF2CBF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42310AC"/>
    <w:multiLevelType w:val="multilevel"/>
    <w:tmpl w:val="6DB0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F3267C"/>
    <w:multiLevelType w:val="multilevel"/>
    <w:tmpl w:val="5350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E90862"/>
    <w:multiLevelType w:val="multilevel"/>
    <w:tmpl w:val="85F4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809DE"/>
    <w:multiLevelType w:val="multilevel"/>
    <w:tmpl w:val="6F92CC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C71D81"/>
    <w:multiLevelType w:val="multilevel"/>
    <w:tmpl w:val="2938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F3DED"/>
    <w:multiLevelType w:val="multilevel"/>
    <w:tmpl w:val="D20A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443802">
    <w:abstractNumId w:val="1"/>
  </w:num>
  <w:num w:numId="2" w16cid:durableId="1625699588">
    <w:abstractNumId w:val="4"/>
  </w:num>
  <w:num w:numId="3" w16cid:durableId="351036008">
    <w:abstractNumId w:val="0"/>
  </w:num>
  <w:num w:numId="4" w16cid:durableId="1840726473">
    <w:abstractNumId w:val="3"/>
  </w:num>
  <w:num w:numId="5" w16cid:durableId="949435667">
    <w:abstractNumId w:val="6"/>
  </w:num>
  <w:num w:numId="6" w16cid:durableId="2129355854">
    <w:abstractNumId w:val="2"/>
  </w:num>
  <w:num w:numId="7" w16cid:durableId="1714574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448"/>
    <w:rsid w:val="00017713"/>
    <w:rsid w:val="00034CC3"/>
    <w:rsid w:val="00036E74"/>
    <w:rsid w:val="000603AB"/>
    <w:rsid w:val="00063C3E"/>
    <w:rsid w:val="00065A3F"/>
    <w:rsid w:val="000773AE"/>
    <w:rsid w:val="00083769"/>
    <w:rsid w:val="0008463B"/>
    <w:rsid w:val="00092ECB"/>
    <w:rsid w:val="000A0B1F"/>
    <w:rsid w:val="000A62A6"/>
    <w:rsid w:val="000B39F2"/>
    <w:rsid w:val="000C389C"/>
    <w:rsid w:val="000E53A4"/>
    <w:rsid w:val="000E74FD"/>
    <w:rsid w:val="000F0D19"/>
    <w:rsid w:val="000F158F"/>
    <w:rsid w:val="00102312"/>
    <w:rsid w:val="00107A60"/>
    <w:rsid w:val="00126E0F"/>
    <w:rsid w:val="00127967"/>
    <w:rsid w:val="00143911"/>
    <w:rsid w:val="001470B3"/>
    <w:rsid w:val="00172310"/>
    <w:rsid w:val="00174027"/>
    <w:rsid w:val="00176EA6"/>
    <w:rsid w:val="001779D4"/>
    <w:rsid w:val="001800EF"/>
    <w:rsid w:val="001822CC"/>
    <w:rsid w:val="00182D41"/>
    <w:rsid w:val="001A3844"/>
    <w:rsid w:val="001A7BA9"/>
    <w:rsid w:val="001B6642"/>
    <w:rsid w:val="001C6BAB"/>
    <w:rsid w:val="001C70DF"/>
    <w:rsid w:val="001C71F6"/>
    <w:rsid w:val="001C75AE"/>
    <w:rsid w:val="001D0016"/>
    <w:rsid w:val="001E7AE7"/>
    <w:rsid w:val="00210E07"/>
    <w:rsid w:val="00211892"/>
    <w:rsid w:val="00214E78"/>
    <w:rsid w:val="0021641C"/>
    <w:rsid w:val="00220651"/>
    <w:rsid w:val="0022693E"/>
    <w:rsid w:val="00230C29"/>
    <w:rsid w:val="00232127"/>
    <w:rsid w:val="002405F1"/>
    <w:rsid w:val="00240A82"/>
    <w:rsid w:val="00252F20"/>
    <w:rsid w:val="00262708"/>
    <w:rsid w:val="002822C2"/>
    <w:rsid w:val="00292EE9"/>
    <w:rsid w:val="00294FE3"/>
    <w:rsid w:val="002C4F0D"/>
    <w:rsid w:val="002D603F"/>
    <w:rsid w:val="002E0EF9"/>
    <w:rsid w:val="002E5AF4"/>
    <w:rsid w:val="002F0568"/>
    <w:rsid w:val="002F4644"/>
    <w:rsid w:val="0030344C"/>
    <w:rsid w:val="00327715"/>
    <w:rsid w:val="0033406E"/>
    <w:rsid w:val="00335369"/>
    <w:rsid w:val="003615C3"/>
    <w:rsid w:val="0036390B"/>
    <w:rsid w:val="00373773"/>
    <w:rsid w:val="00385DAB"/>
    <w:rsid w:val="00392A7C"/>
    <w:rsid w:val="003A11A1"/>
    <w:rsid w:val="003A2DA1"/>
    <w:rsid w:val="003B6230"/>
    <w:rsid w:val="003C060B"/>
    <w:rsid w:val="003E4F2A"/>
    <w:rsid w:val="003E5AA4"/>
    <w:rsid w:val="00401D26"/>
    <w:rsid w:val="004315E8"/>
    <w:rsid w:val="00431645"/>
    <w:rsid w:val="004359AF"/>
    <w:rsid w:val="00443FFE"/>
    <w:rsid w:val="00456E3A"/>
    <w:rsid w:val="0047065D"/>
    <w:rsid w:val="0047228C"/>
    <w:rsid w:val="004738DA"/>
    <w:rsid w:val="004910FE"/>
    <w:rsid w:val="004A13E6"/>
    <w:rsid w:val="004A36F5"/>
    <w:rsid w:val="004B73C3"/>
    <w:rsid w:val="004C3B35"/>
    <w:rsid w:val="004C777D"/>
    <w:rsid w:val="004D0C8F"/>
    <w:rsid w:val="004F0B7F"/>
    <w:rsid w:val="00503231"/>
    <w:rsid w:val="005032B0"/>
    <w:rsid w:val="00524254"/>
    <w:rsid w:val="00526588"/>
    <w:rsid w:val="00530028"/>
    <w:rsid w:val="00544D2A"/>
    <w:rsid w:val="005453F0"/>
    <w:rsid w:val="005532E2"/>
    <w:rsid w:val="00572323"/>
    <w:rsid w:val="00583511"/>
    <w:rsid w:val="005859B9"/>
    <w:rsid w:val="005A3FE8"/>
    <w:rsid w:val="005B47FC"/>
    <w:rsid w:val="005C0AE1"/>
    <w:rsid w:val="005C4B5D"/>
    <w:rsid w:val="005D62BA"/>
    <w:rsid w:val="005D6A14"/>
    <w:rsid w:val="005E2FA4"/>
    <w:rsid w:val="005F0279"/>
    <w:rsid w:val="005F7AFB"/>
    <w:rsid w:val="00602AC4"/>
    <w:rsid w:val="0060431C"/>
    <w:rsid w:val="0060740A"/>
    <w:rsid w:val="006077C5"/>
    <w:rsid w:val="00613717"/>
    <w:rsid w:val="00626C85"/>
    <w:rsid w:val="00626CC9"/>
    <w:rsid w:val="0063136F"/>
    <w:rsid w:val="00633BB8"/>
    <w:rsid w:val="006376AF"/>
    <w:rsid w:val="00654E5F"/>
    <w:rsid w:val="00656D8B"/>
    <w:rsid w:val="00663508"/>
    <w:rsid w:val="00687BB9"/>
    <w:rsid w:val="00694A56"/>
    <w:rsid w:val="006B245A"/>
    <w:rsid w:val="006B36F7"/>
    <w:rsid w:val="006B7283"/>
    <w:rsid w:val="006C01F9"/>
    <w:rsid w:val="006C15B4"/>
    <w:rsid w:val="006C1751"/>
    <w:rsid w:val="006D3152"/>
    <w:rsid w:val="006E0485"/>
    <w:rsid w:val="006E41D2"/>
    <w:rsid w:val="006E5232"/>
    <w:rsid w:val="006E6DF6"/>
    <w:rsid w:val="00702A39"/>
    <w:rsid w:val="00707459"/>
    <w:rsid w:val="007114F8"/>
    <w:rsid w:val="0071161B"/>
    <w:rsid w:val="00717ED2"/>
    <w:rsid w:val="00721C39"/>
    <w:rsid w:val="00721C8E"/>
    <w:rsid w:val="00734406"/>
    <w:rsid w:val="007539C9"/>
    <w:rsid w:val="007561E8"/>
    <w:rsid w:val="007566C6"/>
    <w:rsid w:val="0076059B"/>
    <w:rsid w:val="00766DD3"/>
    <w:rsid w:val="007749F8"/>
    <w:rsid w:val="0077704F"/>
    <w:rsid w:val="007A6FF0"/>
    <w:rsid w:val="007B7BC3"/>
    <w:rsid w:val="007D58F9"/>
    <w:rsid w:val="007E6648"/>
    <w:rsid w:val="007F7005"/>
    <w:rsid w:val="007F74B6"/>
    <w:rsid w:val="008008AE"/>
    <w:rsid w:val="008032E8"/>
    <w:rsid w:val="008278AC"/>
    <w:rsid w:val="00833C45"/>
    <w:rsid w:val="00841CA6"/>
    <w:rsid w:val="00847D59"/>
    <w:rsid w:val="00856A81"/>
    <w:rsid w:val="0087131C"/>
    <w:rsid w:val="00880436"/>
    <w:rsid w:val="008906B6"/>
    <w:rsid w:val="008A10CC"/>
    <w:rsid w:val="008A2BAF"/>
    <w:rsid w:val="008A3F4A"/>
    <w:rsid w:val="008D1071"/>
    <w:rsid w:val="008D790E"/>
    <w:rsid w:val="008E0498"/>
    <w:rsid w:val="008E24F7"/>
    <w:rsid w:val="008E628C"/>
    <w:rsid w:val="008F12D3"/>
    <w:rsid w:val="008F1E30"/>
    <w:rsid w:val="008F41DA"/>
    <w:rsid w:val="008F6405"/>
    <w:rsid w:val="00904C8E"/>
    <w:rsid w:val="009145A4"/>
    <w:rsid w:val="00917666"/>
    <w:rsid w:val="00925E2F"/>
    <w:rsid w:val="009305B9"/>
    <w:rsid w:val="00947EB5"/>
    <w:rsid w:val="00971FFB"/>
    <w:rsid w:val="00996C78"/>
    <w:rsid w:val="009A2241"/>
    <w:rsid w:val="009A4725"/>
    <w:rsid w:val="009C76EC"/>
    <w:rsid w:val="009D4618"/>
    <w:rsid w:val="009E246E"/>
    <w:rsid w:val="009E28A5"/>
    <w:rsid w:val="009F58F1"/>
    <w:rsid w:val="00A04877"/>
    <w:rsid w:val="00A04CA9"/>
    <w:rsid w:val="00A23F4E"/>
    <w:rsid w:val="00A36721"/>
    <w:rsid w:val="00A432B4"/>
    <w:rsid w:val="00A50E13"/>
    <w:rsid w:val="00A5525D"/>
    <w:rsid w:val="00A71BE2"/>
    <w:rsid w:val="00A72C99"/>
    <w:rsid w:val="00A82B6C"/>
    <w:rsid w:val="00A83B46"/>
    <w:rsid w:val="00AB0ACD"/>
    <w:rsid w:val="00AC6223"/>
    <w:rsid w:val="00AC7624"/>
    <w:rsid w:val="00AE6C88"/>
    <w:rsid w:val="00AF0C93"/>
    <w:rsid w:val="00AF5777"/>
    <w:rsid w:val="00B05986"/>
    <w:rsid w:val="00B2402D"/>
    <w:rsid w:val="00B46909"/>
    <w:rsid w:val="00B47134"/>
    <w:rsid w:val="00B53E30"/>
    <w:rsid w:val="00B62BAA"/>
    <w:rsid w:val="00B8094F"/>
    <w:rsid w:val="00B85AC3"/>
    <w:rsid w:val="00B86BAF"/>
    <w:rsid w:val="00B93E1B"/>
    <w:rsid w:val="00B94448"/>
    <w:rsid w:val="00BB2886"/>
    <w:rsid w:val="00BB3343"/>
    <w:rsid w:val="00BB3526"/>
    <w:rsid w:val="00BC252E"/>
    <w:rsid w:val="00BC4646"/>
    <w:rsid w:val="00BD22DF"/>
    <w:rsid w:val="00BE2246"/>
    <w:rsid w:val="00BF065B"/>
    <w:rsid w:val="00BF0F0F"/>
    <w:rsid w:val="00BF1C5A"/>
    <w:rsid w:val="00BF4B6D"/>
    <w:rsid w:val="00C02D2C"/>
    <w:rsid w:val="00C12DA0"/>
    <w:rsid w:val="00C13EBD"/>
    <w:rsid w:val="00C2058B"/>
    <w:rsid w:val="00C24B2F"/>
    <w:rsid w:val="00C31025"/>
    <w:rsid w:val="00C376F0"/>
    <w:rsid w:val="00C40892"/>
    <w:rsid w:val="00C446BB"/>
    <w:rsid w:val="00C50339"/>
    <w:rsid w:val="00C57783"/>
    <w:rsid w:val="00C74C84"/>
    <w:rsid w:val="00C76E0E"/>
    <w:rsid w:val="00C82EE9"/>
    <w:rsid w:val="00C9561E"/>
    <w:rsid w:val="00CA049A"/>
    <w:rsid w:val="00CA43AC"/>
    <w:rsid w:val="00CA53E2"/>
    <w:rsid w:val="00CA5665"/>
    <w:rsid w:val="00CB1328"/>
    <w:rsid w:val="00CB2FEB"/>
    <w:rsid w:val="00CC44E2"/>
    <w:rsid w:val="00CD6625"/>
    <w:rsid w:val="00CE1E14"/>
    <w:rsid w:val="00CE2CBB"/>
    <w:rsid w:val="00CE7751"/>
    <w:rsid w:val="00D02D50"/>
    <w:rsid w:val="00D04E62"/>
    <w:rsid w:val="00D0517E"/>
    <w:rsid w:val="00D11B48"/>
    <w:rsid w:val="00D31202"/>
    <w:rsid w:val="00D31766"/>
    <w:rsid w:val="00D33A77"/>
    <w:rsid w:val="00D34617"/>
    <w:rsid w:val="00D37663"/>
    <w:rsid w:val="00D427C5"/>
    <w:rsid w:val="00D43EF2"/>
    <w:rsid w:val="00D533ED"/>
    <w:rsid w:val="00D539C9"/>
    <w:rsid w:val="00D65BB3"/>
    <w:rsid w:val="00D72570"/>
    <w:rsid w:val="00D80DC3"/>
    <w:rsid w:val="00D93EFA"/>
    <w:rsid w:val="00D97A55"/>
    <w:rsid w:val="00DB5050"/>
    <w:rsid w:val="00DC5778"/>
    <w:rsid w:val="00DE1E55"/>
    <w:rsid w:val="00DE3CD3"/>
    <w:rsid w:val="00DE701E"/>
    <w:rsid w:val="00DE7342"/>
    <w:rsid w:val="00DF7EB0"/>
    <w:rsid w:val="00E05D57"/>
    <w:rsid w:val="00E15ABA"/>
    <w:rsid w:val="00E2362A"/>
    <w:rsid w:val="00E237FD"/>
    <w:rsid w:val="00E27349"/>
    <w:rsid w:val="00E27398"/>
    <w:rsid w:val="00E36494"/>
    <w:rsid w:val="00E37A49"/>
    <w:rsid w:val="00E42B4A"/>
    <w:rsid w:val="00E44360"/>
    <w:rsid w:val="00E47DF7"/>
    <w:rsid w:val="00E503FF"/>
    <w:rsid w:val="00E600EA"/>
    <w:rsid w:val="00E60F00"/>
    <w:rsid w:val="00E80E03"/>
    <w:rsid w:val="00E851DC"/>
    <w:rsid w:val="00E9226D"/>
    <w:rsid w:val="00EB0659"/>
    <w:rsid w:val="00EB428B"/>
    <w:rsid w:val="00EB4DCB"/>
    <w:rsid w:val="00EC66DF"/>
    <w:rsid w:val="00EC7C68"/>
    <w:rsid w:val="00ED4294"/>
    <w:rsid w:val="00ED4604"/>
    <w:rsid w:val="00ED54BE"/>
    <w:rsid w:val="00EE12B1"/>
    <w:rsid w:val="00F11EA1"/>
    <w:rsid w:val="00F318C3"/>
    <w:rsid w:val="00F47AB0"/>
    <w:rsid w:val="00F553E9"/>
    <w:rsid w:val="00F92358"/>
    <w:rsid w:val="00F979A6"/>
    <w:rsid w:val="00F97F87"/>
    <w:rsid w:val="00FA2700"/>
    <w:rsid w:val="00FA51DA"/>
    <w:rsid w:val="00FA5A9C"/>
    <w:rsid w:val="00FA5FF6"/>
    <w:rsid w:val="00FB05F1"/>
    <w:rsid w:val="00FB7879"/>
    <w:rsid w:val="00FD26A9"/>
    <w:rsid w:val="00FF02B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6AF7A"/>
  <w15:chartTrackingRefBased/>
  <w15:docId w15:val="{536D043D-0B3F-41E6-A482-0A18B6E18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448"/>
    <w:rPr>
      <w:rFonts w:eastAsiaTheme="majorEastAsia" w:cstheme="majorBidi"/>
      <w:color w:val="272727" w:themeColor="text1" w:themeTint="D8"/>
    </w:rPr>
  </w:style>
  <w:style w:type="paragraph" w:styleId="Title">
    <w:name w:val="Title"/>
    <w:basedOn w:val="Normal"/>
    <w:next w:val="Normal"/>
    <w:link w:val="TitleChar"/>
    <w:uiPriority w:val="10"/>
    <w:qFormat/>
    <w:rsid w:val="00B94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448"/>
    <w:pPr>
      <w:spacing w:before="160"/>
      <w:jc w:val="center"/>
    </w:pPr>
    <w:rPr>
      <w:i/>
      <w:iCs/>
      <w:color w:val="404040" w:themeColor="text1" w:themeTint="BF"/>
    </w:rPr>
  </w:style>
  <w:style w:type="character" w:customStyle="1" w:styleId="QuoteChar">
    <w:name w:val="Quote Char"/>
    <w:basedOn w:val="DefaultParagraphFont"/>
    <w:link w:val="Quote"/>
    <w:uiPriority w:val="29"/>
    <w:rsid w:val="00B94448"/>
    <w:rPr>
      <w:i/>
      <w:iCs/>
      <w:color w:val="404040" w:themeColor="text1" w:themeTint="BF"/>
    </w:rPr>
  </w:style>
  <w:style w:type="paragraph" w:styleId="ListParagraph">
    <w:name w:val="List Paragraph"/>
    <w:basedOn w:val="Normal"/>
    <w:uiPriority w:val="34"/>
    <w:qFormat/>
    <w:rsid w:val="00B94448"/>
    <w:pPr>
      <w:ind w:left="720"/>
      <w:contextualSpacing/>
    </w:pPr>
  </w:style>
  <w:style w:type="character" w:styleId="IntenseEmphasis">
    <w:name w:val="Intense Emphasis"/>
    <w:basedOn w:val="DefaultParagraphFont"/>
    <w:uiPriority w:val="21"/>
    <w:qFormat/>
    <w:rsid w:val="00B94448"/>
    <w:rPr>
      <w:i/>
      <w:iCs/>
      <w:color w:val="0F4761" w:themeColor="accent1" w:themeShade="BF"/>
    </w:rPr>
  </w:style>
  <w:style w:type="paragraph" w:styleId="IntenseQuote">
    <w:name w:val="Intense Quote"/>
    <w:basedOn w:val="Normal"/>
    <w:next w:val="Normal"/>
    <w:link w:val="IntenseQuoteChar"/>
    <w:uiPriority w:val="30"/>
    <w:qFormat/>
    <w:rsid w:val="00B94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448"/>
    <w:rPr>
      <w:i/>
      <w:iCs/>
      <w:color w:val="0F4761" w:themeColor="accent1" w:themeShade="BF"/>
    </w:rPr>
  </w:style>
  <w:style w:type="character" w:styleId="IntenseReference">
    <w:name w:val="Intense Reference"/>
    <w:basedOn w:val="DefaultParagraphFont"/>
    <w:uiPriority w:val="32"/>
    <w:qFormat/>
    <w:rsid w:val="00B94448"/>
    <w:rPr>
      <w:b/>
      <w:bCs/>
      <w:smallCaps/>
      <w:color w:val="0F4761" w:themeColor="accent1" w:themeShade="BF"/>
      <w:spacing w:val="5"/>
    </w:rPr>
  </w:style>
  <w:style w:type="paragraph" w:styleId="FootnoteText">
    <w:name w:val="footnote text"/>
    <w:basedOn w:val="Normal"/>
    <w:link w:val="FootnoteTextChar"/>
    <w:uiPriority w:val="99"/>
    <w:semiHidden/>
    <w:unhideWhenUsed/>
    <w:rsid w:val="008F41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F41DA"/>
    <w:rPr>
      <w:sz w:val="20"/>
      <w:szCs w:val="20"/>
    </w:rPr>
  </w:style>
  <w:style w:type="character" w:styleId="FootnoteReference">
    <w:name w:val="footnote reference"/>
    <w:basedOn w:val="DefaultParagraphFont"/>
    <w:uiPriority w:val="99"/>
    <w:semiHidden/>
    <w:unhideWhenUsed/>
    <w:rsid w:val="008F41DA"/>
    <w:rPr>
      <w:vertAlign w:val="superscript"/>
    </w:rPr>
  </w:style>
  <w:style w:type="paragraph" w:styleId="NormalWeb">
    <w:name w:val="Normal (Web)"/>
    <w:basedOn w:val="Normal"/>
    <w:uiPriority w:val="99"/>
    <w:semiHidden/>
    <w:unhideWhenUsed/>
    <w:rsid w:val="008032E8"/>
    <w:rPr>
      <w:rFonts w:ascii="Times New Roman" w:hAnsi="Times New Roman" w:cs="Times New Roman"/>
    </w:rPr>
  </w:style>
  <w:style w:type="character" w:styleId="Hyperlink">
    <w:name w:val="Hyperlink"/>
    <w:basedOn w:val="DefaultParagraphFont"/>
    <w:uiPriority w:val="99"/>
    <w:unhideWhenUsed/>
    <w:rsid w:val="008032E8"/>
    <w:rPr>
      <w:color w:val="467886" w:themeColor="hyperlink"/>
      <w:u w:val="single"/>
    </w:rPr>
  </w:style>
  <w:style w:type="character" w:styleId="UnresolvedMention">
    <w:name w:val="Unresolved Mention"/>
    <w:basedOn w:val="DefaultParagraphFont"/>
    <w:uiPriority w:val="99"/>
    <w:semiHidden/>
    <w:unhideWhenUsed/>
    <w:rsid w:val="008032E8"/>
    <w:rPr>
      <w:color w:val="605E5C"/>
      <w:shd w:val="clear" w:color="auto" w:fill="E1DFDD"/>
    </w:rPr>
  </w:style>
  <w:style w:type="paragraph" w:styleId="Caption">
    <w:name w:val="caption"/>
    <w:basedOn w:val="Normal"/>
    <w:next w:val="Normal"/>
    <w:uiPriority w:val="35"/>
    <w:unhideWhenUsed/>
    <w:qFormat/>
    <w:rsid w:val="002C4F0D"/>
    <w:pPr>
      <w:spacing w:after="200" w:line="240" w:lineRule="auto"/>
    </w:pPr>
    <w:rPr>
      <w:i/>
      <w:iCs/>
      <w:color w:val="0E2841" w:themeColor="text2"/>
      <w:sz w:val="18"/>
      <w:szCs w:val="18"/>
    </w:rPr>
  </w:style>
  <w:style w:type="paragraph" w:styleId="NoSpacing">
    <w:name w:val="No Spacing"/>
    <w:uiPriority w:val="1"/>
    <w:qFormat/>
    <w:rsid w:val="00D539C9"/>
    <w:pPr>
      <w:spacing w:after="0" w:line="240" w:lineRule="auto"/>
    </w:pPr>
  </w:style>
  <w:style w:type="paragraph" w:styleId="EndnoteText">
    <w:name w:val="endnote text"/>
    <w:basedOn w:val="Normal"/>
    <w:link w:val="EndnoteTextChar"/>
    <w:uiPriority w:val="99"/>
    <w:semiHidden/>
    <w:unhideWhenUsed/>
    <w:rsid w:val="0061371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3717"/>
    <w:rPr>
      <w:sz w:val="20"/>
      <w:szCs w:val="20"/>
    </w:rPr>
  </w:style>
  <w:style w:type="character" w:styleId="EndnoteReference">
    <w:name w:val="endnote reference"/>
    <w:basedOn w:val="DefaultParagraphFont"/>
    <w:uiPriority w:val="99"/>
    <w:semiHidden/>
    <w:unhideWhenUsed/>
    <w:rsid w:val="006137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nes.com/defence-intelligence-insights/defence-news/air/french-army-restructures-its-infantry-battal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endnotes.xml.rels><?xml version="1.0" encoding="UTF-8" standalone="yes"?>
<Relationships xmlns="http://schemas.openxmlformats.org/package/2006/relationships"><Relationship Id="rId8" Type="http://schemas.openxmlformats.org/officeDocument/2006/relationships/hyperlink" Target="https://eda.europa.eu/docs/default-source/eda-publications/2023-eu-capability-development-priorities.pdf" TargetMode="External"/><Relationship Id="rId13" Type="http://schemas.openxmlformats.org/officeDocument/2006/relationships/hyperlink" Target="https://www.gov.uk/government/news/british-army-experiments-with-dstl-study-on-urban-combat" TargetMode="External"/><Relationship Id="rId18" Type="http://schemas.openxmlformats.org/officeDocument/2006/relationships/hyperlink" Target="https://researchcentre.army.gov.au/sites/default/files/241104-Occasional-Paper-29-Lessons-Learnt-from-Ukraine.pdf.pdf" TargetMode="External"/><Relationship Id="rId3" Type="http://schemas.openxmlformats.org/officeDocument/2006/relationships/hyperlink" Target="https://doi-org.may.idm.oclc.org/10.1080/03071847.2022.2058601" TargetMode="External"/><Relationship Id="rId7" Type="http://schemas.openxmlformats.org/officeDocument/2006/relationships/hyperlink" Target="https://www.jstor.org/stable/2538981" TargetMode="External"/><Relationship Id="rId12" Type="http://schemas.openxmlformats.org/officeDocument/2006/relationships/hyperlink" Target="https://www.ifri.org/en/studies/other-side-hill-benefits-and-false-promises-battlefield-transparency" TargetMode="External"/><Relationship Id="rId17" Type="http://schemas.openxmlformats.org/officeDocument/2006/relationships/hyperlink" Target="https://www.wsj.com/opinion/nato-has-seen-the-future-and-is-unprepared-887eaf0f" TargetMode="External"/><Relationship Id="rId2" Type="http://schemas.openxmlformats.org/officeDocument/2006/relationships/hyperlink" Target="https://researchcentre.army.gov.au/sites/default/files/241104-Occasional-Paper-29-Lessons-Learnt-from-Ukraine.pdf.pdf" TargetMode="External"/><Relationship Id="rId16" Type="http://schemas.openxmlformats.org/officeDocument/2006/relationships/hyperlink" Target="https://www.youtube.com/watch?v=fkE1H-jy3NE" TargetMode="External"/><Relationship Id="rId20" Type="http://schemas.openxmlformats.org/officeDocument/2006/relationships/hyperlink" Target="https://static.rusi.org/mass-precision-strike-final.pdf" TargetMode="External"/><Relationship Id="rId1" Type="http://schemas.openxmlformats.org/officeDocument/2006/relationships/hyperlink" Target="https://static.rusi.org/protecting-the-force-from-uncrewed-uas.pdf" TargetMode="External"/><Relationship Id="rId6" Type="http://schemas.openxmlformats.org/officeDocument/2006/relationships/hyperlink" Target="https://static.rusi.org/lessons-learned-ukraine-offensive-2022-23.pdf" TargetMode="External"/><Relationship Id="rId11" Type="http://schemas.openxmlformats.org/officeDocument/2006/relationships/hyperlink" Target="https://www.mca-marines.org/wp-content/uploads/23-The-Ultra-Light.pdf" TargetMode="External"/><Relationship Id="rId5" Type="http://schemas.openxmlformats.org/officeDocument/2006/relationships/hyperlink" Target="https://mwi.westpoint.edu/drones-wont-save-us-learning-the-wrong-lessons-from-ukraine-will-cost-the-us-army-its-edge-in-maneuver-warfare/" TargetMode="External"/><Relationship Id="rId15" Type="http://schemas.openxmlformats.org/officeDocument/2006/relationships/hyperlink" Target="https://www.defense.gouv.fr/terre/actualites/gevaudan-26-legionnaires-au-combat" TargetMode="External"/><Relationship Id="rId10" Type="http://schemas.openxmlformats.org/officeDocument/2006/relationships/hyperlink" Target="https://www.thejournal.ie/new-apc-vehicles-maybe-coming-from-france-6623112-Feb2025/" TargetMode="External"/><Relationship Id="rId19" Type="http://schemas.openxmlformats.org/officeDocument/2006/relationships/hyperlink" Target="https://www.jstor.org/stable/2538780" TargetMode="External"/><Relationship Id="rId4" Type="http://schemas.openxmlformats.org/officeDocument/2006/relationships/hyperlink" Target="https://podcasts.apple.com/gb/podcast/sdr-threats-series-styles-and-themes-of/id1629454648?i=1000675880639" TargetMode="External"/><Relationship Id="rId9" Type="http://schemas.openxmlformats.org/officeDocument/2006/relationships/hyperlink" Target="https://www.act.nato.int/wp-content/uploads/2023/05/NATO-ACT-CDE-Handbook_A_Concept_Developers_Toolbox.pdf" TargetMode="External"/><Relationship Id="rId14" Type="http://schemas.openxmlformats.org/officeDocument/2006/relationships/hyperlink" Target="https://mwi.westpoint.edu/creating-a-unit-optimized-for-urban-warf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AC388-EA3B-4FC8-BCA4-D9FC19D82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6</Pages>
  <Words>1258</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Beatty</dc:creator>
  <cp:keywords/>
  <dc:description/>
  <cp:lastModifiedBy>Adam Beatty</cp:lastModifiedBy>
  <cp:revision>46</cp:revision>
  <dcterms:created xsi:type="dcterms:W3CDTF">2026-06-23T11:58:00Z</dcterms:created>
  <dcterms:modified xsi:type="dcterms:W3CDTF">2026-06-24T10:29:00Z</dcterms:modified>
</cp:coreProperties>
</file>