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2CA86FFC" w14:textId="660A52ED" w:rsidR="00C11945" w:rsidRDefault="00C11945" w:rsidP="00750159">
      <w:pPr>
        <w:jc w:val="right"/>
      </w:pPr>
      <w:r>
        <w:t>30</w:t>
      </w:r>
      <w:r w:rsidR="00104CB4">
        <w:t>03</w:t>
      </w:r>
      <w:r>
        <w:t xml:space="preserve"> words</w:t>
      </w:r>
    </w:p>
    <w:p w14:paraId="6D347EEB" w14:textId="63A228E5" w:rsidR="006C0F08" w:rsidRPr="00F61B22" w:rsidRDefault="00102795" w:rsidP="006235CB">
      <w:pPr>
        <w:pStyle w:val="Heading2"/>
      </w:pPr>
      <w:r>
        <w:t>A</w:t>
      </w:r>
      <w:r w:rsidR="006C0F08" w:rsidRPr="00F61B22">
        <w:t>bstract</w:t>
      </w:r>
    </w:p>
    <w:p w14:paraId="11F5E7B3" w14:textId="264B2F24"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w:t>
      </w:r>
      <w:r w:rsidR="00EB649E">
        <w:rPr>
          <w:rFonts w:ascii="Times New Roman" w:hAnsi="Times New Roman" w:cs="Times New Roman"/>
        </w:rPr>
        <w:t>efeating an armoured company with d</w:t>
      </w:r>
      <w:r w:rsidR="008F5564">
        <w:rPr>
          <w:rFonts w:ascii="Times New Roman" w:hAnsi="Times New Roman" w:cs="Times New Roman"/>
        </w:rPr>
        <w:t>rones</w:t>
      </w:r>
      <w:r w:rsidRPr="00425E14">
        <w:rPr>
          <w:rFonts w:ascii="Times New Roman" w:hAnsi="Times New Roman" w:cs="Times New Roman"/>
        </w:rPr>
        <w:t xml:space="preserve"> costing under €85,000 against €1.13 million in Javelins demonstrate</w:t>
      </w:r>
      <w:r w:rsidR="007554C1">
        <w:rPr>
          <w:rFonts w:ascii="Times New Roman" w:hAnsi="Times New Roman" w:cs="Times New Roman"/>
        </w:rPr>
        <w:t>s</w:t>
      </w:r>
      <w:r w:rsidRPr="00425E14">
        <w:rPr>
          <w:rFonts w:ascii="Times New Roman" w:hAnsi="Times New Roman" w:cs="Times New Roman"/>
        </w:rPr>
        <w:t xml:space="preserv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w:t>
      </w:r>
      <w:r w:rsidRPr="00425E14">
        <w:rPr>
          <w:rFonts w:ascii="Times New Roman" w:hAnsi="Times New Roman" w:cs="Times New Roman"/>
        </w:rPr>
        <w:lastRenderedPageBreak/>
        <w:t xml:space="preserve">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 xml:space="preserve">Without adapting to uncrewed systems (UxS,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3A8E47D2"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w:t>
      </w:r>
      <w:r w:rsidRPr="00425E14">
        <w:rPr>
          <w:rFonts w:ascii="Times New Roman" w:hAnsi="Times New Roman" w:cs="Times New Roman"/>
        </w:rPr>
        <w:lastRenderedPageBreak/>
        <w:t xml:space="preserve">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That vehicle-imposed constraint should not dictate the organisation of light 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0078B0">
        <w:rPr>
          <w:rFonts w:ascii="Times New Roman" w:hAnsi="Times New Roman" w:cs="Times New Roman"/>
        </w:rPr>
        <w:t xml:space="preserve">. Ultimately,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dismounted.</w:t>
      </w:r>
      <w:r w:rsidR="00D115D4" w:rsidRPr="00425E14">
        <w:rPr>
          <w:rFonts w:ascii="Times New Roman" w:hAnsi="Times New Roman" w:cs="Times New Roman"/>
        </w:rPr>
        <w:t xml:space="preserve"> </w:t>
      </w:r>
    </w:p>
    <w:p w14:paraId="1D7DBA57" w14:textId="1363BCF6"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w:t>
      </w:r>
      <w:r w:rsidR="00A53DB5" w:rsidRPr="00F61B22">
        <w:rPr>
          <w:rFonts w:ascii="Times New Roman" w:hAnsi="Times New Roman" w:cs="Times New Roman"/>
        </w:rPr>
        <w:t>Armoured vehicles remain essential for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28A1478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w:t>
      </w:r>
      <w:r w:rsidR="00A657FE">
        <w:rPr>
          <w:rFonts w:ascii="Times New Roman" w:hAnsi="Times New Roman" w:cs="Times New Roman"/>
        </w:rPr>
        <w:t>which</w:t>
      </w:r>
      <w:r w:rsidR="006C0F08" w:rsidRPr="00425E14">
        <w:rPr>
          <w:rFonts w:ascii="Times New Roman" w:hAnsi="Times New Roman" w:cs="Times New Roman"/>
        </w:rPr>
        <w:t xml:space="preserve">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56EEC446"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r w:rsidR="000A11ED">
        <w:rPr>
          <w:rFonts w:ascii="Times New Roman" w:hAnsi="Times New Roman" w:cs="Times New Roman"/>
        </w:rPr>
        <w:t>partially-</w:t>
      </w:r>
      <w:r w:rsidRPr="00425E14">
        <w:rPr>
          <w:rFonts w:ascii="Times New Roman" w:hAnsi="Times New Roman" w:cs="Times New Roman"/>
        </w:rPr>
        <w:t xml:space="preserve">mechanised 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w:t>
      </w:r>
      <w:r w:rsidRPr="00F61B22">
        <w:rPr>
          <w:rFonts w:ascii="Times New Roman" w:hAnsi="Times New Roman" w:cs="Times New Roman"/>
        </w:rPr>
        <w:t>urban-</w:t>
      </w:r>
      <w:r w:rsidRPr="00F61B22">
        <w:rPr>
          <w:rFonts w:ascii="Times New Roman" w:hAnsi="Times New Roman" w:cs="Times New Roman"/>
        </w:rPr>
        <w:lastRenderedPageBreak/>
        <w:t>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1A0B8E">
        <w:rPr>
          <w:rFonts w:ascii="Times New Roman" w:hAnsi="Times New Roman" w:cs="Times New Roman"/>
        </w:rPr>
        <w:t>seeks to reduce</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Exercises such as </w:t>
      </w:r>
      <w:r w:rsidRPr="00425E14">
        <w:rPr>
          <w:rFonts w:ascii="Times New Roman" w:hAnsi="Times New Roman" w:cs="Times New Roman"/>
          <w:i/>
          <w:iCs/>
        </w:rPr>
        <w:t>Gévaudan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7B3114D7"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r w:rsidR="00F025D7" w:rsidRPr="00425E14">
        <w:rPr>
          <w:rFonts w:ascii="Times New Roman" w:hAnsi="Times New Roman" w:cs="Times New Roman"/>
        </w:rPr>
        <w:t>UxS</w:t>
      </w:r>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1C06FB" w:rsidRPr="00425E14">
        <w:rPr>
          <w:rFonts w:ascii="Times New Roman" w:hAnsi="Times New Roman" w:cs="Times New Roman"/>
        </w:rPr>
        <w:t>,</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UxS enable</w:t>
      </w:r>
      <w:r w:rsidRPr="00425E14">
        <w:rPr>
          <w:rFonts w:ascii="Times New Roman" w:hAnsi="Times New Roman" w:cs="Times New Roman"/>
        </w:rPr>
        <w:t xml:space="preserve">. 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 xml:space="preserve">A defender who </w:t>
      </w:r>
      <w:r w:rsidR="00065998">
        <w:rPr>
          <w:rFonts w:ascii="Times New Roman" w:hAnsi="Times New Roman" w:cs="Times New Roman"/>
        </w:rPr>
        <w:t xml:space="preserve">can detect, strike at range and </w:t>
      </w:r>
      <w:r w:rsidR="004D5438" w:rsidRPr="00425E14">
        <w:rPr>
          <w:rFonts w:ascii="Times New Roman" w:hAnsi="Times New Roman" w:cs="Times New Roman"/>
        </w:rPr>
        <w:t>attrit</w:t>
      </w:r>
      <w:r w:rsidR="00CA14A8">
        <w:rPr>
          <w:rFonts w:ascii="Times New Roman" w:hAnsi="Times New Roman" w:cs="Times New Roman"/>
        </w:rPr>
        <w:t xml:space="preserve"> </w:t>
      </w:r>
      <w:r w:rsidR="004D5438" w:rsidRPr="00425E14">
        <w:rPr>
          <w:rFonts w:ascii="Times New Roman" w:hAnsi="Times New Roman" w:cs="Times New Roman"/>
        </w:rPr>
        <w:t>an attacker using systems costing hundreds rather than millions, need not match them platform-for-platform.</w:t>
      </w:r>
      <w:r w:rsidRPr="00425E14">
        <w:rPr>
          <w:rFonts w:ascii="Times New Roman" w:hAnsi="Times New Roman" w:cs="Times New Roman"/>
        </w:rPr>
        <w:t xml:space="preserve"> </w:t>
      </w:r>
      <w:r w:rsidR="00466E10">
        <w:rPr>
          <w:rFonts w:ascii="Times New Roman" w:hAnsi="Times New Roman" w:cs="Times New Roman"/>
        </w:rPr>
        <w:t>T</w:t>
      </w:r>
      <w:r w:rsidRPr="00425E14">
        <w:rPr>
          <w:rFonts w:ascii="Times New Roman" w:hAnsi="Times New Roman" w:cs="Times New Roman"/>
        </w:rPr>
        <w:t xml:space="preserve">he attacker must still mass to break through, yet massing is exactly what persistent observation punishes most. </w:t>
      </w:r>
    </w:p>
    <w:p w14:paraId="054F68B6" w14:textId="038BBB2A" w:rsidR="006C0F08" w:rsidRPr="00425E14" w:rsidRDefault="007C301D" w:rsidP="00F61B22">
      <w:pPr>
        <w:spacing w:line="360" w:lineRule="auto"/>
        <w:rPr>
          <w:rFonts w:ascii="Times New Roman" w:hAnsi="Times New Roman" w:cs="Times New Roman"/>
        </w:rPr>
      </w:pPr>
      <w:r>
        <w:rPr>
          <w:rFonts w:ascii="Times New Roman" w:hAnsi="Times New Roman" w:cs="Times New Roman"/>
        </w:rPr>
        <w:t>Table 1</w:t>
      </w:r>
      <w:r w:rsidR="006C0F08"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006C0F08" w:rsidRPr="00425E14">
        <w:rPr>
          <w:rFonts w:ascii="Times New Roman" w:hAnsi="Times New Roman" w:cs="Times New Roman"/>
        </w:rPr>
        <w:t>FPV-OWADs</w:t>
      </w:r>
      <w:r w:rsidR="00DC1EC8" w:rsidRPr="00425E14">
        <w:rPr>
          <w:rFonts w:ascii="Times New Roman" w:hAnsi="Times New Roman" w:cs="Times New Roman"/>
        </w:rPr>
        <w:t>)</w:t>
      </w:r>
      <w:r w:rsidR="006C0F08" w:rsidRPr="00425E14">
        <w:rPr>
          <w:rFonts w:ascii="Times New Roman" w:hAnsi="Times New Roman" w:cs="Times New Roman"/>
        </w:rPr>
        <w:t xml:space="preserve"> cannot be dismissed as cheap substitutes for Javelin.</w:t>
      </w:r>
      <w:r w:rsidR="006C0F08" w:rsidRPr="00425E14">
        <w:rPr>
          <w:rStyle w:val="EndnoteReference"/>
          <w:rFonts w:ascii="Times New Roman" w:hAnsi="Times New Roman" w:cs="Times New Roman"/>
        </w:rPr>
        <w:footnoteReference w:id="25"/>
      </w:r>
      <w:r w:rsidR="006C0F08"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w:t>
      </w:r>
      <w:r w:rsidR="00211C12" w:rsidRPr="00211C12">
        <w:rPr>
          <w:rFonts w:ascii="Times New Roman" w:hAnsi="Times New Roman" w:cs="Times New Roman"/>
        </w:rPr>
        <w:t>Javelin kills with higher confidence; FPV-OWADs may need several strikes but can immobilise for follow-on fires at far greater range.</w:t>
      </w:r>
      <w:r w:rsidR="00211C12">
        <w:rPr>
          <w:rFonts w:ascii="Times New Roman" w:hAnsi="Times New Roman" w:cs="Times New Roman"/>
        </w:rPr>
        <w:t xml:space="preserve"> </w:t>
      </w:r>
      <w:r w:rsidR="006C0F08" w:rsidRPr="00425E14">
        <w:rPr>
          <w:rFonts w:ascii="Times New Roman" w:hAnsi="Times New Roman" w:cs="Times New Roman"/>
        </w:rPr>
        <w:t xml:space="preserve">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6BAA053A"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is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 counter-UAS</w:t>
      </w:r>
      <w:r w:rsidR="00486D7A">
        <w:rPr>
          <w:rFonts w:ascii="Times New Roman" w:hAnsi="Times New Roman" w:cs="Times New Roman"/>
        </w:rPr>
        <w:t xml:space="preserve"> (C-U</w:t>
      </w:r>
      <w:r w:rsidR="003620B3">
        <w:rPr>
          <w:rFonts w:ascii="Times New Roman" w:hAnsi="Times New Roman" w:cs="Times New Roman"/>
        </w:rPr>
        <w:t>A</w:t>
      </w:r>
      <w:r w:rsidR="00486D7A">
        <w:rPr>
          <w:rFonts w:ascii="Times New Roman" w:hAnsi="Times New Roman" w:cs="Times New Roman"/>
        </w:rPr>
        <w:t>S)</w:t>
      </w:r>
      <w:r w:rsidRPr="00F00541">
        <w:rPr>
          <w:rFonts w:ascii="Times New Roman" w:hAnsi="Times New Roman" w:cs="Times New Roman"/>
        </w:rPr>
        <w:t>, UAS and assault pioneering</w:t>
      </w:r>
      <w:r w:rsidR="000E4341">
        <w:rPr>
          <w:rFonts w:ascii="Times New Roman" w:hAnsi="Times New Roman" w:cs="Times New Roman"/>
        </w:rPr>
        <w:t>.</w:t>
      </w:r>
    </w:p>
    <w:p w14:paraId="0BF3F962" w14:textId="1D51D7E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tactical adaptations required by </w:t>
      </w:r>
      <w:r w:rsidRPr="00CC3641">
        <w:rPr>
          <w:rFonts w:ascii="Times New Roman" w:eastAsia="Times New Roman" w:hAnsi="Times New Roman" w:cs="Times New Roman"/>
          <w:i/>
          <w:iCs/>
          <w:kern w:val="0"/>
          <w:lang w:val="en-US"/>
          <w14:ligatures w14:val="none"/>
        </w:rPr>
        <w:t>movement as timed exposure</w:t>
      </w:r>
      <w:r w:rsidRPr="00CC3641">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CC3641">
        <w:rPr>
          <w:rFonts w:ascii="Times New Roman" w:eastAsia="Times New Roman" w:hAnsi="Times New Roman" w:cs="Times New Roman"/>
          <w:kern w:val="0"/>
          <w:vertAlign w:val="superscript"/>
          <w:lang w:val="en-US"/>
          <w14:ligatures w14:val="none"/>
        </w:rPr>
        <w:footnoteReference w:id="28"/>
      </w:r>
      <w:r w:rsidRPr="00CC3641">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29B2E80A" w14:textId="26DA90D1"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w:t>
      </w:r>
      <w:r w:rsidRPr="00FC67A4">
        <w:rPr>
          <w:rFonts w:ascii="Times New Roman" w:eastAsia="Times New Roman" w:hAnsi="Times New Roman" w:cs="Times New Roman"/>
          <w:kern w:val="0"/>
          <w:highlight w:val="yellow"/>
          <w:lang w:val="en-US"/>
          <w14:ligatures w14:val="none"/>
        </w:rPr>
        <w:t>Need a signpost that the political bit, the most important, is treated later in the piece. At the moment, it kinda reads ‘all of this is important but actually, it’s fucked without politics which I’ll discuss now</w:t>
      </w:r>
      <w:r w:rsidRPr="00CC3641">
        <w:rPr>
          <w:rFonts w:ascii="Times New Roman" w:eastAsia="Times New Roman" w:hAnsi="Times New Roman" w:cs="Times New Roman"/>
          <w:kern w:val="0"/>
          <w:lang w:val="en-US"/>
          <w14:ligatures w14:val="none"/>
        </w:rPr>
        <w:t>]</w:t>
      </w:r>
    </w:p>
    <w:p w14:paraId="78491349" w14:textId="77777777" w:rsidR="00CC3641" w:rsidRPr="00CC3641" w:rsidRDefault="00CC3641" w:rsidP="00CC3641">
      <w:pPr>
        <w:spacing w:after="120" w:line="360" w:lineRule="auto"/>
        <w:jc w:val="both"/>
        <w:rPr>
          <w:rFonts w:ascii="Times New Roman" w:eastAsia="Aptos" w:hAnsi="Times New Roman" w:cs="Times New Roman"/>
          <w:lang w:val="en-US"/>
        </w:rPr>
      </w:pPr>
      <w:r w:rsidRPr="00CC3641">
        <w:rPr>
          <w:rFonts w:ascii="Times New Roman" w:eastAsia="Times New Roman" w:hAnsi="Times New Roman" w:cs="Times New Roman"/>
          <w:kern w:val="0"/>
          <w:lang w:val="en-US"/>
          <w14:ligatures w14:val="none"/>
        </w:rPr>
        <w:lastRenderedPageBreak/>
        <w:t>Political leaders and senior military decision-makers must recognise that adaptation constitutes a strategic imperative. UxS are not simply another item of equipment. UxS are changing the relationship between mass, precision, persistence and survivability.</w:t>
      </w:r>
      <w:r w:rsidRPr="00CC3641">
        <w:rPr>
          <w:rFonts w:ascii="Times New Roman" w:eastAsia="Times New Roman" w:hAnsi="Times New Roman" w:cs="Times New Roman"/>
          <w:kern w:val="0"/>
          <w:vertAlign w:val="superscript"/>
          <w:lang w:val="en-US"/>
          <w14:ligatures w14:val="none"/>
        </w:rPr>
        <w:footnoteReference w:id="29"/>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CC3641">
        <w:rPr>
          <w:rFonts w:ascii="Times New Roman" w:eastAsia="Aptos" w:hAnsi="Times New Roman" w:cs="Times New Roman"/>
          <w:vertAlign w:val="superscript"/>
          <w:lang w:val="en-US"/>
        </w:rPr>
        <w:footnoteReference w:id="30"/>
      </w:r>
      <w:r w:rsidRPr="00CC3641">
        <w:rPr>
          <w:rFonts w:ascii="Times New Roman" w:eastAsia="Aptos" w:hAnsi="Times New Roman" w:cs="Times New Roman"/>
          <w:lang w:val="en-US"/>
        </w:rPr>
        <w:t xml:space="preserve"> </w:t>
      </w:r>
      <w:r w:rsidRPr="00CC3641">
        <w:rPr>
          <w:rFonts w:ascii="Times New Roman" w:eastAsia="Aptos" w:hAnsi="Times New Roman" w:cs="Times New Roman"/>
        </w:rPr>
        <w:t>Pebay’s critique of French “one-size-fits-all” reform</w:t>
      </w:r>
      <w:r w:rsidRPr="00CC3641">
        <w:rPr>
          <w:rFonts w:ascii="Times New Roman" w:eastAsia="Aptos" w:hAnsi="Times New Roman" w:cs="Times New Roman"/>
          <w:vertAlign w:val="superscript"/>
        </w:rPr>
        <w:footnoteReference w:id="31"/>
      </w:r>
      <w:r w:rsidRPr="00CC3641">
        <w:rPr>
          <w:rFonts w:ascii="Times New Roman" w:eastAsia="Aptos" w:hAnsi="Times New Roman" w:cs="Times New Roman"/>
        </w:rPr>
        <w:t xml:space="preserve"> is Betts’s “conservative progressivism” in practice: ambitious reform which risks substituting breadth for focus.</w:t>
      </w:r>
      <w:r w:rsidRPr="00CC3641">
        <w:rPr>
          <w:rFonts w:ascii="Times New Roman" w:eastAsia="Aptos" w:hAnsi="Times New Roman" w:cs="Times New Roman"/>
          <w:lang w:val="en-US"/>
        </w:rPr>
        <w:t xml:space="preserve"> Ireland’s forces are already personnel- and resource-constrained.</w:t>
      </w:r>
      <w:r w:rsidRPr="00CC3641">
        <w:rPr>
          <w:rFonts w:ascii="Times New Roman" w:eastAsia="Aptos" w:hAnsi="Times New Roman" w:cs="Times New Roman"/>
          <w:vertAlign w:val="superscript"/>
          <w:lang w:val="en-US"/>
        </w:rPr>
        <w:footnoteReference w:id="32"/>
      </w:r>
      <w:r w:rsidRPr="00CC3641">
        <w:rPr>
          <w:rFonts w:ascii="Times New Roman" w:eastAsia="Aptos" w:hAnsi="Times New Roman" w:cs="Times New Roman"/>
          <w:lang w:val="en-US"/>
        </w:rPr>
        <w:t xml:space="preserve"> UxS nevertheless create opportunities to offset manpower shortages and mitigate risk to humans</w:t>
      </w:r>
      <w:r w:rsidRPr="00CC3641">
        <w:rPr>
          <w:rFonts w:ascii="Times New Roman" w:eastAsia="Aptos" w:hAnsi="Times New Roman" w:cs="Times New Roman"/>
          <w:vertAlign w:val="superscript"/>
          <w:lang w:val="en-US"/>
        </w:rPr>
        <w:footnoteReference w:id="33"/>
      </w:r>
      <w:r w:rsidRPr="00CC3641">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CC3641">
        <w:rPr>
          <w:rFonts w:ascii="Times New Roman" w:eastAsia="Aptos" w:hAnsi="Times New Roman" w:cs="Times New Roman"/>
          <w:vertAlign w:val="superscript"/>
          <w:lang w:val="en-US"/>
        </w:rPr>
        <w:footnoteReference w:id="34"/>
      </w:r>
    </w:p>
    <w:p w14:paraId="2675CF2F" w14:textId="77777777" w:rsidR="00CC3641" w:rsidRPr="00CC3641" w:rsidRDefault="00CC3641" w:rsidP="00CC3641">
      <w:pPr>
        <w:spacing w:after="200" w:line="276" w:lineRule="auto"/>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br w:type="page"/>
      </w:r>
    </w:p>
    <w:p w14:paraId="1099F4B3" w14:textId="77777777"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CC3641">
        <w:rPr>
          <w:rFonts w:ascii="Times New Roman" w:eastAsia="Times New Roman" w:hAnsi="Times New Roman" w:cs="Times New Roman"/>
          <w:kern w:val="0"/>
          <w:vertAlign w:val="superscript"/>
          <w:lang w:val="en-US"/>
          <w14:ligatures w14:val="none"/>
        </w:rPr>
        <w:footnoteReference w:id="35"/>
      </w:r>
      <w:r w:rsidRPr="00CC3641">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CC3641">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The durability of change depends upon its institutionalisation</w:t>
      </w:r>
      <w:r w:rsidRPr="00CC3641">
        <w:rPr>
          <w:rFonts w:ascii="Times New Roman" w:eastAsia="Times New Roman" w:hAnsi="Times New Roman" w:cs="Times New Roman"/>
          <w:kern w:val="0"/>
          <w:vertAlign w:val="superscript"/>
          <w:lang w:val="en-US"/>
          <w14:ligatures w14:val="none"/>
        </w:rPr>
        <w:footnoteReference w:id="37"/>
      </w:r>
      <w:r w:rsidRPr="00CC3641">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CC3641">
        <w:rPr>
          <w:rFonts w:ascii="Times New Roman" w:eastAsia="Times New Roman" w:hAnsi="Times New Roman" w:cs="Times New Roman"/>
          <w:kern w:val="0"/>
          <w:vertAlign w:val="superscript"/>
          <w:lang w:val="en-US"/>
          <w14:ligatures w14:val="none"/>
        </w:rPr>
        <w:footnoteReference w:id="38"/>
      </w:r>
      <w:r w:rsidRPr="00CC3641">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CC3641">
        <w:rPr>
          <w:rFonts w:ascii="Times New Roman" w:eastAsia="Times New Roman" w:hAnsi="Times New Roman" w:cs="Times New Roman"/>
          <w:kern w:val="0"/>
          <w:vertAlign w:val="superscript"/>
          <w:lang w:val="en-US"/>
          <w14:ligatures w14:val="none"/>
        </w:rPr>
        <w:footnoteReference w:id="39"/>
      </w:r>
      <w:r w:rsidRPr="00CC3641">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CC3641">
        <w:rPr>
          <w:rFonts w:ascii="Times New Roman" w:eastAsia="Times New Roman" w:hAnsi="Times New Roman" w:cs="Times New Roman"/>
          <w:kern w:val="0"/>
          <w:vertAlign w:val="superscript"/>
          <w:lang w:val="en-US"/>
          <w14:ligatures w14:val="none"/>
        </w:rPr>
        <w:footnoteReference w:id="40"/>
      </w:r>
      <w:r w:rsidRPr="00CC3641">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0B2F4DE2" w14:textId="5564F683"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 These processes allow commanders to test UxS-enabled responses to threats against Irish territory or critical infrastructure before unproven concepts harden into doctrine.</w:t>
      </w:r>
      <w:r w:rsidRPr="00CC3641">
        <w:rPr>
          <w:rFonts w:ascii="Times New Roman" w:eastAsia="Times New Roman" w:hAnsi="Times New Roman" w:cs="Times New Roman"/>
          <w:kern w:val="0"/>
          <w:vertAlign w:val="superscript"/>
          <w:lang w:val="en-US"/>
          <w14:ligatures w14:val="none"/>
        </w:rPr>
        <w:footnoteReference w:id="41"/>
      </w:r>
      <w:r w:rsidRPr="00CC3641">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CC3641">
        <w:rPr>
          <w:rFonts w:ascii="Times New Roman" w:eastAsia="Times New Roman" w:hAnsi="Times New Roman" w:cs="Times New Roman"/>
          <w:kern w:val="0"/>
          <w:vertAlign w:val="superscript"/>
          <w:lang w:val="en-US"/>
          <w14:ligatures w14:val="none"/>
        </w:rPr>
        <w:footnoteReference w:id="42"/>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Practitioner testimony shows what happens when it does not: one participant </w:t>
      </w:r>
      <w:r w:rsidRPr="00CC3641">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CC3641">
        <w:rPr>
          <w:rFonts w:ascii="Times New Roman" w:eastAsia="Aptos" w:hAnsi="Times New Roman" w:cs="Times New Roman"/>
          <w:vertAlign w:val="superscript"/>
          <w:lang w:val="en-US"/>
        </w:rPr>
        <w:footnoteReference w:id="43"/>
      </w:r>
      <w:r w:rsidRPr="00CC3641">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CC3641">
        <w:rPr>
          <w:rFonts w:ascii="Times New Roman" w:eastAsia="Aptos" w:hAnsi="Times New Roman" w:cs="Times New Roman"/>
          <w:vertAlign w:val="superscript"/>
          <w:lang w:val="en-US"/>
        </w:rPr>
        <w:footnoteReference w:id="44"/>
      </w:r>
    </w:p>
    <w:p w14:paraId="30CB96A4" w14:textId="67D5A538"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Properly designed experimentation gives political leaders evidence of effect while building operator and commander confidence in systems. </w:t>
      </w:r>
      <w:r w:rsidRPr="00CC3641">
        <w:rPr>
          <w:rFonts w:ascii="Times New Roman" w:eastAsia="Aptos" w:hAnsi="Times New Roman" w:cs="Times New Roman"/>
          <w:lang w:val="en-US"/>
        </w:rPr>
        <w:t>Validated concepts, tested doctrine and exercised capability can inform continued investment, while experimental lessons must inform and direct doctrinal refinement, force structure and procurement.</w:t>
      </w:r>
      <w:r w:rsidRPr="00CC3641">
        <w:rPr>
          <w:rFonts w:ascii="Times New Roman" w:eastAsia="Aptos" w:hAnsi="Times New Roman" w:cs="Times New Roman"/>
          <w:vertAlign w:val="superscript"/>
          <w:lang w:val="en-US"/>
        </w:rPr>
        <w:footnoteReference w:id="45"/>
      </w:r>
    </w:p>
    <w:p w14:paraId="0D5EEC9F" w14:textId="4466C60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CC3641">
        <w:rPr>
          <w:rFonts w:ascii="Times New Roman" w:eastAsia="Aptos" w:hAnsi="Times New Roman" w:cs="Times New Roman"/>
          <w:lang w:val="en-US"/>
        </w:rPr>
        <w:t>Contemporary uncrewed warfare is marked by rapid evolution.</w:t>
      </w:r>
      <w:r w:rsidRPr="00CC3641">
        <w:rPr>
          <w:rFonts w:ascii="Times New Roman" w:eastAsia="Aptos" w:hAnsi="Times New Roman" w:cs="Times New Roman"/>
          <w:vertAlign w:val="superscript"/>
          <w:lang w:val="en-US"/>
        </w:rPr>
        <w:footnoteReference w:id="46"/>
      </w:r>
      <w:r w:rsidRPr="00CC3641">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CC3641">
        <w:rPr>
          <w:rFonts w:ascii="Times New Roman" w:eastAsia="Aptos" w:hAnsi="Times New Roman" w:cs="Times New Roman"/>
          <w:vertAlign w:val="superscript"/>
          <w:lang w:val="en-US"/>
        </w:rPr>
        <w:footnoteReference w:id="47"/>
      </w:r>
      <w:r w:rsidRPr="00CC3641">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CC3641">
        <w:rPr>
          <w:rFonts w:ascii="Times New Roman" w:eastAsia="Aptos" w:hAnsi="Times New Roman" w:cs="Times New Roman"/>
          <w:vertAlign w:val="superscript"/>
          <w:lang w:val="en-US"/>
        </w:rPr>
        <w:footnoteReference w:id="48"/>
      </w:r>
      <w:r w:rsidRPr="00CC3641">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CC3641">
        <w:rPr>
          <w:rFonts w:ascii="Times New Roman" w:eastAsia="Aptos" w:hAnsi="Times New Roman" w:cs="Times New Roman"/>
          <w:vertAlign w:val="superscript"/>
          <w:lang w:val="en-US"/>
        </w:rPr>
        <w:footnoteReference w:id="49"/>
      </w:r>
    </w:p>
    <w:p w14:paraId="0DA8377A" w14:textId="68D82043"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3D20FB">
        <w:rPr>
          <w:rFonts w:ascii="Times New Roman" w:hAnsi="Times New Roman" w:cs="Times New Roman"/>
          <w:lang w:val="en-US"/>
        </w:rPr>
        <w:t>Effective capability</w:t>
      </w:r>
      <w:r w:rsidRPr="00CC3641">
        <w:rPr>
          <w:rFonts w:ascii="Times New Roman" w:eastAsia="Times New Roman" w:hAnsi="Times New Roman" w:cs="Times New Roman"/>
          <w:kern w:val="0"/>
          <w:lang w:val="en-US"/>
          <w14:ligatures w14:val="none"/>
        </w:rPr>
        <w:t xml:space="preserve"> requires capacity to produce, maintain and replace systems at scale.</w:t>
      </w:r>
      <w:r w:rsidRPr="00CC3641">
        <w:rPr>
          <w:rFonts w:ascii="Times New Roman" w:eastAsia="Times New Roman" w:hAnsi="Times New Roman" w:cs="Times New Roman"/>
          <w:kern w:val="0"/>
          <w:vertAlign w:val="superscript"/>
          <w:lang w:val="en-US"/>
          <w14:ligatures w14:val="none"/>
        </w:rPr>
        <w:footnoteReference w:id="50"/>
      </w:r>
      <w:r w:rsidRPr="00CC3641">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CC3641">
        <w:rPr>
          <w:rFonts w:ascii="Times New Roman" w:eastAsia="Times New Roman" w:hAnsi="Times New Roman" w:cs="Times New Roman"/>
          <w:kern w:val="0"/>
          <w:vertAlign w:val="superscript"/>
          <w:lang w:val="en-US"/>
          <w14:ligatures w14:val="none"/>
        </w:rPr>
        <w:footnoteReference w:id="51"/>
      </w:r>
      <w:r w:rsidRPr="00CC3641">
        <w:rPr>
          <w:rFonts w:ascii="Times New Roman" w:eastAsia="Times New Roman" w:hAnsi="Times New Roman" w:cs="Times New Roman"/>
          <w:kern w:val="0"/>
          <w:lang w:val="en-US"/>
          <w14:ligatures w14:val="none"/>
        </w:rPr>
        <w:t xml:space="preserve"> and universities</w:t>
      </w:r>
      <w:r w:rsidR="003D20FB" w:rsidRPr="003D20FB">
        <w:rPr>
          <w:rFonts w:ascii="Times New Roman" w:hAnsi="Times New Roman" w:cs="Times New Roman"/>
          <w:lang w:val="en-US"/>
        </w:rPr>
        <w:t xml:space="preserve">. </w:t>
      </w:r>
      <w:r w:rsidRPr="00CC3641">
        <w:rPr>
          <w:rFonts w:ascii="Times New Roman" w:eastAsia="Times New Roman" w:hAnsi="Times New Roman" w:cs="Times New Roman"/>
          <w:kern w:val="0"/>
          <w:lang w:val="en-US"/>
          <w14:ligatures w14:val="none"/>
        </w:rPr>
        <w:lastRenderedPageBreak/>
        <w:t>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52"/>
      </w:r>
      <w:r w:rsidRPr="00CC3641">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CC3641">
        <w:rPr>
          <w:rFonts w:ascii="Times New Roman" w:eastAsia="Times New Roman" w:hAnsi="Times New Roman" w:cs="Times New Roman"/>
          <w:kern w:val="0"/>
          <w:vertAlign w:val="superscript"/>
          <w:lang w:val="en-US"/>
          <w14:ligatures w14:val="none"/>
        </w:rPr>
        <w:footnoteReference w:id="53"/>
      </w:r>
      <w:r w:rsidRPr="00CC3641">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CC3641">
        <w:rPr>
          <w:rFonts w:ascii="Times New Roman" w:eastAsia="Times New Roman" w:hAnsi="Times New Roman" w:cs="Times New Roman"/>
          <w:kern w:val="0"/>
          <w:vertAlign w:val="superscript"/>
          <w:lang w:val="en-US"/>
          <w14:ligatures w14:val="none"/>
        </w:rPr>
        <w:footnoteReference w:id="54"/>
      </w:r>
      <w:r w:rsidRPr="00CC3641">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CC3641">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CC3641" w:rsidRDefault="00CC3641" w:rsidP="00CC3641">
      <w:pPr>
        <w:spacing w:line="360" w:lineRule="auto"/>
        <w:rPr>
          <w:rFonts w:ascii="Times New Roman" w:eastAsia="Aptos" w:hAnsi="Times New Roman" w:cs="Times New Roman"/>
          <w:lang w:val="en-US"/>
        </w:rPr>
      </w:pPr>
      <w:r w:rsidRPr="00CC3641">
        <w:rPr>
          <w:rFonts w:ascii="Times New Roman" w:eastAsia="Aptos" w:hAnsi="Times New Roman" w:cs="Times New Roman"/>
          <w:lang w:val="en-US"/>
        </w:rPr>
        <w:t>Ukraine has also shown why this matters economically. Affordable mass may outweigh exquisite capability.</w:t>
      </w:r>
      <w:r w:rsidRPr="00CC3641">
        <w:rPr>
          <w:rFonts w:ascii="Times New Roman" w:eastAsia="Aptos" w:hAnsi="Times New Roman" w:cs="Times New Roman"/>
          <w:vertAlign w:val="superscript"/>
          <w:lang w:val="en-US"/>
        </w:rPr>
        <w:footnoteReference w:id="56"/>
      </w:r>
      <w:r w:rsidRPr="00CC3641">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CC3641">
        <w:rPr>
          <w:rFonts w:ascii="Times New Roman" w:eastAsia="Times New Roman" w:hAnsi="Times New Roman" w:cs="Times New Roman"/>
          <w:kern w:val="0"/>
          <w:lang w:val="en-US"/>
          <w14:ligatures w14:val="none"/>
        </w:rPr>
        <w:t>Industry will not organise itself around aspiration, requiring</w:t>
      </w:r>
      <w:r w:rsidRPr="00CC3641">
        <w:rPr>
          <w:rFonts w:ascii="Times New Roman" w:eastAsia="Aptos" w:hAnsi="Times New Roman" w:cs="Times New Roman"/>
          <w:lang w:val="en-US"/>
        </w:rPr>
        <w:t xml:space="preserve"> credible demand signals, firm orders, multiyear purchasing and sustained resourcing to incentivise participation.</w:t>
      </w:r>
      <w:r w:rsidRPr="00CC3641">
        <w:rPr>
          <w:rFonts w:ascii="Times New Roman" w:eastAsia="Aptos" w:hAnsi="Times New Roman" w:cs="Times New Roman"/>
          <w:vertAlign w:val="superscript"/>
          <w:lang w:val="en-US"/>
        </w:rPr>
        <w:footnoteReference w:id="57"/>
      </w:r>
    </w:p>
    <w:p w14:paraId="02E96FF0" w14:textId="7341AED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3D20FB">
        <w:rPr>
          <w:rFonts w:ascii="Times New Roman" w:hAnsi="Times New Roman" w:cs="Times New Roman"/>
          <w:lang w:val="en-US"/>
        </w:rPr>
        <w:t>integrating</w:t>
      </w:r>
      <w:r w:rsidRPr="00CC3641">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CC3641">
        <w:rPr>
          <w:rFonts w:ascii="Times New Roman" w:eastAsia="Times New Roman" w:hAnsi="Times New Roman" w:cs="Times New Roman"/>
          <w:kern w:val="0"/>
          <w:vertAlign w:val="superscript"/>
          <w:lang w:val="en-US"/>
          <w14:ligatures w14:val="none"/>
        </w:rPr>
        <w:footnoteReference w:id="58"/>
      </w:r>
      <w:r w:rsidRPr="00CC3641">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CC3641">
        <w:rPr>
          <w:rFonts w:ascii="Times New Roman" w:eastAsia="Times New Roman" w:hAnsi="Times New Roman" w:cs="Times New Roman"/>
          <w:kern w:val="0"/>
          <w:vertAlign w:val="superscript"/>
          <w:lang w:val="en-US"/>
          <w14:ligatures w14:val="none"/>
        </w:rPr>
        <w:footnoteReference w:id="59"/>
      </w:r>
      <w:r w:rsidRPr="00CC3641">
        <w:rPr>
          <w:rFonts w:ascii="Times New Roman" w:eastAsia="Times New Roman" w:hAnsi="Times New Roman" w:cs="Times New Roman"/>
          <w:kern w:val="0"/>
          <w:lang w:val="en-US"/>
          <w14:ligatures w14:val="none"/>
        </w:rPr>
        <w:t xml:space="preserve"> by setting long-term requirements, funding and supporting them to conclusion</w:t>
      </w:r>
      <w:r w:rsidRPr="00CC3641">
        <w:rPr>
          <w:rFonts w:ascii="Times New Roman" w:eastAsia="Times New Roman" w:hAnsi="Times New Roman" w:cs="Times New Roman"/>
          <w:kern w:val="0"/>
          <w:vertAlign w:val="superscript"/>
          <w:lang w:val="en-US"/>
          <w14:ligatures w14:val="none"/>
        </w:rPr>
        <w:footnoteReference w:id="60"/>
      </w:r>
      <w:r w:rsidRPr="00CC3641">
        <w:rPr>
          <w:rFonts w:ascii="Times New Roman" w:eastAsia="Times New Roman" w:hAnsi="Times New Roman" w:cs="Times New Roman"/>
          <w:kern w:val="0"/>
          <w:lang w:val="en-US"/>
          <w14:ligatures w14:val="none"/>
        </w:rPr>
        <w:t xml:space="preserve">; industry must deliver and iteratively improve the capability. </w:t>
      </w:r>
    </w:p>
    <w:p w14:paraId="507803F5" w14:textId="4D0D67E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The Ordnance Corps’ relationship with REAMDA has progressed from life-extension of the HOBO robot to joint development and continuing support of the REACHER EOD robot. VRAI followed a comparable user-led model in simulation, developing the ReACT armour-crew trainer with Kongsberg and Defence Forces personnel for the Protector remote weapon system.</w:t>
      </w:r>
      <w:r w:rsidRPr="00CC3641">
        <w:rPr>
          <w:rFonts w:ascii="Times New Roman" w:eastAsia="Times New Roman" w:hAnsi="Times New Roman" w:cs="Times New Roman"/>
          <w:kern w:val="0"/>
          <w:vertAlign w:val="superscript"/>
          <w:lang w:val="en-US"/>
          <w14:ligatures w14:val="none"/>
        </w:rPr>
        <w:footnoteReference w:id="61"/>
      </w:r>
      <w:r w:rsidRPr="00CC3641">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273CA992"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p>
    <w:p w14:paraId="5D420F2B" w14:textId="4A659F3A"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While acknowledging the importance of each 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CC3641">
        <w:rPr>
          <w:rFonts w:ascii="Times New Roman" w:eastAsia="Times New Roman" w:hAnsi="Times New Roman" w:cs="Times New Roman"/>
          <w:kern w:val="0"/>
          <w:vertAlign w:val="superscript"/>
          <w:lang w:val="en-US"/>
          <w14:ligatures w14:val="none"/>
        </w:rPr>
        <w:footnoteReference w:id="62"/>
      </w:r>
      <w:r w:rsidRPr="00CC3641">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CC3641">
        <w:rPr>
          <w:rFonts w:ascii="Times New Roman" w:eastAsia="Times New Roman" w:hAnsi="Times New Roman" w:cs="Times New Roman"/>
          <w:kern w:val="0"/>
          <w:vertAlign w:val="superscript"/>
          <w:lang w:val="en-US"/>
          <w14:ligatures w14:val="none"/>
        </w:rPr>
        <w:footnoteReference w:id="63"/>
      </w:r>
      <w:r w:rsidRPr="00CC3641">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CC3641">
        <w:rPr>
          <w:rFonts w:ascii="Times New Roman" w:eastAsia="Times New Roman" w:hAnsi="Times New Roman" w:cs="Times New Roman"/>
          <w:kern w:val="0"/>
          <w:vertAlign w:val="superscript"/>
          <w:lang w:val="en-US"/>
          <w14:ligatures w14:val="none"/>
        </w:rPr>
        <w:footnoteReference w:id="64"/>
      </w:r>
      <w:r w:rsidRPr="00CC3641">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CC3641">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 as such.</w:t>
      </w:r>
      <w:r w:rsidRPr="00CC3641">
        <w:rPr>
          <w:rFonts w:ascii="Times New Roman" w:eastAsia="Times New Roman" w:hAnsi="Times New Roman" w:cs="Times New Roman"/>
          <w:kern w:val="0"/>
          <w:vertAlign w:val="superscript"/>
          <w:lang w:val="en-US"/>
          <w14:ligatures w14:val="none"/>
        </w:rPr>
        <w:footnoteReference w:id="65"/>
      </w:r>
    </w:p>
    <w:p w14:paraId="71B6553B" w14:textId="3862CE78" w:rsidR="00E538B4" w:rsidRDefault="00CC3641" w:rsidP="00CC3641">
      <w:pPr>
        <w:spacing w:after="120" w:line="360" w:lineRule="auto"/>
        <w:jc w:val="both"/>
        <w:rPr>
          <w:rFonts w:ascii="Times New Roman" w:hAnsi="Times New Roman" w:cs="Times New Roman"/>
          <w:lang w:val="en-US"/>
        </w:rPr>
      </w:pPr>
      <w:r w:rsidRPr="00CC3641">
        <w:rPr>
          <w:rFonts w:ascii="Times New Roman" w:eastAsia="Times New Roman" w:hAnsi="Times New Roman" w:cs="Times New Roman"/>
          <w:kern w:val="0"/>
          <w:lang w:val="en-US"/>
          <w14:ligatures w14:val="none"/>
        </w:rPr>
        <w:t xml:space="preserve">This leads to the next potential constraint, Autonomy. </w:t>
      </w:r>
      <w:r w:rsidR="007D186E" w:rsidRPr="00CC3641">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CC3641">
        <w:rPr>
          <w:rFonts w:ascii="Times New Roman" w:eastAsia="Times New Roman" w:hAnsi="Times New Roman" w:cs="Times New Roman"/>
          <w:kern w:val="0"/>
          <w:vertAlign w:val="superscript"/>
          <w:lang w:val="en-US"/>
          <w14:ligatures w14:val="none"/>
        </w:rPr>
        <w:footnoteReference w:id="66"/>
      </w:r>
      <w:r w:rsidR="007D186E" w:rsidRPr="00CC3641">
        <w:rPr>
          <w:rFonts w:ascii="Times New Roman" w:eastAsia="Times New Roman" w:hAnsi="Times New Roman" w:cs="Times New Roman"/>
          <w:kern w:val="0"/>
          <w:lang w:val="en-US"/>
          <w14:ligatures w14:val="none"/>
        </w:rPr>
        <w:t xml:space="preserve"> </w:t>
      </w:r>
      <w:r w:rsidR="003D20FB" w:rsidRPr="003D20FB">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3D20FB">
        <w:rPr>
          <w:rFonts w:ascii="Times New Roman" w:hAnsi="Times New Roman" w:cs="Times New Roman"/>
          <w:vertAlign w:val="superscript"/>
          <w:lang w:val="en-US"/>
        </w:rPr>
        <w:footnoteReference w:id="67"/>
      </w:r>
      <w:r w:rsidR="003D20FB" w:rsidRPr="003D20FB">
        <w:rPr>
          <w:rFonts w:ascii="Times New Roman" w:hAnsi="Times New Roman" w:cs="Times New Roman"/>
          <w:lang w:val="en-US"/>
        </w:rPr>
        <w:t xml:space="preserve"> Any armed UxS capability must nevertheless satisfy the existing rules of </w:t>
      </w:r>
      <w:r w:rsidR="003D20FB" w:rsidRPr="00BA3679">
        <w:rPr>
          <w:rFonts w:ascii="Times New Roman" w:hAnsi="Times New Roman" w:cs="Times New Roman"/>
          <w:i/>
          <w:iCs/>
          <w:lang w:val="en-US"/>
        </w:rPr>
        <w:t>distinction, proportionality and precautions</w:t>
      </w:r>
      <w:r w:rsidR="003D20FB" w:rsidRPr="003D20FB">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3D20FB">
        <w:rPr>
          <w:rFonts w:ascii="Times New Roman" w:hAnsi="Times New Roman" w:cs="Times New Roman"/>
          <w:vertAlign w:val="superscript"/>
          <w:lang w:val="en-US"/>
        </w:rPr>
        <w:footnoteReference w:id="68"/>
      </w:r>
      <w:r w:rsidR="003D20FB" w:rsidRPr="003D20FB">
        <w:rPr>
          <w:rFonts w:ascii="Times New Roman" w:hAnsi="Times New Roman" w:cs="Times New Roman"/>
          <w:lang w:val="en-US"/>
        </w:rPr>
        <w:t xml:space="preserve"> </w:t>
      </w:r>
    </w:p>
    <w:p w14:paraId="2A1916FD"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CC3641">
        <w:rPr>
          <w:rFonts w:ascii="Times New Roman" w:eastAsia="Times New Roman" w:hAnsi="Times New Roman" w:cs="Times New Roman"/>
          <w:kern w:val="0"/>
          <w:vertAlign w:val="superscript"/>
          <w:lang w:val="en-US"/>
          <w14:ligatures w14:val="none"/>
        </w:rPr>
        <w:footnoteReference w:id="69"/>
      </w:r>
      <w:r w:rsidRPr="00CC3641">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w:t>
      </w:r>
      <w:r w:rsidRPr="00CC3641">
        <w:rPr>
          <w:rFonts w:ascii="Times New Roman" w:eastAsia="Times New Roman" w:hAnsi="Times New Roman" w:cs="Times New Roman"/>
          <w:kern w:val="0"/>
          <w:lang w:val="en-US"/>
          <w14:ligatures w14:val="none"/>
        </w:rPr>
        <w:lastRenderedPageBreak/>
        <w:t>stated position. Building trust through legal review, ethical assessment and public explanation must therefore run through capability development from requirement-setting to fielding.</w:t>
      </w:r>
    </w:p>
    <w:p w14:paraId="00ED2667" w14:textId="77777777"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CC3641">
        <w:rPr>
          <w:rFonts w:ascii="Times New Roman" w:eastAsia="Times New Roman" w:hAnsi="Times New Roman" w:cs="Times New Roman"/>
          <w:i/>
          <w:iCs/>
          <w:kern w:val="0"/>
          <w:lang w:val="en-US"/>
          <w14:ligatures w14:val="none"/>
        </w:rPr>
        <w:t>capability</w:t>
      </w:r>
      <w:r w:rsidRPr="00CC3641">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61B22" w:rsidRDefault="006C0F08" w:rsidP="00CC3641">
      <w:pPr>
        <w:pStyle w:val="Heading1"/>
      </w:pPr>
      <w:r w:rsidRPr="00F61B22">
        <w:t>Conclusion</w:t>
      </w:r>
    </w:p>
    <w:p w14:paraId="434E9BEE" w14:textId="01A2CDB2" w:rsidR="006C0F08" w:rsidRDefault="006C0F08" w:rsidP="00F61B22">
      <w:pPr>
        <w:spacing w:line="360" w:lineRule="auto"/>
        <w:rPr>
          <w:rFonts w:ascii="Times New Roman" w:hAnsi="Times New Roman" w:cs="Times New Roman"/>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w:t>
      </w:r>
      <w:r w:rsidR="00E748F2">
        <w:rPr>
          <w:rFonts w:ascii="Times New Roman" w:hAnsi="Times New Roman" w:cs="Times New Roman"/>
        </w:rPr>
        <w:t xml:space="preserve">, not </w:t>
      </w:r>
      <w:r w:rsidR="004A3FCD">
        <w:rPr>
          <w:rFonts w:ascii="Times New Roman" w:hAnsi="Times New Roman" w:cs="Times New Roman"/>
        </w:rPr>
        <w:t xml:space="preserve">merely </w:t>
      </w:r>
      <w:r w:rsidR="00E748F2">
        <w:rPr>
          <w:rFonts w:ascii="Times New Roman" w:hAnsi="Times New Roman" w:cs="Times New Roman"/>
        </w:rPr>
        <w:t xml:space="preserve">issued </w:t>
      </w:r>
      <w:r w:rsidRPr="00F61B22">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115940" w:rsidRDefault="00115940" w:rsidP="00F61B22">
      <w:pPr>
        <w:spacing w:line="360" w:lineRule="auto"/>
        <w:rPr>
          <w:rFonts w:ascii="Times New Roman" w:hAnsi="Times New Roman" w:cs="Times New Roman"/>
        </w:rPr>
      </w:pPr>
      <w:r w:rsidRPr="00115940">
        <w:rPr>
          <w:rFonts w:ascii="Times New Roman" w:hAnsi="Times New Roman" w:cs="Times New Roman"/>
        </w:rPr>
        <w:t xml:space="preserve">That redesign becomes credible policy only if political leaders accept it first. Political acceptance </w:t>
      </w:r>
      <w:r w:rsidR="005F2797">
        <w:rPr>
          <w:rFonts w:ascii="Times New Roman" w:hAnsi="Times New Roman" w:cs="Times New Roman"/>
        </w:rPr>
        <w:t>drives meaningful change</w:t>
      </w:r>
      <w:r w:rsidRPr="00115940">
        <w:rPr>
          <w:rFonts w:ascii="Times New Roman" w:hAnsi="Times New Roman" w:cs="Times New Roman"/>
        </w:rPr>
        <w:t>: it authorises the doctrine, funds the institutionalisation and sets the industrial demand signal. Neutrality, properly understood as non-alignment rather than pacifism, does not itself bar UxS-enabled defence — but a distinct pacifist current 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lastRenderedPageBreak/>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19FB3548" w14:textId="77777777" w:rsidR="00FB42FD" w:rsidRDefault="00652C6D" w:rsidP="00FB42FD">
      <w:pPr>
        <w:pStyle w:val="Heading1"/>
      </w:pPr>
      <w:r>
        <w:rPr>
          <w:rFonts w:ascii="Times New Roman" w:hAnsi="Times New Roman" w:cs="Times New Roman"/>
        </w:rPr>
        <w:br w:type="page"/>
      </w:r>
      <w:r w:rsidR="00FB42FD">
        <w:lastRenderedPageBreak/>
        <w:t>About the Authors</w:t>
      </w:r>
    </w:p>
    <w:p w14:paraId="5537D449" w14:textId="77777777" w:rsidR="00FB42FD" w:rsidRDefault="00FB42FD" w:rsidP="00FB42FD">
      <w:r w:rsidRPr="002168B0">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2849DA" w:rsidRDefault="00FB42FD" w:rsidP="00FB42FD">
      <w:r w:rsidRPr="005D0CE6">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Default="00652C6D">
      <w:pPr>
        <w:rPr>
          <w:rFonts w:ascii="Times New Roman" w:hAnsi="Times New Roman" w:cs="Times New Roman"/>
        </w:rPr>
      </w:pPr>
    </w:p>
    <w:sectPr w:rsidR="00652C6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4B507" w14:textId="77777777" w:rsidR="00696C6E" w:rsidRDefault="00696C6E" w:rsidP="008F41DA">
      <w:pPr>
        <w:spacing w:after="0" w:line="240" w:lineRule="auto"/>
      </w:pPr>
      <w:r>
        <w:separator/>
      </w:r>
    </w:p>
  </w:endnote>
  <w:endnote w:type="continuationSeparator" w:id="0">
    <w:p w14:paraId="42DA8AA6" w14:textId="77777777" w:rsidR="00696C6E" w:rsidRDefault="00696C6E"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8C26" w14:textId="77777777" w:rsidR="00696C6E" w:rsidRDefault="00696C6E" w:rsidP="008F41DA">
      <w:pPr>
        <w:spacing w:after="0" w:line="240" w:lineRule="auto"/>
      </w:pPr>
      <w:r>
        <w:separator/>
      </w:r>
    </w:p>
  </w:footnote>
  <w:footnote w:type="continuationSeparator" w:id="0">
    <w:p w14:paraId="5B6F411B" w14:textId="77777777" w:rsidR="00696C6E" w:rsidRDefault="00696C6E" w:rsidP="008F41DA">
      <w:pPr>
        <w:spacing w:after="0" w:line="240" w:lineRule="auto"/>
      </w:pPr>
      <w:r>
        <w:continuationSeparator/>
      </w:r>
    </w:p>
  </w:footnote>
  <w:footnote w:id="1">
    <w:p w14:paraId="17191408" w14:textId="6B6DF912"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55639" w:rsidRPr="008B32FE">
        <w:rPr>
          <w:rFonts w:ascii="Times New Roman" w:hAnsi="Times New Roman" w:cs="Times New Roman"/>
          <w:sz w:val="16"/>
          <w:szCs w:val="16"/>
        </w:rPr>
        <w:t xml:space="preserve">Jack Watling and Justin Bronk, </w:t>
      </w:r>
      <w:r w:rsidR="00255639" w:rsidRPr="008B32FE">
        <w:rPr>
          <w:rFonts w:ascii="Times New Roman" w:hAnsi="Times New Roman" w:cs="Times New Roman"/>
          <w:i/>
          <w:iCs/>
          <w:sz w:val="16"/>
          <w:szCs w:val="16"/>
        </w:rPr>
        <w:t>Protecting the Force from Uncrewed Aerial Systems</w:t>
      </w:r>
      <w:r w:rsidR="00255639" w:rsidRPr="008B32FE">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8B32FE">
          <w:rPr>
            <w:rStyle w:val="Hyperlink"/>
            <w:rFonts w:ascii="Times New Roman" w:hAnsi="Times New Roman" w:cs="Times New Roman"/>
            <w:sz w:val="16"/>
            <w:szCs w:val="16"/>
          </w:rPr>
          <w:t>https://static.rusi.org/protecting-the-force-from-uncrewed-uas.pdf</w:t>
        </w:r>
      </w:hyperlink>
      <w:r w:rsidR="00255639" w:rsidRPr="008B32FE">
        <w:rPr>
          <w:rFonts w:ascii="Times New Roman" w:hAnsi="Times New Roman" w:cs="Times New Roman"/>
          <w:sz w:val="16"/>
          <w:szCs w:val="16"/>
        </w:rPr>
        <w:t>, accessed December 11, 2025.</w:t>
      </w:r>
    </w:p>
  </w:footnote>
  <w:footnote w:id="2">
    <w:p w14:paraId="38224728" w14:textId="5C833249"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F26FC" w:rsidRPr="008B32FE">
        <w:rPr>
          <w:rFonts w:ascii="Times New Roman" w:hAnsi="Times New Roman" w:cs="Times New Roman"/>
          <w:sz w:val="16"/>
          <w:szCs w:val="16"/>
        </w:rPr>
        <w:t xml:space="preserve">Oleksandra Molloy, </w:t>
      </w:r>
      <w:r w:rsidR="009F26FC" w:rsidRPr="008B32FE">
        <w:rPr>
          <w:rFonts w:ascii="Times New Roman" w:hAnsi="Times New Roman" w:cs="Times New Roman"/>
          <w:i/>
          <w:iCs/>
          <w:sz w:val="16"/>
          <w:szCs w:val="16"/>
        </w:rPr>
        <w:t>Drones in Modern Warfare: Lessons Learnt from the War in Ukraine</w:t>
      </w:r>
      <w:r w:rsidR="009F26FC" w:rsidRPr="008B32FE">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8B32FE">
          <w:rPr>
            <w:rStyle w:val="Hyperlink"/>
            <w:rFonts w:ascii="Times New Roman" w:hAnsi="Times New Roman" w:cs="Times New Roman"/>
            <w:sz w:val="16"/>
            <w:szCs w:val="16"/>
          </w:rPr>
          <w:t>https://doi.org/10.61451/267513</w:t>
        </w:r>
      </w:hyperlink>
      <w:r w:rsidR="009F26FC" w:rsidRPr="008B32FE">
        <w:rPr>
          <w:rFonts w:ascii="Times New Roman" w:hAnsi="Times New Roman" w:cs="Times New Roman"/>
          <w:sz w:val="16"/>
          <w:szCs w:val="16"/>
        </w:rPr>
        <w:t>, accessed November 2, 2025.</w:t>
      </w:r>
    </w:p>
  </w:footnote>
  <w:footnote w:id="3">
    <w:p w14:paraId="1610919D" w14:textId="3C188C7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Amos C. Fox, “Manoeuvre Is Dead? Understanding the Conditions and Components of Warfighting,” </w:t>
      </w:r>
      <w:r w:rsidR="00487C4E" w:rsidRPr="008B32FE">
        <w:rPr>
          <w:rFonts w:ascii="Times New Roman" w:hAnsi="Times New Roman" w:cs="Times New Roman"/>
          <w:i/>
          <w:iCs/>
          <w:sz w:val="16"/>
          <w:szCs w:val="16"/>
        </w:rPr>
        <w:t>The RUSI Journal</w:t>
      </w:r>
      <w:r w:rsidR="00487C4E" w:rsidRPr="008B32FE">
        <w:rPr>
          <w:rFonts w:ascii="Times New Roman" w:hAnsi="Times New Roman" w:cs="Times New Roman"/>
          <w:sz w:val="16"/>
          <w:szCs w:val="16"/>
        </w:rPr>
        <w:t xml:space="preserve"> 166, nos. 6–7 (2021): 10–18, </w:t>
      </w:r>
      <w:hyperlink r:id="rId3" w:tgtFrame="_new" w:history="1">
        <w:r w:rsidR="00487C4E" w:rsidRPr="008B32FE">
          <w:rPr>
            <w:rStyle w:val="Hyperlink"/>
            <w:rFonts w:ascii="Times New Roman" w:hAnsi="Times New Roman" w:cs="Times New Roman"/>
            <w:sz w:val="16"/>
            <w:szCs w:val="16"/>
          </w:rPr>
          <w:t>https://doi.org/10.1080/03071847.2022.2058601</w:t>
        </w:r>
      </w:hyperlink>
      <w:r w:rsidR="00487C4E" w:rsidRPr="008B32FE">
        <w:rPr>
          <w:rFonts w:ascii="Times New Roman" w:hAnsi="Times New Roman" w:cs="Times New Roman"/>
          <w:sz w:val="16"/>
          <w:szCs w:val="16"/>
        </w:rPr>
        <w:t>, accessed February 17, 2026.</w:t>
      </w:r>
    </w:p>
  </w:footnote>
  <w:footnote w:id="4">
    <w:p w14:paraId="5C922456" w14:textId="1B124160" w:rsidR="00383773"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Paul Cornish, “SDR Threats Series: Styles and Themes of Contemporary Warfare,” interview by Peter Roberts, </w:t>
      </w:r>
      <w:r w:rsidR="00487C4E" w:rsidRPr="008B32FE">
        <w:rPr>
          <w:rFonts w:ascii="Times New Roman" w:hAnsi="Times New Roman" w:cs="Times New Roman"/>
          <w:i/>
          <w:iCs/>
          <w:sz w:val="16"/>
          <w:szCs w:val="16"/>
        </w:rPr>
        <w:t>This Means War</w:t>
      </w:r>
      <w:r w:rsidR="00487C4E" w:rsidRPr="008B32FE">
        <w:rPr>
          <w:rFonts w:ascii="Times New Roman" w:hAnsi="Times New Roman" w:cs="Times New Roman"/>
          <w:sz w:val="16"/>
          <w:szCs w:val="16"/>
        </w:rPr>
        <w:t xml:space="preserve">, podcast audio, November 3, 2024, 40 min., </w:t>
      </w:r>
      <w:hyperlink r:id="rId4" w:tgtFrame="_new" w:history="1">
        <w:r w:rsidR="00487C4E" w:rsidRPr="008B32FE">
          <w:rPr>
            <w:rStyle w:val="Hyperlink"/>
            <w:rFonts w:ascii="Times New Roman" w:hAnsi="Times New Roman" w:cs="Times New Roman"/>
            <w:sz w:val="16"/>
            <w:szCs w:val="16"/>
          </w:rPr>
          <w:t>https://podcasts.apple.com/gb/podcast/sdr-threats-series-styles-and-themes-of/id1629454648?i=1000675880639</w:t>
        </w:r>
      </w:hyperlink>
      <w:r w:rsidR="00487C4E" w:rsidRPr="008B32FE">
        <w:rPr>
          <w:rFonts w:ascii="Times New Roman" w:hAnsi="Times New Roman" w:cs="Times New Roman"/>
          <w:sz w:val="16"/>
          <w:szCs w:val="16"/>
        </w:rPr>
        <w:t xml:space="preserve">, accessed February 10, 2026; Matthew Revels and Eric Uribe, “Drones Won’t Save Us: Learning the Wrong Lessons from Ukraine Will Cost the US Army Its Edge in Maneuver Warfare,” Modern War Institute, November 5, 2025, </w:t>
      </w:r>
      <w:hyperlink r:id="rId5" w:tgtFrame="_new" w:history="1">
        <w:r w:rsidR="00487C4E" w:rsidRPr="008B32FE">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8B32FE">
        <w:rPr>
          <w:rFonts w:ascii="Times New Roman" w:hAnsi="Times New Roman" w:cs="Times New Roman"/>
          <w:sz w:val="16"/>
          <w:szCs w:val="16"/>
        </w:rPr>
        <w:t xml:space="preserve">, accessed February 12, 2026; Jack Watling, Oleksandr V. Danylyuk, and Nick Reynolds, </w:t>
      </w:r>
      <w:r w:rsidR="00487C4E" w:rsidRPr="008B32FE">
        <w:rPr>
          <w:rFonts w:ascii="Times New Roman" w:hAnsi="Times New Roman" w:cs="Times New Roman"/>
          <w:i/>
          <w:iCs/>
          <w:sz w:val="16"/>
          <w:szCs w:val="16"/>
        </w:rPr>
        <w:t>Preliminary Lessons from Ukraine’s Offensive Operations, 2022–23</w:t>
      </w:r>
      <w:r w:rsidR="00487C4E" w:rsidRPr="008B32FE">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8B32FE">
          <w:rPr>
            <w:rStyle w:val="Hyperlink"/>
            <w:rFonts w:ascii="Times New Roman" w:hAnsi="Times New Roman" w:cs="Times New Roman"/>
            <w:sz w:val="16"/>
            <w:szCs w:val="16"/>
          </w:rPr>
          <w:t>https://static.rusi.org/lessons-learned-ukraine-offensive-2022-23.pdf</w:t>
        </w:r>
      </w:hyperlink>
      <w:r w:rsidR="00487C4E" w:rsidRPr="008B32FE">
        <w:rPr>
          <w:rFonts w:ascii="Times New Roman" w:hAnsi="Times New Roman" w:cs="Times New Roman"/>
          <w:sz w:val="16"/>
          <w:szCs w:val="16"/>
        </w:rPr>
        <w:t>, accessed December 11, 2025.</w:t>
      </w:r>
    </w:p>
    <w:p w14:paraId="14AF03D6" w14:textId="6D88CFE1" w:rsidR="006C0F08" w:rsidRPr="008B32FE" w:rsidRDefault="006C0F08" w:rsidP="005A2385">
      <w:pPr>
        <w:pStyle w:val="FootnoteText"/>
        <w:rPr>
          <w:rFonts w:ascii="Times New Roman" w:hAnsi="Times New Roman" w:cs="Times New Roman"/>
          <w:sz w:val="16"/>
          <w:szCs w:val="16"/>
        </w:rPr>
      </w:pPr>
    </w:p>
  </w:footnote>
  <w:footnote w:id="5">
    <w:p w14:paraId="1932ED61" w14:textId="045CDD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54BCB" w:rsidRPr="008B32FE">
        <w:rPr>
          <w:rFonts w:ascii="Times New Roman" w:hAnsi="Times New Roman" w:cs="Times New Roman"/>
          <w:sz w:val="16"/>
          <w:szCs w:val="16"/>
        </w:rPr>
        <w:t xml:space="preserve">The </w:t>
      </w:r>
      <w:r w:rsidR="00954BCB" w:rsidRPr="008B32FE">
        <w:rPr>
          <w:rFonts w:ascii="Times New Roman" w:hAnsi="Times New Roman" w:cs="Times New Roman"/>
          <w:i/>
          <w:iCs/>
          <w:sz w:val="16"/>
          <w:szCs w:val="16"/>
        </w:rPr>
        <w:t>Defence Policy Review</w:t>
      </w:r>
      <w:r w:rsidR="00954BCB" w:rsidRPr="008B32FE">
        <w:rPr>
          <w:rFonts w:ascii="Times New Roman" w:hAnsi="Times New Roman" w:cs="Times New Roman"/>
          <w:sz w:val="16"/>
          <w:szCs w:val="16"/>
        </w:rPr>
        <w:t xml:space="preserve"> updates rather than replaces the 2015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Government of Ireland, </w:t>
      </w:r>
      <w:r w:rsidR="00954BCB" w:rsidRPr="008B32FE">
        <w:rPr>
          <w:rFonts w:ascii="Times New Roman" w:hAnsi="Times New Roman" w:cs="Times New Roman"/>
          <w:i/>
          <w:iCs/>
          <w:sz w:val="16"/>
          <w:szCs w:val="16"/>
        </w:rPr>
        <w:t>Defence Policy Review 2024: Adjusting and Affirming Our Defence Policy in an Era of Change</w:t>
      </w:r>
      <w:r w:rsidR="00954BCB" w:rsidRPr="008B32FE">
        <w:rPr>
          <w:rFonts w:ascii="Times New Roman" w:hAnsi="Times New Roman" w:cs="Times New Roman"/>
          <w:sz w:val="16"/>
          <w:szCs w:val="16"/>
        </w:rPr>
        <w:t xml:space="preserve"> (Dublin: Department of Defence, 2024), </w:t>
      </w:r>
      <w:hyperlink r:id="rId7" w:tgtFrame="_new" w:history="1">
        <w:r w:rsidR="00954BCB" w:rsidRPr="008B32FE">
          <w:rPr>
            <w:rStyle w:val="Hyperlink"/>
            <w:rFonts w:ascii="Times New Roman" w:hAnsi="Times New Roman" w:cs="Times New Roman"/>
            <w:sz w:val="16"/>
            <w:szCs w:val="16"/>
          </w:rPr>
          <w:t>https://assets.gov.ie/static/documents/defence-policy-review-2024.pdf</w:t>
        </w:r>
      </w:hyperlink>
      <w:r w:rsidR="00954BCB" w:rsidRPr="008B32FE">
        <w:rPr>
          <w:rFonts w:ascii="Times New Roman" w:hAnsi="Times New Roman" w:cs="Times New Roman"/>
          <w:sz w:val="16"/>
          <w:szCs w:val="16"/>
        </w:rPr>
        <w:t xml:space="preserve">, accessed June 20, 2026; Government of Ireland,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(Dublin: Department of Defence, 2015), </w:t>
      </w:r>
      <w:hyperlink r:id="rId8" w:tgtFrame="_new" w:history="1">
        <w:r w:rsidR="00954BCB" w:rsidRPr="008B32FE">
          <w:rPr>
            <w:rStyle w:val="Hyperlink"/>
            <w:rFonts w:ascii="Times New Roman" w:hAnsi="Times New Roman" w:cs="Times New Roman"/>
            <w:sz w:val="16"/>
            <w:szCs w:val="16"/>
          </w:rPr>
          <w:t>https://assets.gov.ie/static/documents/white-paper-on-defence-august-2015.pdf</w:t>
        </w:r>
      </w:hyperlink>
      <w:r w:rsidR="00954BCB" w:rsidRPr="008B32FE">
        <w:rPr>
          <w:rFonts w:ascii="Times New Roman" w:hAnsi="Times New Roman" w:cs="Times New Roman"/>
          <w:sz w:val="16"/>
          <w:szCs w:val="16"/>
        </w:rPr>
        <w:t>, accessed June 20, 2026.</w:t>
      </w:r>
    </w:p>
  </w:footnote>
  <w:footnote w:id="6">
    <w:p w14:paraId="21510186" w14:textId="1CF24B9B" w:rsidR="00781B9B" w:rsidRPr="008B32FE" w:rsidRDefault="00781B9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Colin S. Gray, </w:t>
      </w:r>
      <w:r w:rsidRPr="008B32FE">
        <w:rPr>
          <w:rFonts w:ascii="Times New Roman" w:hAnsi="Times New Roman" w:cs="Times New Roman"/>
          <w:i/>
          <w:iCs/>
          <w:sz w:val="16"/>
          <w:szCs w:val="16"/>
        </w:rPr>
        <w:t>Theory of Strategy</w:t>
      </w:r>
      <w:r w:rsidRPr="008B32FE">
        <w:rPr>
          <w:rFonts w:ascii="Times New Roman" w:hAnsi="Times New Roman" w:cs="Times New Roman"/>
          <w:sz w:val="16"/>
          <w:szCs w:val="16"/>
        </w:rPr>
        <w:t>, 1st ed. (Oxford: Oxford University Press, 2018)</w:t>
      </w:r>
      <w:r w:rsidR="009D3326" w:rsidRPr="008B32FE">
        <w:rPr>
          <w:rFonts w:ascii="Times New Roman" w:hAnsi="Times New Roman" w:cs="Times New Roman"/>
          <w:sz w:val="16"/>
          <w:szCs w:val="16"/>
        </w:rPr>
        <w:t>, 22–42.</w:t>
      </w:r>
    </w:p>
  </w:footnote>
  <w:footnote w:id="7">
    <w:p w14:paraId="361D85CE" w14:textId="2D8374C4"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170ADA" w:rsidRPr="008B32FE">
        <w:rPr>
          <w:rFonts w:ascii="Times New Roman" w:hAnsi="Times New Roman" w:cs="Times New Roman"/>
          <w:sz w:val="16"/>
          <w:szCs w:val="16"/>
        </w:rPr>
        <w:t xml:space="preserve">Catherine Connolly, contribution to “Defence (Amendment) Bill 2024: Second Stage,” </w:t>
      </w:r>
      <w:r w:rsidR="00170ADA" w:rsidRPr="008B32FE">
        <w:rPr>
          <w:rFonts w:ascii="Times New Roman" w:hAnsi="Times New Roman" w:cs="Times New Roman"/>
          <w:i/>
          <w:iCs/>
          <w:sz w:val="16"/>
          <w:szCs w:val="16"/>
        </w:rPr>
        <w:t>Dáil Éireann Debates</w:t>
      </w:r>
      <w:r w:rsidR="00170ADA" w:rsidRPr="008B32FE">
        <w:rPr>
          <w:rFonts w:ascii="Times New Roman" w:hAnsi="Times New Roman" w:cs="Times New Roman"/>
          <w:sz w:val="16"/>
          <w:szCs w:val="16"/>
        </w:rPr>
        <w:t xml:space="preserve"> 1053, no. 4, May 2, 2024, </w:t>
      </w:r>
      <w:hyperlink r:id="rId9" w:tgtFrame="_new" w:history="1">
        <w:r w:rsidR="00170ADA" w:rsidRPr="008B32FE">
          <w:rPr>
            <w:rStyle w:val="Hyperlink"/>
            <w:rFonts w:ascii="Times New Roman" w:hAnsi="Times New Roman" w:cs="Times New Roman"/>
            <w:sz w:val="16"/>
            <w:szCs w:val="16"/>
          </w:rPr>
          <w:t>https://www.oireachtas.ie/en/debates/debate/dail/2024-05-02/32/</w:t>
        </w:r>
      </w:hyperlink>
      <w:r w:rsidR="00170ADA" w:rsidRPr="008B32FE">
        <w:rPr>
          <w:rFonts w:ascii="Times New Roman" w:hAnsi="Times New Roman" w:cs="Times New Roman"/>
          <w:sz w:val="16"/>
          <w:szCs w:val="16"/>
        </w:rPr>
        <w:t>, accessed June 24, 2026.</w:t>
      </w:r>
    </w:p>
  </w:footnote>
  <w:footnote w:id="8">
    <w:p w14:paraId="25A30721" w14:textId="23C3C4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A0F1D" w:rsidRPr="008B32FE">
        <w:rPr>
          <w:rFonts w:ascii="Times New Roman" w:hAnsi="Times New Roman" w:cs="Times New Roman"/>
          <w:sz w:val="16"/>
          <w:szCs w:val="16"/>
        </w:rPr>
        <w:t xml:space="preserve">John J. Mearsheimer, “Back to the Future: Instability in Europe after the Cold War,” </w:t>
      </w:r>
      <w:r w:rsidR="002A0F1D" w:rsidRPr="008B32FE">
        <w:rPr>
          <w:rFonts w:ascii="Times New Roman" w:hAnsi="Times New Roman" w:cs="Times New Roman"/>
          <w:i/>
          <w:iCs/>
          <w:sz w:val="16"/>
          <w:szCs w:val="16"/>
        </w:rPr>
        <w:t>International Security</w:t>
      </w:r>
      <w:r w:rsidR="002A0F1D" w:rsidRPr="008B32FE">
        <w:rPr>
          <w:rFonts w:ascii="Times New Roman" w:hAnsi="Times New Roman" w:cs="Times New Roman"/>
          <w:sz w:val="16"/>
          <w:szCs w:val="16"/>
        </w:rPr>
        <w:t xml:space="preserve"> 15, no. 1 (1990): 5–56, </w:t>
      </w:r>
      <w:hyperlink r:id="rId10" w:tgtFrame="_new" w:history="1">
        <w:r w:rsidR="002A0F1D" w:rsidRPr="008B32FE">
          <w:rPr>
            <w:rStyle w:val="Hyperlink"/>
            <w:rFonts w:ascii="Times New Roman" w:hAnsi="Times New Roman" w:cs="Times New Roman"/>
            <w:sz w:val="16"/>
            <w:szCs w:val="16"/>
          </w:rPr>
          <w:t>https://www.jstor.org/stable/2538981</w:t>
        </w:r>
      </w:hyperlink>
      <w:r w:rsidR="002A0F1D" w:rsidRPr="008B32FE">
        <w:rPr>
          <w:rFonts w:ascii="Times New Roman" w:hAnsi="Times New Roman" w:cs="Times New Roman"/>
          <w:sz w:val="16"/>
          <w:szCs w:val="16"/>
        </w:rPr>
        <w:t>, accessed November 29, 2025.</w:t>
      </w:r>
    </w:p>
  </w:footnote>
  <w:footnote w:id="9">
    <w:p w14:paraId="7A5547EA" w14:textId="126EF611"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United States Congress, </w:t>
      </w:r>
      <w:r w:rsidR="00E57FD1" w:rsidRPr="008B32FE">
        <w:rPr>
          <w:rFonts w:ascii="Times New Roman" w:hAnsi="Times New Roman" w:cs="Times New Roman"/>
          <w:i/>
          <w:iCs/>
          <w:sz w:val="16"/>
          <w:szCs w:val="16"/>
        </w:rPr>
        <w:t>Congressional Record: Proceedings and Debates of the 119th Congress, First Session</w:t>
      </w:r>
      <w:r w:rsidR="00E57FD1" w:rsidRPr="008B32FE">
        <w:rPr>
          <w:rFonts w:ascii="Times New Roman" w:hAnsi="Times New Roman" w:cs="Times New Roman"/>
          <w:sz w:val="16"/>
          <w:szCs w:val="16"/>
        </w:rPr>
        <w:t xml:space="preserve"> 171, no. 41 (March 4, 2025), </w:t>
      </w:r>
      <w:hyperlink r:id="rId11" w:tgtFrame="_new" w:history="1">
        <w:r w:rsidR="00E57FD1" w:rsidRPr="008B32FE">
          <w:rPr>
            <w:rStyle w:val="Hyperlink"/>
            <w:rFonts w:ascii="Times New Roman" w:hAnsi="Times New Roman" w:cs="Times New Roman"/>
            <w:sz w:val="16"/>
            <w:szCs w:val="16"/>
          </w:rPr>
          <w:t>https://www.congress.gov/119/crec/2025/03/04/171/41/CREC-2025-03-04.pdf</w:t>
        </w:r>
      </w:hyperlink>
      <w:r w:rsidR="00E57FD1" w:rsidRPr="008B32FE">
        <w:rPr>
          <w:rFonts w:ascii="Times New Roman" w:hAnsi="Times New Roman" w:cs="Times New Roman"/>
          <w:sz w:val="16"/>
          <w:szCs w:val="16"/>
        </w:rPr>
        <w:t>, accessed April 1, 2026.</w:t>
      </w:r>
    </w:p>
  </w:footnote>
  <w:footnote w:id="10">
    <w:p w14:paraId="175FED2A" w14:textId="2801A1EB"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Statsministeriet, </w:t>
      </w:r>
      <w:r w:rsidR="00E57FD1" w:rsidRPr="008B32FE">
        <w:rPr>
          <w:rFonts w:ascii="Times New Roman" w:hAnsi="Times New Roman" w:cs="Times New Roman"/>
          <w:i/>
          <w:iCs/>
          <w:sz w:val="16"/>
          <w:szCs w:val="16"/>
        </w:rPr>
        <w:t>Fællesudtalelse om Grønland</w:t>
      </w:r>
      <w:r w:rsidR="00E57FD1" w:rsidRPr="008B32FE">
        <w:rPr>
          <w:rFonts w:ascii="Times New Roman" w:hAnsi="Times New Roman" w:cs="Times New Roman"/>
          <w:sz w:val="16"/>
          <w:szCs w:val="16"/>
        </w:rPr>
        <w:t xml:space="preserve">, January 6, 2026, </w:t>
      </w:r>
      <w:hyperlink r:id="rId12" w:tgtFrame="_new" w:history="1">
        <w:r w:rsidR="00E57FD1" w:rsidRPr="008B32FE">
          <w:rPr>
            <w:rStyle w:val="Hyperlink"/>
            <w:rFonts w:ascii="Times New Roman" w:hAnsi="Times New Roman" w:cs="Times New Roman"/>
            <w:sz w:val="16"/>
            <w:szCs w:val="16"/>
          </w:rPr>
          <w:t>https://stm.dk/media/qo2dyzxy/erklaering-gl.pdf</w:t>
        </w:r>
      </w:hyperlink>
      <w:r w:rsidR="00E57FD1" w:rsidRPr="008B32FE">
        <w:rPr>
          <w:rFonts w:ascii="Times New Roman" w:hAnsi="Times New Roman" w:cs="Times New Roman"/>
          <w:sz w:val="16"/>
          <w:szCs w:val="16"/>
        </w:rPr>
        <w:t>, accessed April 1, 2026.</w:t>
      </w:r>
    </w:p>
  </w:footnote>
  <w:footnote w:id="11">
    <w:p w14:paraId="561A1543" w14:textId="23681615"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European Defence Agency, </w:t>
      </w:r>
      <w:r w:rsidR="00E57FD1" w:rsidRPr="008B32FE">
        <w:rPr>
          <w:rFonts w:ascii="Times New Roman" w:hAnsi="Times New Roman" w:cs="Times New Roman"/>
          <w:i/>
          <w:iCs/>
          <w:sz w:val="16"/>
          <w:szCs w:val="16"/>
        </w:rPr>
        <w:t>The 2023 EU Capability Development Priorities: To Be Ready</w:t>
      </w:r>
      <w:r w:rsidR="00E57FD1" w:rsidRPr="008B32FE">
        <w:rPr>
          <w:rFonts w:ascii="Times New Roman" w:hAnsi="Times New Roman" w:cs="Times New Roman"/>
          <w:sz w:val="16"/>
          <w:szCs w:val="16"/>
        </w:rPr>
        <w:t xml:space="preserve"> (Brussels: European Defence Agency, 2023), </w:t>
      </w:r>
      <w:hyperlink r:id="rId13" w:tgtFrame="_new" w:history="1">
        <w:r w:rsidR="00E57FD1" w:rsidRPr="008B32FE">
          <w:rPr>
            <w:rStyle w:val="Hyperlink"/>
            <w:rFonts w:ascii="Times New Roman" w:hAnsi="Times New Roman" w:cs="Times New Roman"/>
            <w:sz w:val="16"/>
            <w:szCs w:val="16"/>
          </w:rPr>
          <w:t>https://eda.europa.eu/docs/default-source/eda-publications/2023-eu-capability-development-priorities.pdf</w:t>
        </w:r>
      </w:hyperlink>
      <w:r w:rsidR="00E57FD1" w:rsidRPr="008B32FE">
        <w:rPr>
          <w:rFonts w:ascii="Times New Roman" w:hAnsi="Times New Roman" w:cs="Times New Roman"/>
          <w:sz w:val="16"/>
          <w:szCs w:val="16"/>
        </w:rPr>
        <w:t xml:space="preserve">, accessed June 22, 2026; NATO Allied Command Transformation, </w:t>
      </w:r>
      <w:r w:rsidR="00E57FD1" w:rsidRPr="008B32FE">
        <w:rPr>
          <w:rFonts w:ascii="Times New Roman" w:hAnsi="Times New Roman" w:cs="Times New Roman"/>
          <w:i/>
          <w:iCs/>
          <w:sz w:val="16"/>
          <w:szCs w:val="16"/>
        </w:rPr>
        <w:t>NATO CD&amp;E Handbook: A Concept Developer’s Toolbox</w:t>
      </w:r>
      <w:r w:rsidR="00E57FD1" w:rsidRPr="008B32FE">
        <w:rPr>
          <w:rFonts w:ascii="Times New Roman" w:hAnsi="Times New Roman" w:cs="Times New Roman"/>
          <w:sz w:val="16"/>
          <w:szCs w:val="16"/>
        </w:rPr>
        <w:t xml:space="preserve">, version 2.10 (Norfolk, VA: Allied Command Transformation, August 2021), </w:t>
      </w:r>
      <w:hyperlink r:id="rId14" w:tgtFrame="_new" w:history="1">
        <w:r w:rsidR="00E57FD1" w:rsidRPr="008B32FE">
          <w:rPr>
            <w:rStyle w:val="Hyperlink"/>
            <w:rFonts w:ascii="Times New Roman" w:hAnsi="Times New Roman" w:cs="Times New Roman"/>
            <w:sz w:val="16"/>
            <w:szCs w:val="16"/>
          </w:rPr>
          <w:t>https://www.act.nato.int/wp-content/uploads/2023/05/NATO-ACT-CDE-Handbook_A_Concept_Developers_Toolbox.pdf</w:t>
        </w:r>
      </w:hyperlink>
      <w:r w:rsidR="00E57FD1" w:rsidRPr="008B32FE">
        <w:rPr>
          <w:rFonts w:ascii="Times New Roman" w:hAnsi="Times New Roman" w:cs="Times New Roman"/>
          <w:sz w:val="16"/>
          <w:szCs w:val="16"/>
        </w:rPr>
        <w:t>, accessed June 22, 2026.</w:t>
      </w:r>
    </w:p>
  </w:footnote>
  <w:footnote w:id="12">
    <w:p w14:paraId="41AE7D3D" w14:textId="777777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TM 201</w:t>
      </w:r>
    </w:p>
  </w:footnote>
  <w:footnote w:id="13">
    <w:p w14:paraId="5E075517" w14:textId="0AEB5E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E1EC6" w:rsidRPr="008B32FE">
        <w:rPr>
          <w:rFonts w:ascii="Times New Roman" w:hAnsi="Times New Roman" w:cs="Times New Roman"/>
          <w:sz w:val="16"/>
          <w:szCs w:val="16"/>
        </w:rPr>
        <w:t xml:space="preserve">Niall O’Connor, “Ireland Could Be about to Sign €600m Armoured Vehicles Deal, French Arms Firm Says,” </w:t>
      </w:r>
      <w:r w:rsidR="00BE1EC6" w:rsidRPr="008B32FE">
        <w:rPr>
          <w:rFonts w:ascii="Times New Roman" w:hAnsi="Times New Roman" w:cs="Times New Roman"/>
          <w:i/>
          <w:iCs/>
          <w:sz w:val="16"/>
          <w:szCs w:val="16"/>
        </w:rPr>
        <w:t>The Journal</w:t>
      </w:r>
      <w:r w:rsidR="00BE1EC6" w:rsidRPr="008B32FE">
        <w:rPr>
          <w:rFonts w:ascii="Times New Roman" w:hAnsi="Times New Roman" w:cs="Times New Roman"/>
          <w:sz w:val="16"/>
          <w:szCs w:val="16"/>
        </w:rPr>
        <w:t xml:space="preserve">, February 15, 2025, </w:t>
      </w:r>
      <w:hyperlink r:id="rId15" w:tgtFrame="_new" w:history="1">
        <w:r w:rsidR="00BE1EC6" w:rsidRPr="008B32FE">
          <w:rPr>
            <w:rStyle w:val="Hyperlink"/>
            <w:rFonts w:ascii="Times New Roman" w:hAnsi="Times New Roman" w:cs="Times New Roman"/>
            <w:sz w:val="16"/>
            <w:szCs w:val="16"/>
          </w:rPr>
          <w:t>https://www.thejournal.ie/new-apc-vehicles-maybe-coming-from-france-6623112-Feb2025/</w:t>
        </w:r>
      </w:hyperlink>
      <w:r w:rsidR="00BE1EC6" w:rsidRPr="008B32FE">
        <w:rPr>
          <w:rFonts w:ascii="Times New Roman" w:hAnsi="Times New Roman" w:cs="Times New Roman"/>
          <w:sz w:val="16"/>
          <w:szCs w:val="16"/>
        </w:rPr>
        <w:t>, accessed February 24, 2026.</w:t>
      </w:r>
    </w:p>
  </w:footnote>
  <w:footnote w:id="14">
    <w:p w14:paraId="3127F795" w14:textId="77777777" w:rsidR="00DD535B" w:rsidRPr="008B32FE" w:rsidRDefault="00DD535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8B32FE">
        <w:rPr>
          <w:rFonts w:ascii="Times New Roman" w:hAnsi="Times New Roman" w:cs="Times New Roman"/>
          <w:i/>
          <w:iCs/>
          <w:sz w:val="16"/>
          <w:szCs w:val="16"/>
        </w:rPr>
        <w:t>Marine Corps Gazette</w:t>
      </w:r>
      <w:r w:rsidRPr="008B32FE">
        <w:rPr>
          <w:rFonts w:ascii="Times New Roman" w:hAnsi="Times New Roman" w:cs="Times New Roman"/>
          <w:sz w:val="16"/>
          <w:szCs w:val="16"/>
        </w:rPr>
        <w:t xml:space="preserve"> (August 2021): 23–25, </w:t>
      </w:r>
      <w:hyperlink r:id="rId16" w:tgtFrame="_new" w:history="1">
        <w:r w:rsidRPr="008B32FE">
          <w:rPr>
            <w:rStyle w:val="Hyperlink"/>
            <w:rFonts w:ascii="Times New Roman" w:hAnsi="Times New Roman" w:cs="Times New Roman"/>
            <w:sz w:val="16"/>
            <w:szCs w:val="16"/>
          </w:rPr>
          <w:t>https://www.mca-marines.org/wp-content/uploads/The-Ultra-Light-Tactical-Vehicle.pdf</w:t>
        </w:r>
      </w:hyperlink>
      <w:r w:rsidRPr="008B32FE">
        <w:rPr>
          <w:rFonts w:ascii="Times New Roman" w:hAnsi="Times New Roman" w:cs="Times New Roman"/>
          <w:sz w:val="16"/>
          <w:szCs w:val="16"/>
        </w:rPr>
        <w:t>, accessed June 21, 2026.</w:t>
      </w:r>
    </w:p>
  </w:footnote>
  <w:footnote w:id="15">
    <w:p w14:paraId="15F94EBC" w14:textId="4DCF206C" w:rsidR="00A757DE" w:rsidRPr="008B32FE" w:rsidRDefault="00A757DE"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Garnier and Pierre Néron-Bancel, </w:t>
      </w:r>
      <w:r w:rsidR="00D43DF9" w:rsidRPr="008B32FE">
        <w:rPr>
          <w:rFonts w:ascii="Times New Roman" w:hAnsi="Times New Roman" w:cs="Times New Roman"/>
          <w:i/>
          <w:iCs/>
          <w:sz w:val="16"/>
          <w:szCs w:val="16"/>
        </w:rPr>
        <w:t>“At the Other Side of the Hill”: The Benefits and False Promises of Battlefield Transparency</w:t>
      </w:r>
      <w:r w:rsidR="00D43DF9" w:rsidRPr="008B32FE">
        <w:rPr>
          <w:rFonts w:ascii="Times New Roman" w:hAnsi="Times New Roman" w:cs="Times New Roman"/>
          <w:sz w:val="16"/>
          <w:szCs w:val="16"/>
        </w:rPr>
        <w:t xml:space="preserve">, Focus stratégique no. 118 (Paris: Institut français des relations internationales, May 2024), 45, </w:t>
      </w:r>
      <w:hyperlink r:id="rId17" w:tgtFrame="_new" w:history="1">
        <w:r w:rsidR="00D43DF9" w:rsidRPr="008B32FE">
          <w:rPr>
            <w:rStyle w:val="Hyperlink"/>
            <w:rFonts w:ascii="Times New Roman" w:hAnsi="Times New Roman" w:cs="Times New Roman"/>
            <w:sz w:val="16"/>
            <w:szCs w:val="16"/>
          </w:rPr>
          <w:t>https://www.ifri.org/en/studies/other-side-hill-benefits-and-false-promises-battlefield-transparency</w:t>
        </w:r>
      </w:hyperlink>
      <w:r w:rsidR="00D43DF9" w:rsidRPr="008B32FE">
        <w:rPr>
          <w:rFonts w:ascii="Times New Roman" w:hAnsi="Times New Roman" w:cs="Times New Roman"/>
          <w:sz w:val="16"/>
          <w:szCs w:val="16"/>
        </w:rPr>
        <w:t>, accessed March 17, 2026.</w:t>
      </w:r>
    </w:p>
  </w:footnote>
  <w:footnote w:id="17">
    <w:p w14:paraId="43BAC798" w14:textId="1D971993" w:rsidR="00DC34E8" w:rsidRPr="008B32FE" w:rsidRDefault="00DC34E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Niall O'Connor, "Irish Defence Forces to Get New €16.5m Worth of Body Armour in Major Modernisation Deal," </w:t>
      </w:r>
      <w:r w:rsidRPr="008B32FE">
        <w:rPr>
          <w:rFonts w:ascii="Times New Roman" w:hAnsi="Times New Roman" w:cs="Times New Roman"/>
          <w:i/>
          <w:iCs/>
          <w:sz w:val="16"/>
          <w:szCs w:val="16"/>
        </w:rPr>
        <w:t>TheJournal.ie</w:t>
      </w:r>
      <w:r w:rsidRPr="008B32FE">
        <w:rPr>
          <w:rFonts w:ascii="Times New Roman" w:hAnsi="Times New Roman" w:cs="Times New Roman"/>
          <w:sz w:val="16"/>
          <w:szCs w:val="16"/>
        </w:rPr>
        <w:t xml:space="preserve">, March 30, 2025, </w:t>
      </w:r>
      <w:hyperlink r:id="rId18" w:history="1">
        <w:r w:rsidRPr="008B32FE">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8B32FE">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8B32FE">
        <w:rPr>
          <w:rFonts w:ascii="Times New Roman" w:hAnsi="Times New Roman" w:cs="Times New Roman"/>
          <w:i/>
          <w:iCs/>
          <w:sz w:val="16"/>
          <w:szCs w:val="16"/>
        </w:rPr>
        <w:t>The Irish Times</w:t>
      </w:r>
      <w:r w:rsidRPr="008B32FE">
        <w:rPr>
          <w:rFonts w:ascii="Times New Roman" w:hAnsi="Times New Roman" w:cs="Times New Roman"/>
          <w:sz w:val="16"/>
          <w:szCs w:val="16"/>
        </w:rPr>
        <w:t xml:space="preserve">, April 14, 2025, </w:t>
      </w:r>
      <w:hyperlink r:id="rId19" w:history="1">
        <w:r w:rsidRPr="008B32FE">
          <w:rPr>
            <w:rStyle w:val="Hyperlink"/>
            <w:rFonts w:ascii="Times New Roman" w:hAnsi="Times New Roman" w:cs="Times New Roman"/>
            <w:sz w:val="16"/>
            <w:szCs w:val="16"/>
          </w:rPr>
          <w:t>https://www.irishtimes.com/ireland/2025/04/14/battlegroup-troops-test-out-new-technology-for-wider-defence-forces/</w:t>
        </w:r>
      </w:hyperlink>
      <w:r w:rsidRPr="008B32FE">
        <w:rPr>
          <w:rFonts w:ascii="Times New Roman" w:hAnsi="Times New Roman" w:cs="Times New Roman"/>
          <w:sz w:val="16"/>
          <w:szCs w:val="16"/>
        </w:rPr>
        <w:t>, accessed July 20, 2026.</w:t>
      </w:r>
    </w:p>
  </w:footnote>
  <w:footnote w:id="18">
    <w:p w14:paraId="34534656" w14:textId="5666728C" w:rsidR="009A76CF" w:rsidRPr="008B32FE" w:rsidRDefault="009A76CF"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Adam Beatty, “</w:t>
      </w:r>
      <w:r w:rsidRPr="008B32FE">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8B32FE">
        <w:rPr>
          <w:rFonts w:ascii="Times New Roman" w:hAnsi="Times New Roman" w:cs="Times New Roman"/>
          <w:sz w:val="16"/>
          <w:szCs w:val="16"/>
        </w:rPr>
        <w:t>” (MA thesis, Maynooth University, 2026)</w:t>
      </w:r>
      <w:r w:rsidR="00341D59" w:rsidRPr="008B32FE">
        <w:rPr>
          <w:rFonts w:ascii="Times New Roman" w:hAnsi="Times New Roman" w:cs="Times New Roman"/>
          <w:sz w:val="16"/>
          <w:szCs w:val="16"/>
        </w:rPr>
        <w:t>, 25–43</w:t>
      </w:r>
      <w:r w:rsidRPr="008B32FE">
        <w:rPr>
          <w:rFonts w:ascii="Times New Roman" w:hAnsi="Times New Roman" w:cs="Times New Roman"/>
          <w:sz w:val="16"/>
          <w:szCs w:val="16"/>
        </w:rPr>
        <w:t>, Defence Forces Library.</w:t>
      </w:r>
    </w:p>
  </w:footnote>
  <w:footnote w:id="19">
    <w:p w14:paraId="458B5E24" w14:textId="6F16600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Joret, “What Specialization of the Infantry in Armored Combat Operations?,”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xml:space="preserve">, no. 52 (Spring–Summer 2024): 125–30, 129–30; Jacques Bouffard, “The Infantry Regiment Model 2030,” </w:t>
      </w:r>
      <w:r w:rsidR="00D43DF9" w:rsidRPr="008B32FE">
        <w:rPr>
          <w:rFonts w:ascii="Times New Roman" w:hAnsi="Times New Roman" w:cs="Times New Roman"/>
          <w:i/>
          <w:iCs/>
          <w:sz w:val="16"/>
          <w:szCs w:val="16"/>
        </w:rPr>
        <w:t>Fantassins</w:t>
      </w:r>
      <w:r w:rsidR="00D43DF9" w:rsidRPr="008B32FE">
        <w:rPr>
          <w:rFonts w:ascii="Times New Roman" w:hAnsi="Times New Roman" w:cs="Times New Roman"/>
          <w:sz w:val="16"/>
          <w:szCs w:val="16"/>
        </w:rPr>
        <w:t>, no. 52 (Spring–Summer 2024): 15–20, 18.</w:t>
      </w:r>
    </w:p>
  </w:footnote>
  <w:footnote w:id="20">
    <w:p w14:paraId="23E4CDBD" w14:textId="217E3BAC" w:rsidR="00D716AD" w:rsidRPr="008B32FE" w:rsidRDefault="00D716AD"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2615D" w:rsidRPr="008B32FE">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8B32FE">
          <w:rPr>
            <w:rStyle w:val="Hyperlink"/>
            <w:rFonts w:ascii="Times New Roman" w:hAnsi="Times New Roman" w:cs="Times New Roman"/>
            <w:sz w:val="16"/>
            <w:szCs w:val="16"/>
          </w:rPr>
          <w:t>https://www.gov.uk/government/news/british-army-experiments-with-dstl-study-on-urban-combat</w:t>
        </w:r>
      </w:hyperlink>
      <w:r w:rsidR="0092615D" w:rsidRPr="008B32FE">
        <w:rPr>
          <w:rFonts w:ascii="Times New Roman" w:hAnsi="Times New Roman" w:cs="Times New Roman"/>
          <w:sz w:val="16"/>
          <w:szCs w:val="16"/>
        </w:rPr>
        <w:t xml:space="preserve">, accessed June 22, 2026; John Spencer, “Creating a Unit Optimized for Urban Warfare,” </w:t>
      </w:r>
      <w:r w:rsidR="0092615D" w:rsidRPr="008B32FE">
        <w:rPr>
          <w:rFonts w:ascii="Times New Roman" w:hAnsi="Times New Roman" w:cs="Times New Roman"/>
          <w:i/>
          <w:iCs/>
          <w:sz w:val="16"/>
          <w:szCs w:val="16"/>
        </w:rPr>
        <w:t>Urban Warfare Project Podcast</w:t>
      </w:r>
      <w:r w:rsidR="0092615D" w:rsidRPr="008B32FE">
        <w:rPr>
          <w:rFonts w:ascii="Times New Roman" w:hAnsi="Times New Roman" w:cs="Times New Roman"/>
          <w:sz w:val="16"/>
          <w:szCs w:val="16"/>
        </w:rPr>
        <w:t xml:space="preserve">, Modern War Institute, August 18, 2023, </w:t>
      </w:r>
      <w:hyperlink r:id="rId21" w:tgtFrame="_new" w:history="1">
        <w:r w:rsidR="0092615D" w:rsidRPr="008B32FE">
          <w:rPr>
            <w:rStyle w:val="Hyperlink"/>
            <w:rFonts w:ascii="Times New Roman" w:hAnsi="Times New Roman" w:cs="Times New Roman"/>
            <w:sz w:val="16"/>
            <w:szCs w:val="16"/>
          </w:rPr>
          <w:t>https://mwi.westpoint.edu/creating-a-unit-optimized-for-urban-warfare/</w:t>
        </w:r>
      </w:hyperlink>
      <w:r w:rsidR="0092615D" w:rsidRPr="008B32FE">
        <w:rPr>
          <w:rFonts w:ascii="Times New Roman" w:hAnsi="Times New Roman" w:cs="Times New Roman"/>
          <w:sz w:val="16"/>
          <w:szCs w:val="16"/>
        </w:rPr>
        <w:t xml:space="preserve">, accessed June 22, 2026; Interview Participant 08, interview by Adam Beatty, March 12, 2026, </w:t>
      </w:r>
      <w:r w:rsidR="00A31EA4" w:rsidRPr="008B32FE">
        <w:rPr>
          <w:rFonts w:ascii="Times New Roman" w:hAnsi="Times New Roman" w:cs="Times New Roman"/>
          <w:sz w:val="16"/>
          <w:szCs w:val="16"/>
        </w:rPr>
        <w:t xml:space="preserve">transcript, </w:t>
      </w:r>
      <w:r w:rsidR="0092615D" w:rsidRPr="008B32FE">
        <w:rPr>
          <w:rFonts w:ascii="Times New Roman" w:hAnsi="Times New Roman" w:cs="Times New Roman"/>
          <w:sz w:val="16"/>
          <w:szCs w:val="16"/>
        </w:rPr>
        <w:t xml:space="preserve">conducted under the Chatham House Rule; Jack Watling, </w:t>
      </w:r>
      <w:r w:rsidR="0092615D" w:rsidRPr="008B32FE">
        <w:rPr>
          <w:rFonts w:ascii="Times New Roman" w:hAnsi="Times New Roman" w:cs="Times New Roman"/>
          <w:i/>
          <w:iCs/>
          <w:sz w:val="16"/>
          <w:szCs w:val="16"/>
        </w:rPr>
        <w:t>The Arms of the Future: Technology and Close Combat in the Twenty-First Century</w:t>
      </w:r>
      <w:r w:rsidR="0092615D" w:rsidRPr="008B32FE">
        <w:rPr>
          <w:rFonts w:ascii="Times New Roman" w:hAnsi="Times New Roman" w:cs="Times New Roman"/>
          <w:sz w:val="16"/>
          <w:szCs w:val="16"/>
        </w:rPr>
        <w:t xml:space="preserve"> (London: Bloomsbury Academic, 2023), 144–147.</w:t>
      </w:r>
    </w:p>
  </w:footnote>
  <w:footnote w:id="21">
    <w:p w14:paraId="4461D95E" w14:textId="206F6D1A"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15E9D" w:rsidRPr="008B32FE">
        <w:rPr>
          <w:rFonts w:ascii="Times New Roman" w:hAnsi="Times New Roman" w:cs="Times New Roman"/>
          <w:sz w:val="16"/>
          <w:szCs w:val="16"/>
        </w:rPr>
        <w:t xml:space="preserve">Ministère des Armées, “Gévaudan 26 : les légionnaires au combat,” </w:t>
      </w:r>
      <w:r w:rsidR="00915E9D" w:rsidRPr="008B32FE">
        <w:rPr>
          <w:rFonts w:ascii="Times New Roman" w:hAnsi="Times New Roman" w:cs="Times New Roman"/>
          <w:i/>
          <w:iCs/>
          <w:sz w:val="16"/>
          <w:szCs w:val="16"/>
        </w:rPr>
        <w:t>Armée de Terre</w:t>
      </w:r>
      <w:r w:rsidR="00915E9D" w:rsidRPr="008B32FE">
        <w:rPr>
          <w:rFonts w:ascii="Times New Roman" w:hAnsi="Times New Roman" w:cs="Times New Roman"/>
          <w:sz w:val="16"/>
          <w:szCs w:val="16"/>
        </w:rPr>
        <w:t xml:space="preserve">, February 25, 2026, </w:t>
      </w:r>
      <w:hyperlink r:id="rId22" w:tgtFrame="_new" w:history="1">
        <w:r w:rsidR="00915E9D" w:rsidRPr="008B32FE">
          <w:rPr>
            <w:rStyle w:val="Hyperlink"/>
            <w:rFonts w:ascii="Times New Roman" w:hAnsi="Times New Roman" w:cs="Times New Roman"/>
            <w:sz w:val="16"/>
            <w:szCs w:val="16"/>
          </w:rPr>
          <w:t>https://www.defense.gouv.fr/terre/actualites/gevaudan-26-legionnaires-au-combat</w:t>
        </w:r>
      </w:hyperlink>
      <w:r w:rsidR="00915E9D" w:rsidRPr="008B32FE">
        <w:rPr>
          <w:rFonts w:ascii="Times New Roman" w:hAnsi="Times New Roman" w:cs="Times New Roman"/>
          <w:sz w:val="16"/>
          <w:szCs w:val="16"/>
        </w:rPr>
        <w:t xml:space="preserve">, accessed April 1, 2026; TF1 INFO, “Légion étrangère : au cœur d’un entraînement plus vrai que nature,” YouTube video, February 21, 2026, </w:t>
      </w:r>
      <w:hyperlink r:id="rId23" w:tgtFrame="_new" w:history="1">
        <w:r w:rsidR="00915E9D" w:rsidRPr="008B32FE">
          <w:rPr>
            <w:rStyle w:val="Hyperlink"/>
            <w:rFonts w:ascii="Times New Roman" w:hAnsi="Times New Roman" w:cs="Times New Roman"/>
            <w:sz w:val="16"/>
            <w:szCs w:val="16"/>
          </w:rPr>
          <w:t>https://www.youtube.com/watch?v=fkE1H-jy3NE</w:t>
        </w:r>
      </w:hyperlink>
      <w:r w:rsidR="00915E9D" w:rsidRPr="008B32FE">
        <w:rPr>
          <w:rFonts w:ascii="Times New Roman" w:hAnsi="Times New Roman" w:cs="Times New Roman"/>
          <w:sz w:val="16"/>
          <w:szCs w:val="16"/>
        </w:rPr>
        <w:t xml:space="preserve">, accessed April 1, 2026; Jillian Kay Melchior, “NATO Has Seen the Future and Is Unprepared,” </w:t>
      </w:r>
      <w:r w:rsidR="00915E9D" w:rsidRPr="008B32FE">
        <w:rPr>
          <w:rFonts w:ascii="Times New Roman" w:hAnsi="Times New Roman" w:cs="Times New Roman"/>
          <w:i/>
          <w:iCs/>
          <w:sz w:val="16"/>
          <w:szCs w:val="16"/>
        </w:rPr>
        <w:t>The Wall Street Journal</w:t>
      </w:r>
      <w:r w:rsidR="00915E9D" w:rsidRPr="008B32FE">
        <w:rPr>
          <w:rFonts w:ascii="Times New Roman" w:hAnsi="Times New Roman" w:cs="Times New Roman"/>
          <w:sz w:val="16"/>
          <w:szCs w:val="16"/>
        </w:rPr>
        <w:t xml:space="preserve">, February 12, 2026, </w:t>
      </w:r>
      <w:hyperlink r:id="rId24" w:tgtFrame="_new" w:history="1">
        <w:r w:rsidR="00915E9D" w:rsidRPr="008B32FE">
          <w:rPr>
            <w:rStyle w:val="Hyperlink"/>
            <w:rFonts w:ascii="Times New Roman" w:hAnsi="Times New Roman" w:cs="Times New Roman"/>
            <w:sz w:val="16"/>
            <w:szCs w:val="16"/>
          </w:rPr>
          <w:t>https://www.wsj.com/opinion/nato-has-seen-the-future-and-is-unprepared-887eaf0f</w:t>
        </w:r>
      </w:hyperlink>
      <w:r w:rsidR="00915E9D" w:rsidRPr="008B32FE">
        <w:rPr>
          <w:rFonts w:ascii="Times New Roman" w:hAnsi="Times New Roman" w:cs="Times New Roman"/>
          <w:sz w:val="16"/>
          <w:szCs w:val="16"/>
        </w:rPr>
        <w:t>, accessed February 13, 2026.</w:t>
      </w:r>
    </w:p>
  </w:footnote>
  <w:footnote w:id="22">
    <w:p w14:paraId="78DCB254" w14:textId="73C46F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Molloy, </w:t>
      </w:r>
      <w:r w:rsidR="000C0769" w:rsidRPr="008B32FE">
        <w:rPr>
          <w:rFonts w:ascii="Times New Roman" w:hAnsi="Times New Roman" w:cs="Times New Roman"/>
          <w:i/>
          <w:iCs/>
          <w:sz w:val="16"/>
          <w:szCs w:val="16"/>
        </w:rPr>
        <w:t>Drones in Modern Warfare</w:t>
      </w:r>
      <w:r w:rsidR="000C0769" w:rsidRPr="008B32FE">
        <w:rPr>
          <w:rFonts w:ascii="Times New Roman" w:hAnsi="Times New Roman" w:cs="Times New Roman"/>
          <w:sz w:val="16"/>
          <w:szCs w:val="16"/>
        </w:rPr>
        <w:t>, 78.</w:t>
      </w:r>
    </w:p>
  </w:footnote>
  <w:footnote w:id="23">
    <w:p w14:paraId="45B22FC9" w14:textId="5998DB5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Frederick William Lanchester, </w:t>
      </w:r>
      <w:r w:rsidR="000C0769" w:rsidRPr="008B32FE">
        <w:rPr>
          <w:rFonts w:ascii="Times New Roman" w:hAnsi="Times New Roman" w:cs="Times New Roman"/>
          <w:i/>
          <w:iCs/>
          <w:sz w:val="16"/>
          <w:szCs w:val="16"/>
        </w:rPr>
        <w:t>Aircraft in Warfare: The Dawn of the Fourth Arm</w:t>
      </w:r>
      <w:r w:rsidR="000C0769" w:rsidRPr="008B32FE">
        <w:rPr>
          <w:rFonts w:ascii="Times New Roman" w:hAnsi="Times New Roman" w:cs="Times New Roman"/>
          <w:sz w:val="16"/>
          <w:szCs w:val="16"/>
        </w:rPr>
        <w:t xml:space="preserve"> (London: Constable and Company Limited, 1916).</w:t>
      </w:r>
    </w:p>
  </w:footnote>
  <w:footnote w:id="24">
    <w:p w14:paraId="5FE001D1" w14:textId="5171CAE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John J. Mearsheimer, “Assessing the Conventional Balance: The 3:1 Rule and Its Critics,” </w:t>
      </w:r>
      <w:r w:rsidR="000C0769" w:rsidRPr="008B32FE">
        <w:rPr>
          <w:rFonts w:ascii="Times New Roman" w:hAnsi="Times New Roman" w:cs="Times New Roman"/>
          <w:i/>
          <w:iCs/>
          <w:sz w:val="16"/>
          <w:szCs w:val="16"/>
        </w:rPr>
        <w:t>International Security</w:t>
      </w:r>
      <w:r w:rsidR="000C0769" w:rsidRPr="008B32FE">
        <w:rPr>
          <w:rFonts w:ascii="Times New Roman" w:hAnsi="Times New Roman" w:cs="Times New Roman"/>
          <w:sz w:val="16"/>
          <w:szCs w:val="16"/>
        </w:rPr>
        <w:t xml:space="preserve"> 13, no. 4 (1989): 54–89, </w:t>
      </w:r>
      <w:hyperlink r:id="rId25" w:tgtFrame="_new" w:history="1">
        <w:r w:rsidR="000C0769" w:rsidRPr="008B32FE">
          <w:rPr>
            <w:rStyle w:val="Hyperlink"/>
            <w:rFonts w:ascii="Times New Roman" w:hAnsi="Times New Roman" w:cs="Times New Roman"/>
            <w:sz w:val="16"/>
            <w:szCs w:val="16"/>
          </w:rPr>
          <w:t>https://www.jstor.org/stable/2538780</w:t>
        </w:r>
      </w:hyperlink>
      <w:r w:rsidR="000C0769" w:rsidRPr="008B32FE">
        <w:rPr>
          <w:rFonts w:ascii="Times New Roman" w:hAnsi="Times New Roman" w:cs="Times New Roman"/>
          <w:sz w:val="16"/>
          <w:szCs w:val="16"/>
        </w:rPr>
        <w:t>, accessed March 29, 2025.</w:t>
      </w:r>
    </w:p>
  </w:footnote>
  <w:footnote w:id="25">
    <w:p w14:paraId="2FB299ED" w14:textId="50A33F38"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719F9" w:rsidRPr="008B32FE">
        <w:rPr>
          <w:rFonts w:ascii="Times New Roman" w:hAnsi="Times New Roman" w:cs="Times New Roman"/>
          <w:sz w:val="16"/>
          <w:szCs w:val="16"/>
        </w:rPr>
        <w:t>Beatty, “</w:t>
      </w:r>
      <w:r w:rsidR="00B719F9" w:rsidRPr="008B32FE">
        <w:rPr>
          <w:rFonts w:ascii="Times New Roman" w:hAnsi="Times New Roman" w:cs="Times New Roman"/>
          <w:i/>
          <w:iCs/>
          <w:sz w:val="16"/>
          <w:szCs w:val="16"/>
        </w:rPr>
        <w:t>Movement as Exposure</w:t>
      </w:r>
      <w:r w:rsidR="009C0A87" w:rsidRPr="008B32FE">
        <w:rPr>
          <w:rFonts w:ascii="Times New Roman" w:hAnsi="Times New Roman" w:cs="Times New Roman"/>
          <w:sz w:val="16"/>
          <w:szCs w:val="16"/>
        </w:rPr>
        <w:t>”</w:t>
      </w:r>
      <w:r w:rsidR="008640C1" w:rsidRPr="008B32FE">
        <w:rPr>
          <w:rFonts w:ascii="Times New Roman" w:hAnsi="Times New Roman" w:cs="Times New Roman"/>
          <w:sz w:val="16"/>
          <w:szCs w:val="16"/>
        </w:rPr>
        <w:t>, 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3–1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4</w:t>
      </w:r>
      <w:r w:rsidR="00670398"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 xml:space="preserve"> favouring Javelin</w:t>
      </w:r>
      <w:r w:rsidR="00B719F9" w:rsidRPr="008B32FE">
        <w:rPr>
          <w:rFonts w:ascii="Times New Roman" w:hAnsi="Times New Roman" w:cs="Times New Roman"/>
          <w:sz w:val="16"/>
          <w:szCs w:val="16"/>
        </w:rPr>
        <w:t xml:space="preserve">; </w:t>
      </w:r>
      <w:r w:rsidR="0076208B" w:rsidRPr="008B32FE">
        <w:rPr>
          <w:rFonts w:ascii="Times New Roman" w:hAnsi="Times New Roman" w:cs="Times New Roman"/>
          <w:sz w:val="16"/>
          <w:szCs w:val="16"/>
        </w:rPr>
        <w:t xml:space="preserve">Justin Bronk and Jack Watling, </w:t>
      </w:r>
      <w:r w:rsidR="0076208B" w:rsidRPr="008B32FE">
        <w:rPr>
          <w:rFonts w:ascii="Times New Roman" w:hAnsi="Times New Roman" w:cs="Times New Roman"/>
          <w:i/>
          <w:iCs/>
          <w:sz w:val="16"/>
          <w:szCs w:val="16"/>
        </w:rPr>
        <w:t>Mass Precision Strike: Designing UAV Complexes for Land Forces</w:t>
      </w:r>
      <w:r w:rsidR="0076208B" w:rsidRPr="008B32FE">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8B32FE">
          <w:rPr>
            <w:rStyle w:val="Hyperlink"/>
            <w:rFonts w:ascii="Times New Roman" w:hAnsi="Times New Roman" w:cs="Times New Roman"/>
            <w:sz w:val="16"/>
            <w:szCs w:val="16"/>
          </w:rPr>
          <w:t>https://static.rusi.org/mass-precision-strike-final.pdf</w:t>
        </w:r>
      </w:hyperlink>
      <w:r w:rsidR="0076208B" w:rsidRPr="008B32FE">
        <w:rPr>
          <w:rFonts w:ascii="Times New Roman" w:hAnsi="Times New Roman" w:cs="Times New Roman"/>
          <w:sz w:val="16"/>
          <w:szCs w:val="16"/>
        </w:rPr>
        <w:t>, accessed December 16, 2025.</w:t>
      </w:r>
    </w:p>
  </w:footnote>
  <w:footnote w:id="26">
    <w:p w14:paraId="4B257134" w14:textId="4F6202B0" w:rsidR="00F01A14" w:rsidRPr="008B32FE" w:rsidRDefault="00F01A14"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8C6294" w:rsidRPr="008B32FE">
        <w:rPr>
          <w:rFonts w:ascii="Times New Roman" w:hAnsi="Times New Roman" w:cs="Times New Roman"/>
          <w:sz w:val="16"/>
          <w:szCs w:val="16"/>
        </w:rPr>
        <w:t xml:space="preserve">Willie O’Dea, “Contribution to Written Answers,” </w:t>
      </w:r>
      <w:r w:rsidR="008C6294" w:rsidRPr="008B32FE">
        <w:rPr>
          <w:rFonts w:ascii="Times New Roman" w:hAnsi="Times New Roman" w:cs="Times New Roman"/>
          <w:i/>
          <w:iCs/>
          <w:sz w:val="16"/>
          <w:szCs w:val="16"/>
        </w:rPr>
        <w:t>Dáil Éireann Debates</w:t>
      </w:r>
      <w:r w:rsidR="008C6294" w:rsidRPr="008B32FE">
        <w:rPr>
          <w:rFonts w:ascii="Times New Roman" w:hAnsi="Times New Roman" w:cs="Times New Roman"/>
          <w:sz w:val="16"/>
          <w:szCs w:val="16"/>
        </w:rPr>
        <w:t xml:space="preserve"> 606, no. 2, September 29, 2005, </w:t>
      </w:r>
      <w:hyperlink r:id="rId27" w:tgtFrame="_new" w:history="1">
        <w:r w:rsidR="008C6294" w:rsidRPr="008B32FE">
          <w:rPr>
            <w:rStyle w:val="Hyperlink"/>
            <w:rFonts w:ascii="Times New Roman" w:hAnsi="Times New Roman" w:cs="Times New Roman"/>
            <w:sz w:val="16"/>
            <w:szCs w:val="16"/>
          </w:rPr>
          <w:t>https://www.oireachtas.ie/en/debates/debate/dail/2005-09-29/37/</w:t>
        </w:r>
      </w:hyperlink>
      <w:r w:rsidR="008C6294" w:rsidRPr="008B32FE">
        <w:rPr>
          <w:rFonts w:ascii="Times New Roman" w:hAnsi="Times New Roman" w:cs="Times New Roman"/>
          <w:sz w:val="16"/>
          <w:szCs w:val="16"/>
        </w:rPr>
        <w:t>, accessed June 24, 2026.</w:t>
      </w:r>
    </w:p>
  </w:footnote>
  <w:footnote w:id="27">
    <w:p w14:paraId="2F278B55" w14:textId="0641786A" w:rsidR="00E22C08" w:rsidRPr="008B32FE" w:rsidRDefault="00E22C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A409E7" w:rsidRPr="008B32FE">
        <w:rPr>
          <w:rFonts w:ascii="Times New Roman" w:hAnsi="Times New Roman" w:cs="Times New Roman"/>
          <w:sz w:val="16"/>
          <w:szCs w:val="16"/>
        </w:rPr>
        <w:t>Beatty, “</w:t>
      </w:r>
      <w:r w:rsidR="00A409E7" w:rsidRPr="008B32FE">
        <w:rPr>
          <w:rFonts w:ascii="Times New Roman" w:hAnsi="Times New Roman" w:cs="Times New Roman"/>
          <w:i/>
          <w:iCs/>
          <w:sz w:val="16"/>
          <w:szCs w:val="16"/>
        </w:rPr>
        <w:t>Movement as Exposure</w:t>
      </w:r>
      <w:r w:rsidR="00A409E7" w:rsidRPr="008B32FE">
        <w:rPr>
          <w:rFonts w:ascii="Times New Roman" w:hAnsi="Times New Roman" w:cs="Times New Roman"/>
          <w:sz w:val="16"/>
          <w:szCs w:val="16"/>
        </w:rPr>
        <w:t xml:space="preserve">,” 40, 61; </w:t>
      </w:r>
      <w:r w:rsidRPr="008B32FE">
        <w:rPr>
          <w:rFonts w:ascii="Times New Roman" w:hAnsi="Times New Roman" w:cs="Times New Roman"/>
          <w:sz w:val="16"/>
          <w:szCs w:val="16"/>
        </w:rPr>
        <w:t xml:space="preserve">Adam Beatty and Eoin O'Brien, “14-Soldier Sections: Light Infantry's Drone Survival Minimum,” </w:t>
      </w:r>
      <w:r w:rsidRPr="008B32FE">
        <w:rPr>
          <w:rFonts w:ascii="Times New Roman" w:hAnsi="Times New Roman" w:cs="Times New Roman"/>
          <w:i/>
          <w:iCs/>
          <w:sz w:val="16"/>
          <w:szCs w:val="16"/>
        </w:rPr>
        <w:t>An Cósantóir</w:t>
      </w:r>
      <w:r w:rsidRPr="008B32FE">
        <w:rPr>
          <w:rFonts w:ascii="Times New Roman" w:hAnsi="Times New Roman" w:cs="Times New Roman"/>
          <w:sz w:val="16"/>
          <w:szCs w:val="16"/>
        </w:rPr>
        <w:t xml:space="preserve">, July/August 2026, </w:t>
      </w:r>
      <w:r w:rsidRPr="008B32FE">
        <w:rPr>
          <w:rFonts w:ascii="Times New Roman" w:hAnsi="Times New Roman" w:cs="Times New Roman"/>
          <w:sz w:val="16"/>
          <w:szCs w:val="16"/>
          <w:highlight w:val="yellow"/>
        </w:rPr>
        <w:t>XX–XX</w:t>
      </w:r>
      <w:r w:rsidRPr="008B32FE">
        <w:rPr>
          <w:rFonts w:ascii="Times New Roman" w:hAnsi="Times New Roman" w:cs="Times New Roman"/>
          <w:sz w:val="16"/>
          <w:szCs w:val="16"/>
        </w:rPr>
        <w:t xml:space="preserve">, </w:t>
      </w:r>
      <w:hyperlink r:id="rId28" w:history="1">
        <w:r w:rsidR="00437C4A" w:rsidRPr="008B32FE">
          <w:rPr>
            <w:rStyle w:val="Hyperlink"/>
            <w:rFonts w:ascii="Times New Roman" w:hAnsi="Times New Roman" w:cs="Times New Roman"/>
            <w:sz w:val="16"/>
            <w:szCs w:val="16"/>
          </w:rPr>
          <w:t>https://digital.jmpublishing.ie/i/</w:t>
        </w:r>
        <w:r w:rsidR="00437C4A" w:rsidRPr="008B32FE">
          <w:rPr>
            <w:rStyle w:val="Hyperlink"/>
            <w:rFonts w:ascii="Times New Roman" w:hAnsi="Times New Roman" w:cs="Times New Roman"/>
            <w:sz w:val="16"/>
            <w:szCs w:val="16"/>
            <w:highlight w:val="yellow"/>
          </w:rPr>
          <w:t>XXXXXXXX</w:t>
        </w:r>
        <w:r w:rsidR="00437C4A" w:rsidRPr="008B32FE">
          <w:rPr>
            <w:rStyle w:val="Hyperlink"/>
            <w:rFonts w:ascii="Times New Roman" w:hAnsi="Times New Roman" w:cs="Times New Roman"/>
            <w:sz w:val="16"/>
            <w:szCs w:val="16"/>
          </w:rPr>
          <w:t>-an-cosantoir-july-august-2026/0</w:t>
        </w:r>
      </w:hyperlink>
      <w:r w:rsidR="00A409E7" w:rsidRPr="008B32FE">
        <w:rPr>
          <w:rFonts w:ascii="Times New Roman" w:hAnsi="Times New Roman" w:cs="Times New Roman"/>
          <w:sz w:val="16"/>
          <w:szCs w:val="16"/>
        </w:rPr>
        <w:t>.</w:t>
      </w:r>
    </w:p>
  </w:footnote>
  <w:footnote w:id="28">
    <w:p w14:paraId="425FACC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29">
    <w:p w14:paraId="6B75500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29"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31">
    <w:p w14:paraId="25369BE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0"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32">
    <w:p w14:paraId="3B06A4D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1"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2"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33">
    <w:p w14:paraId="08EF6684"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3"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34">
    <w:p w14:paraId="633C7A37"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35">
    <w:p w14:paraId="22298CE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37">
    <w:p w14:paraId="61E0419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Center,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38">
    <w:p w14:paraId="7340FB9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Fall 2024, https://www.lineofdeparture.army.mil/Journals/Infantry/Infantry-Fall-2024/Integrating-drones/, accessed July 18, 2026.</w:t>
      </w:r>
    </w:p>
  </w:footnote>
  <w:footnote w:id="41">
    <w:p w14:paraId="2F94945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Brian Cahill, “Simulating Complexity: Urban Operations, Cognitive Load &amp; Wargaming in the Contemporary Operating Environment,” </w:t>
      </w:r>
      <w:r w:rsidRPr="008B32FE">
        <w:rPr>
          <w:rFonts w:ascii="Times New Roman" w:hAnsi="Times New Roman" w:cs="Times New Roman"/>
          <w:i/>
          <w:iCs/>
          <w:sz w:val="16"/>
          <w:szCs w:val="16"/>
        </w:rPr>
        <w:t>Defence Forces Review 2025</w:t>
      </w:r>
      <w:r w:rsidRPr="008B32FE">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2">
    <w:p w14:paraId="720C4F6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3">
    <w:p w14:paraId="5D50302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01, interview by Adam Beatty, January 23, 2026, transcript, conducted under the Chatham House Rule.</w:t>
      </w:r>
    </w:p>
  </w:footnote>
  <w:footnote w:id="44">
    <w:p w14:paraId="68538E3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Krepinevich, “Cavalry to Computer,” 30.</w:t>
      </w:r>
    </w:p>
  </w:footnote>
  <w:footnote w:id="45">
    <w:p w14:paraId="6884F76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46">
    <w:p w14:paraId="50150A0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Christian Brose, “The New Revolution in Military Affairs: War’s Sci-Fi Future,” </w:t>
      </w:r>
      <w:r w:rsidRPr="008B32FE">
        <w:rPr>
          <w:rFonts w:ascii="Times New Roman" w:hAnsi="Times New Roman" w:cs="Times New Roman"/>
          <w:i/>
          <w:iCs/>
          <w:sz w:val="16"/>
          <w:szCs w:val="16"/>
        </w:rPr>
        <w:t>Foreign Affairs</w:t>
      </w:r>
      <w:r w:rsidRPr="008B32FE">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4" w:tgtFrame="_new" w:history="1">
        <w:r w:rsidRPr="008B32FE">
          <w:rPr>
            <w:rStyle w:val="Hyperlink"/>
            <w:rFonts w:ascii="Times New Roman" w:hAnsi="Times New Roman" w:cs="Times New Roman"/>
            <w:sz w:val="16"/>
            <w:szCs w:val="16"/>
          </w:rPr>
          <w:t>https://mwi.westpoint.edu/battlefield-drones-and-the-accelerating-autonomous-arms-race-in-ukraine/</w:t>
        </w:r>
      </w:hyperlink>
      <w:r w:rsidRPr="008B32FE">
        <w:rPr>
          <w:rFonts w:ascii="Times New Roman" w:hAnsi="Times New Roman" w:cs="Times New Roman"/>
          <w:sz w:val="16"/>
          <w:szCs w:val="16"/>
        </w:rPr>
        <w:t>, accessed July 17, 2026.</w:t>
      </w:r>
    </w:p>
  </w:footnote>
  <w:footnote w:id="47">
    <w:p w14:paraId="522FA5C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27D6201E"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Cosmo Curtatone and John Nagl, “How the United States Is Learning from Drone Warfare in Ukraine,”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xml:space="preserve">, June 17, 2026, </w:t>
      </w:r>
      <w:hyperlink r:id="rId35" w:tgtFrame="_new" w:history="1">
        <w:r w:rsidRPr="008B32FE">
          <w:rPr>
            <w:rStyle w:val="Hyperlink"/>
            <w:rFonts w:ascii="Times New Roman" w:hAnsi="Times New Roman" w:cs="Times New Roman"/>
            <w:sz w:val="16"/>
            <w:szCs w:val="16"/>
          </w:rPr>
          <w:t>https://smallwarsjournal.com/2026/06/17/how-the-united-states-is-learning-from-drone-warfare-in-ukraine/</w:t>
        </w:r>
      </w:hyperlink>
      <w:r w:rsidRPr="008B32FE">
        <w:rPr>
          <w:rFonts w:ascii="Times New Roman" w:hAnsi="Times New Roman" w:cs="Times New Roman"/>
          <w:sz w:val="16"/>
          <w:szCs w:val="16"/>
        </w:rPr>
        <w:t xml:space="preserve">, accessed July 17, 2026; </w:t>
      </w:r>
      <w:r w:rsidR="008B32FE" w:rsidRPr="008B32FE">
        <w:rPr>
          <w:rFonts w:ascii="Times New Roman" w:hAnsi="Times New Roman" w:cs="Times New Roman"/>
          <w:sz w:val="16"/>
          <w:szCs w:val="16"/>
        </w:rPr>
        <w:t>Interview Participant 04, interview by Beatty, February 6, 2026.</w:t>
      </w:r>
    </w:p>
  </w:footnote>
  <w:footnote w:id="49">
    <w:p w14:paraId="27D9855B"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Kaya I. Vogler et al., “Modular Open Systems Approach: Impacts on Program Management Metrics,” </w:t>
      </w:r>
      <w:r w:rsidRPr="008B32FE">
        <w:rPr>
          <w:rFonts w:ascii="Times New Roman" w:hAnsi="Times New Roman" w:cs="Times New Roman"/>
          <w:i/>
          <w:iCs/>
          <w:sz w:val="16"/>
          <w:szCs w:val="16"/>
        </w:rPr>
        <w:t>Defense Acquisition Research Journal</w:t>
      </w:r>
      <w:r w:rsidRPr="008B32FE">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Lou Crenshaw, “Military Power Begins with Industrial Strength,” </w:t>
      </w:r>
      <w:r w:rsidRPr="008B32FE">
        <w:rPr>
          <w:rFonts w:ascii="Times New Roman" w:hAnsi="Times New Roman" w:cs="Times New Roman"/>
          <w:i/>
          <w:iCs/>
          <w:sz w:val="16"/>
          <w:szCs w:val="16"/>
        </w:rPr>
        <w:t>DefenseScoop</w:t>
      </w:r>
      <w:r w:rsidRPr="008B32FE">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Conor Gallagher, “As Ireland Strengthens Its Military, One Country and Company Gain the Most,” </w:t>
      </w:r>
      <w:r w:rsidRPr="008B32FE">
        <w:rPr>
          <w:rFonts w:ascii="Times New Roman" w:hAnsi="Times New Roman" w:cs="Times New Roman"/>
          <w:i/>
          <w:iCs/>
          <w:sz w:val="16"/>
          <w:szCs w:val="16"/>
        </w:rPr>
        <w:t>Irish Times</w:t>
      </w:r>
      <w:r w:rsidRPr="008B32FE">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Óglaigh na hÉireann, "National Maritime College of Ireland," military.ie, accessed July 21, 2026, https://www.military.ie/en/who-we-are/naval-service/naval-service-college/national-maritime-college-of-ireland/.</w:t>
      </w:r>
    </w:p>
  </w:footnote>
  <w:footnote w:id="53">
    <w:p w14:paraId="6CBDAE5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“Hub for European Defence Innovation (HEDI),” https://eda.europa.eu/what-we-do/research-technology/hedi, accessed July 19, 2026.</w:t>
      </w:r>
    </w:p>
  </w:footnote>
  <w:footnote w:id="54">
    <w:p w14:paraId="43D7063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Rob Tollast, “Drones: Decoupling Supply Chains from China,” </w:t>
      </w:r>
      <w:r w:rsidRPr="008B32FE">
        <w:rPr>
          <w:rFonts w:ascii="Times New Roman" w:hAnsi="Times New Roman" w:cs="Times New Roman"/>
          <w:i/>
          <w:iCs/>
          <w:sz w:val="16"/>
          <w:szCs w:val="16"/>
        </w:rPr>
        <w:t>RUSI Research Paper</w:t>
      </w:r>
      <w:r w:rsidRPr="008B32FE">
        <w:rPr>
          <w:rFonts w:ascii="Times New Roman" w:hAnsi="Times New Roman" w:cs="Times New Roman"/>
          <w:sz w:val="16"/>
          <w:szCs w:val="16"/>
        </w:rPr>
        <w:t xml:space="preserve"> (London: Royal United Services Institute, November 2025), 1–24, https://static.rusi.org/rp-drone-supply-chains-china-nov-2025_0.pdf, accessed March 17, 2026.</w:t>
      </w:r>
    </w:p>
  </w:footnote>
  <w:footnote w:id="55">
    <w:p w14:paraId="2B16637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w:t>
      </w:r>
      <w:r w:rsidRPr="008B32FE">
        <w:rPr>
          <w:rFonts w:ascii="Times New Roman" w:hAnsi="Times New Roman" w:cs="Times New Roman"/>
          <w:i/>
          <w:iCs/>
          <w:sz w:val="16"/>
          <w:szCs w:val="16"/>
        </w:rPr>
        <w:t>Annual Report 2024</w:t>
      </w:r>
      <w:r w:rsidRPr="008B32FE">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w:t>
      </w:r>
      <w:hyperlink r:id="rId36" w:tgtFrame="_new" w:history="1">
        <w:r w:rsidRPr="008B32FE">
          <w:rPr>
            <w:rStyle w:val="Hyperlink"/>
            <w:rFonts w:ascii="Times New Roman" w:hAnsi="Times New Roman" w:cs="Times New Roman"/>
            <w:sz w:val="16"/>
            <w:szCs w:val="16"/>
          </w:rPr>
          <w:t>https://slaviccenter.osu.edu/news/cheap-weapons-expensive-consequences-how-ukraine-rewriting-rules-warfare-dominance</w:t>
        </w:r>
      </w:hyperlink>
      <w:r w:rsidRPr="008B32FE">
        <w:rPr>
          <w:rFonts w:ascii="Times New Roman" w:hAnsi="Times New Roman" w:cs="Times New Roman"/>
          <w:sz w:val="16"/>
          <w:szCs w:val="16"/>
        </w:rPr>
        <w:t xml:space="preserve">, accessed July 18, 2026; Bronk and Watling, </w:t>
      </w:r>
      <w:r w:rsidRPr="008B32FE">
        <w:rPr>
          <w:rFonts w:ascii="Times New Roman" w:hAnsi="Times New Roman" w:cs="Times New Roman"/>
          <w:i/>
          <w:iCs/>
          <w:sz w:val="16"/>
          <w:szCs w:val="16"/>
        </w:rPr>
        <w:t>Mass Precision Strike</w:t>
      </w:r>
      <w:r w:rsidRPr="008B32FE">
        <w:rPr>
          <w:rFonts w:ascii="Times New Roman" w:hAnsi="Times New Roman" w:cs="Times New Roman"/>
          <w:sz w:val="16"/>
          <w:szCs w:val="16"/>
        </w:rPr>
        <w:t>.</w:t>
      </w:r>
    </w:p>
  </w:footnote>
  <w:footnote w:id="57">
    <w:p w14:paraId="6277357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NATO, “Increasing Defence Industrial Production,” July 8, 2026, </w:t>
      </w:r>
      <w:hyperlink r:id="rId37" w:tgtFrame="_new" w:history="1">
        <w:r w:rsidRPr="008B32FE">
          <w:rPr>
            <w:rStyle w:val="Hyperlink"/>
            <w:rFonts w:ascii="Times New Roman" w:hAnsi="Times New Roman" w:cs="Times New Roman"/>
            <w:sz w:val="16"/>
            <w:szCs w:val="16"/>
          </w:rPr>
          <w:t>https://www.nato.int/en/what-we-do/deterrence-and-defence/natos-role-in-defence-industry-production</w:t>
        </w:r>
      </w:hyperlink>
      <w:r w:rsidRPr="008B32FE">
        <w:rPr>
          <w:rFonts w:ascii="Times New Roman" w:hAnsi="Times New Roman" w:cs="Times New Roman"/>
          <w:sz w:val="16"/>
          <w:szCs w:val="16"/>
        </w:rPr>
        <w:t xml:space="preserve">, accessed July 18, 2026; NATO, “NATO Industrial Capacity Expansion Pledge,” July 10, 2024, </w:t>
      </w:r>
      <w:hyperlink r:id="rId38" w:tgtFrame="_new" w:history="1">
        <w:r w:rsidRPr="008B32FE">
          <w:rPr>
            <w:rStyle w:val="Hyperlink"/>
            <w:rFonts w:ascii="Times New Roman" w:hAnsi="Times New Roman" w:cs="Times New Roman"/>
            <w:sz w:val="16"/>
            <w:szCs w:val="16"/>
          </w:rPr>
          <w:t>https://www.nato.int/en/about-us/official-texts-and-resources/official-texts/2024/07/10/nato-industrial-capacity-expansion-pledge</w:t>
        </w:r>
      </w:hyperlink>
      <w:r w:rsidRPr="008B32FE">
        <w:rPr>
          <w:rFonts w:ascii="Times New Roman" w:hAnsi="Times New Roman" w:cs="Times New Roman"/>
          <w:sz w:val="16"/>
          <w:szCs w:val="16"/>
        </w:rPr>
        <w:t>, accessed July 19, 2026.</w:t>
      </w:r>
    </w:p>
  </w:footnote>
  <w:footnote w:id="58">
    <w:p w14:paraId="124AB90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Government of Ireland, </w:t>
      </w:r>
      <w:r w:rsidRPr="008B32FE">
        <w:rPr>
          <w:rFonts w:ascii="Times New Roman" w:hAnsi="Times New Roman" w:cs="Times New Roman"/>
          <w:i/>
          <w:iCs/>
          <w:sz w:val="16"/>
          <w:szCs w:val="16"/>
        </w:rPr>
        <w:t>Defence Policy Review 2024</w:t>
      </w:r>
      <w:r w:rsidRPr="008B32FE">
        <w:rPr>
          <w:rFonts w:ascii="Times New Roman" w:hAnsi="Times New Roman" w:cs="Times New Roman"/>
          <w:sz w:val="16"/>
          <w:szCs w:val="16"/>
        </w:rPr>
        <w:t>, 60.</w:t>
      </w:r>
    </w:p>
  </w:footnote>
  <w:footnote w:id="59">
    <w:p w14:paraId="57A7F344"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European Parliament and Council of the European Union, “Regulation (EU) 2025/2643 of December 16, 2025 Establishing the European Defence Industry Programme and a Framework of Measures to Ensure the Timely Availability and Supply of Defence Products,” </w:t>
      </w:r>
      <w:r w:rsidRPr="008B32FE">
        <w:rPr>
          <w:rFonts w:ascii="Times New Roman" w:hAnsi="Times New Roman" w:cs="Times New Roman"/>
          <w:i/>
          <w:iCs/>
          <w:sz w:val="16"/>
          <w:szCs w:val="16"/>
        </w:rPr>
        <w:t>Official Journal of the European Union</w:t>
      </w:r>
      <w:r w:rsidRPr="008B32FE">
        <w:rPr>
          <w:rFonts w:ascii="Times New Roman" w:hAnsi="Times New Roman" w:cs="Times New Roman"/>
          <w:sz w:val="16"/>
          <w:szCs w:val="16"/>
        </w:rPr>
        <w:t xml:space="preserve">, December 29, 2025, recital 33, </w:t>
      </w:r>
      <w:hyperlink r:id="rId39" w:tgtFrame="_new" w:history="1">
        <w:r w:rsidRPr="008B32FE">
          <w:rPr>
            <w:rStyle w:val="Hyperlink1"/>
            <w:rFonts w:ascii="Times New Roman" w:hAnsi="Times New Roman" w:cs="Times New Roman"/>
            <w:sz w:val="16"/>
            <w:szCs w:val="16"/>
          </w:rPr>
          <w:t>https://data.europa.eu/eli/reg/2025/2643/oj</w:t>
        </w:r>
      </w:hyperlink>
      <w:r w:rsidRPr="008B32FE">
        <w:rPr>
          <w:rFonts w:ascii="Times New Roman" w:hAnsi="Times New Roman" w:cs="Times New Roman"/>
          <w:sz w:val="16"/>
          <w:szCs w:val="16"/>
        </w:rPr>
        <w:t xml:space="preserve">, accessed July 20, 2026; European Defence Agency, </w:t>
      </w:r>
      <w:r w:rsidRPr="008B32FE">
        <w:rPr>
          <w:rFonts w:ascii="Times New Roman" w:hAnsi="Times New Roman" w:cs="Times New Roman"/>
          <w:i/>
          <w:iCs/>
          <w:sz w:val="16"/>
          <w:szCs w:val="16"/>
        </w:rPr>
        <w:t>Defence Data 2024–2025</w:t>
      </w:r>
      <w:r w:rsidRPr="008B32FE">
        <w:rPr>
          <w:rFonts w:ascii="Times New Roman" w:hAnsi="Times New Roman" w:cs="Times New Roman"/>
          <w:sz w:val="16"/>
          <w:szCs w:val="16"/>
        </w:rPr>
        <w:t xml:space="preserve"> (Brussels: European Defence Agency, 2025), 10, </w:t>
      </w:r>
      <w:hyperlink r:id="rId40" w:tgtFrame="_new" w:history="1">
        <w:r w:rsidRPr="008B32FE">
          <w:rPr>
            <w:rStyle w:val="Hyperlink1"/>
            <w:rFonts w:ascii="Times New Roman" w:hAnsi="Times New Roman" w:cs="Times New Roman"/>
            <w:sz w:val="16"/>
            <w:szCs w:val="16"/>
          </w:rPr>
          <w:t>https://eda.europa.eu/docs/default-source/brochures/2025-eda_defencedata_web.pdf</w:t>
        </w:r>
      </w:hyperlink>
      <w:r w:rsidRPr="008B32FE">
        <w:rPr>
          <w:rFonts w:ascii="Times New Roman" w:hAnsi="Times New Roman" w:cs="Times New Roman"/>
          <w:sz w:val="16"/>
          <w:szCs w:val="16"/>
        </w:rPr>
        <w:t>, accessed July 20, 2026.</w:t>
      </w:r>
    </w:p>
  </w:footnote>
  <w:footnote w:id="60">
    <w:p w14:paraId="612C4F5E"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United Kingdom Ministry of Defence, </w:t>
      </w:r>
      <w:r w:rsidRPr="008B32FE">
        <w:rPr>
          <w:rFonts w:ascii="Times New Roman" w:hAnsi="Times New Roman" w:cs="Times New Roman"/>
          <w:i/>
          <w:iCs/>
          <w:sz w:val="16"/>
          <w:szCs w:val="16"/>
        </w:rPr>
        <w:t>Defence Industrial Strategy: Making Defence an Engine for Growth</w:t>
      </w:r>
      <w:r w:rsidRPr="008B32FE">
        <w:rPr>
          <w:rFonts w:ascii="Times New Roman" w:hAnsi="Times New Roman" w:cs="Times New Roman"/>
          <w:sz w:val="16"/>
          <w:szCs w:val="16"/>
        </w:rPr>
        <w:t xml:space="preserve"> (London: Ministry of Defence, September 2025), 21–22, 86–87, </w:t>
      </w:r>
      <w:hyperlink r:id="rId41" w:tgtFrame="_new" w:history="1">
        <w:r w:rsidRPr="008B32FE">
          <w:rPr>
            <w:rStyle w:val="Hyperlink1"/>
            <w:rFonts w:ascii="Times New Roman" w:hAnsi="Times New Roman" w:cs="Times New Roman"/>
            <w:sz w:val="16"/>
            <w:szCs w:val="16"/>
          </w:rPr>
          <w:t>https://assets.publishing.service.gov.uk/media/68bea3fc223d92d088f01d69/Defence_Industrial_Strategy_2025_-_Making_Defence_an_Engine_for_Growth.pdf</w:t>
        </w:r>
      </w:hyperlink>
      <w:r w:rsidRPr="008B32FE">
        <w:rPr>
          <w:rFonts w:ascii="Times New Roman" w:hAnsi="Times New Roman" w:cs="Times New Roman"/>
          <w:sz w:val="16"/>
          <w:szCs w:val="16"/>
        </w:rPr>
        <w:t>, accessed July 20, 2026.</w:t>
      </w:r>
    </w:p>
  </w:footnote>
  <w:footnote w:id="61">
    <w:p w14:paraId="7BEDB6EA"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Reamda Ltd., “About,” </w:t>
      </w:r>
      <w:hyperlink r:id="rId42" w:tgtFrame="_new" w:history="1">
        <w:r w:rsidRPr="008B32FE">
          <w:rPr>
            <w:rStyle w:val="Hyperlink1"/>
            <w:rFonts w:ascii="Times New Roman" w:hAnsi="Times New Roman" w:cs="Times New Roman"/>
            <w:sz w:val="16"/>
            <w:szCs w:val="16"/>
          </w:rPr>
          <w:t>https://reamda.com/about/</w:t>
        </w:r>
      </w:hyperlink>
      <w:r w:rsidRPr="008B32FE">
        <w:rPr>
          <w:rFonts w:ascii="Times New Roman" w:hAnsi="Times New Roman" w:cs="Times New Roman"/>
          <w:sz w:val="16"/>
          <w:szCs w:val="16"/>
        </w:rPr>
        <w:t xml:space="preserve">, accessed July 20, 2026; Irish Defence Forces, “S2EP8 – REACHER,” </w:t>
      </w:r>
      <w:r w:rsidRPr="008B32FE">
        <w:rPr>
          <w:rFonts w:ascii="Times New Roman" w:hAnsi="Times New Roman" w:cs="Times New Roman"/>
          <w:i/>
          <w:iCs/>
          <w:sz w:val="16"/>
          <w:szCs w:val="16"/>
        </w:rPr>
        <w:t>Defence Forces Podcast</w:t>
      </w:r>
      <w:r w:rsidRPr="008B32FE">
        <w:rPr>
          <w:rFonts w:ascii="Times New Roman" w:hAnsi="Times New Roman" w:cs="Times New Roman"/>
          <w:sz w:val="16"/>
          <w:szCs w:val="16"/>
        </w:rPr>
        <w:t xml:space="preserve">, </w:t>
      </w:r>
      <w:hyperlink r:id="rId43" w:tgtFrame="_new" w:history="1">
        <w:r w:rsidRPr="008B32FE">
          <w:rPr>
            <w:rStyle w:val="Hyperlink1"/>
            <w:rFonts w:ascii="Times New Roman" w:hAnsi="Times New Roman" w:cs="Times New Roman"/>
            <w:sz w:val="16"/>
            <w:szCs w:val="16"/>
          </w:rPr>
          <w:t>https://www.military.ie/en/members-area/social-media-links/df-podcast/season-2/s2ep8-reacher/</w:t>
        </w:r>
      </w:hyperlink>
      <w:r w:rsidRPr="008B32FE">
        <w:rPr>
          <w:rFonts w:ascii="Times New Roman" w:hAnsi="Times New Roman" w:cs="Times New Roman"/>
          <w:sz w:val="16"/>
          <w:szCs w:val="16"/>
        </w:rPr>
        <w:t xml:space="preserve">, accessed July 20, 2026; VRAI, “Our History,” </w:t>
      </w:r>
      <w:hyperlink r:id="rId44" w:tgtFrame="_new" w:history="1">
        <w:r w:rsidRPr="008B32FE">
          <w:rPr>
            <w:rStyle w:val="Hyperlink1"/>
            <w:rFonts w:ascii="Times New Roman" w:hAnsi="Times New Roman" w:cs="Times New Roman"/>
            <w:sz w:val="16"/>
            <w:szCs w:val="16"/>
          </w:rPr>
          <w:t>https://www.vraisimulation.com/about/history</w:t>
        </w:r>
      </w:hyperlink>
      <w:r w:rsidRPr="008B32FE">
        <w:rPr>
          <w:rFonts w:ascii="Times New Roman" w:hAnsi="Times New Roman" w:cs="Times New Roman"/>
          <w:sz w:val="16"/>
          <w:szCs w:val="16"/>
        </w:rPr>
        <w:t>, accessed July 20, 2026.</w:t>
      </w:r>
    </w:p>
  </w:footnote>
  <w:footnote w:id="62">
    <w:p w14:paraId="698F332E"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Pr="008B32FE">
        <w:rPr>
          <w:rFonts w:ascii="Times New Roman" w:hAnsi="Times New Roman" w:cs="Times New Roman"/>
          <w:i/>
          <w:iCs/>
          <w:sz w:val="16"/>
          <w:szCs w:val="16"/>
        </w:rPr>
        <w:t>Journal of Military History and Defence Studies</w:t>
      </w:r>
      <w:r w:rsidRPr="008B32FE">
        <w:rPr>
          <w:rFonts w:ascii="Times New Roman" w:hAnsi="Times New Roman" w:cs="Times New Roman"/>
          <w:sz w:val="16"/>
          <w:szCs w:val="16"/>
        </w:rPr>
        <w:t xml:space="preserve"> 5, no. 1 (2024): 164.</w:t>
      </w:r>
    </w:p>
  </w:footnote>
  <w:footnote w:id="63">
    <w:p w14:paraId="35AB5570"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Ciaran Murphy, </w:t>
      </w:r>
      <w:r w:rsidRPr="008B32FE">
        <w:rPr>
          <w:rFonts w:ascii="Times New Roman" w:hAnsi="Times New Roman" w:cs="Times New Roman"/>
          <w:i/>
          <w:iCs/>
          <w:sz w:val="16"/>
          <w:szCs w:val="16"/>
        </w:rPr>
        <w:t>Ireland, the Triple Lock and Military Neutrality</w:t>
      </w:r>
      <w:r w:rsidRPr="008B32FE">
        <w:rPr>
          <w:rFonts w:ascii="Times New Roman" w:hAnsi="Times New Roman" w:cs="Times New Roman"/>
          <w:sz w:val="16"/>
          <w:szCs w:val="16"/>
        </w:rPr>
        <w:t xml:space="preserve"> (Dublin: Institute of International and European Affairs, June 11, 2025), 10.</w:t>
      </w:r>
    </w:p>
  </w:footnote>
  <w:footnote w:id="64">
    <w:p w14:paraId="08F9687B"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Hynes, “Neutral, Neutered or Pacifist?,” 185–86, citing J. J. C. Voorhoeve, “Pacifist-Neutralism in Western Europe,” </w:t>
      </w:r>
      <w:r w:rsidRPr="008B32FE">
        <w:rPr>
          <w:rFonts w:ascii="Times New Roman" w:hAnsi="Times New Roman" w:cs="Times New Roman"/>
          <w:i/>
          <w:iCs/>
          <w:sz w:val="16"/>
          <w:szCs w:val="16"/>
        </w:rPr>
        <w:t>Journal of Conflict Studies</w:t>
      </w:r>
      <w:r w:rsidRPr="008B32FE">
        <w:rPr>
          <w:rFonts w:ascii="Times New Roman" w:hAnsi="Times New Roman" w:cs="Times New Roman"/>
          <w:sz w:val="16"/>
          <w:szCs w:val="16"/>
        </w:rPr>
        <w:t xml:space="preserve"> 2, no. 4 (1982): 15.</w:t>
      </w:r>
    </w:p>
  </w:footnote>
  <w:footnote w:id="65">
    <w:p w14:paraId="5B452A57" w14:textId="122E3BE0"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Convention on the Prohibition of the Use, Stockpiling, Production and Transfer of Anti-Personnel Mines and on Their Destruction</w:t>
      </w:r>
      <w:r w:rsidRPr="008B32FE">
        <w:rPr>
          <w:rFonts w:ascii="Times New Roman" w:hAnsi="Times New Roman" w:cs="Times New Roman"/>
          <w:sz w:val="16"/>
          <w:szCs w:val="16"/>
        </w:rPr>
        <w:t xml:space="preserve">, September 18, 1997, 2056 U.N.T.S. 211, arts. 1–2, accessed July 20, 2026; Government of Ireland, </w:t>
      </w:r>
      <w:r w:rsidRPr="008B32FE">
        <w:rPr>
          <w:rFonts w:ascii="Times New Roman" w:hAnsi="Times New Roman" w:cs="Times New Roman"/>
          <w:i/>
          <w:iCs/>
          <w:sz w:val="16"/>
          <w:szCs w:val="16"/>
        </w:rPr>
        <w:t>Cluster Munitions and Anti-Personnel Mines Act 2008</w:t>
      </w:r>
      <w:r w:rsidRPr="008B32FE">
        <w:rPr>
          <w:rFonts w:ascii="Times New Roman" w:hAnsi="Times New Roman" w:cs="Times New Roman"/>
          <w:sz w:val="16"/>
          <w:szCs w:val="16"/>
        </w:rPr>
        <w:t>, no. 20 of 2008, ss. 2, 9 and sch. 2, accessed July 20, 2026.</w:t>
      </w:r>
    </w:p>
  </w:footnote>
  <w:footnote w:id="66">
    <w:p w14:paraId="4197B386" w14:textId="77777777" w:rsidR="007D186E" w:rsidRPr="008B32FE" w:rsidRDefault="007D186E" w:rsidP="007D186E">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Paul Scharre and Michael C. Horowitz, “An Introduction to Autonomy in Weapon Systems,” Ethical Autonomy Project working paper (Washington, DC: Center for a New American Security, February 2015), 1, https://s3.us-east-1.amazonaws.com/files.cnas.org/backgrounds/documents/Ethical_Autonomy_Working_Paper_031315.pdf, accessed July 21, 2026.</w:t>
      </w:r>
    </w:p>
  </w:footnote>
  <w:footnote w:id="68">
    <w:p w14:paraId="7D7F83C2" w14:textId="77777777" w:rsidR="003D20FB" w:rsidRPr="008B32FE" w:rsidRDefault="003D20F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Protocol Additional to the Geneva Conventions of 12 August 1949, and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69">
    <w:p w14:paraId="7457C3CA"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1667"/>
    <w:rsid w:val="000118D7"/>
    <w:rsid w:val="0001200C"/>
    <w:rsid w:val="0001398C"/>
    <w:rsid w:val="00014F64"/>
    <w:rsid w:val="00017713"/>
    <w:rsid w:val="000304B3"/>
    <w:rsid w:val="000332EC"/>
    <w:rsid w:val="00034CC3"/>
    <w:rsid w:val="00036E74"/>
    <w:rsid w:val="00040E29"/>
    <w:rsid w:val="00050F28"/>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4CB4"/>
    <w:rsid w:val="0010514C"/>
    <w:rsid w:val="00107A60"/>
    <w:rsid w:val="00112AAD"/>
    <w:rsid w:val="00115940"/>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87286"/>
    <w:rsid w:val="00191904"/>
    <w:rsid w:val="001932E3"/>
    <w:rsid w:val="001941B0"/>
    <w:rsid w:val="00194305"/>
    <w:rsid w:val="00194374"/>
    <w:rsid w:val="001A0B8E"/>
    <w:rsid w:val="001A37E6"/>
    <w:rsid w:val="001A3844"/>
    <w:rsid w:val="001A46D6"/>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1C12"/>
    <w:rsid w:val="0021250B"/>
    <w:rsid w:val="0021641C"/>
    <w:rsid w:val="002168B0"/>
    <w:rsid w:val="00220651"/>
    <w:rsid w:val="00220DAF"/>
    <w:rsid w:val="0022693E"/>
    <w:rsid w:val="00230C29"/>
    <w:rsid w:val="00232127"/>
    <w:rsid w:val="00232E2B"/>
    <w:rsid w:val="002336C8"/>
    <w:rsid w:val="002364CB"/>
    <w:rsid w:val="002373C5"/>
    <w:rsid w:val="002401A5"/>
    <w:rsid w:val="002405F1"/>
    <w:rsid w:val="00240A82"/>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5B4"/>
    <w:rsid w:val="003C3B90"/>
    <w:rsid w:val="003C6DEE"/>
    <w:rsid w:val="003D20FB"/>
    <w:rsid w:val="003D392A"/>
    <w:rsid w:val="003D5692"/>
    <w:rsid w:val="003E4F2A"/>
    <w:rsid w:val="003E5AA4"/>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D0C8F"/>
    <w:rsid w:val="004D510B"/>
    <w:rsid w:val="004D5438"/>
    <w:rsid w:val="004D62DD"/>
    <w:rsid w:val="004E4C5F"/>
    <w:rsid w:val="004E5E30"/>
    <w:rsid w:val="004F0B7F"/>
    <w:rsid w:val="004F611C"/>
    <w:rsid w:val="004F720A"/>
    <w:rsid w:val="00502FAD"/>
    <w:rsid w:val="00503231"/>
    <w:rsid w:val="005032B0"/>
    <w:rsid w:val="0051340B"/>
    <w:rsid w:val="0051547D"/>
    <w:rsid w:val="00521EB9"/>
    <w:rsid w:val="00522EC2"/>
    <w:rsid w:val="00522F9C"/>
    <w:rsid w:val="00524254"/>
    <w:rsid w:val="00526588"/>
    <w:rsid w:val="00527C94"/>
    <w:rsid w:val="00530940"/>
    <w:rsid w:val="00543440"/>
    <w:rsid w:val="00543532"/>
    <w:rsid w:val="00551575"/>
    <w:rsid w:val="005532E2"/>
    <w:rsid w:val="005543E2"/>
    <w:rsid w:val="00560BFF"/>
    <w:rsid w:val="00562547"/>
    <w:rsid w:val="00572323"/>
    <w:rsid w:val="00572C1D"/>
    <w:rsid w:val="00573369"/>
    <w:rsid w:val="00575D66"/>
    <w:rsid w:val="00577962"/>
    <w:rsid w:val="00580F2B"/>
    <w:rsid w:val="00583511"/>
    <w:rsid w:val="0058495E"/>
    <w:rsid w:val="005859B9"/>
    <w:rsid w:val="005A090D"/>
    <w:rsid w:val="005A2385"/>
    <w:rsid w:val="005A3FE8"/>
    <w:rsid w:val="005A4AF2"/>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2B56"/>
    <w:rsid w:val="00652C6D"/>
    <w:rsid w:val="00654E5F"/>
    <w:rsid w:val="00655357"/>
    <w:rsid w:val="00656982"/>
    <w:rsid w:val="00656D8B"/>
    <w:rsid w:val="00663C07"/>
    <w:rsid w:val="00666A8B"/>
    <w:rsid w:val="00670398"/>
    <w:rsid w:val="00670526"/>
    <w:rsid w:val="006708E4"/>
    <w:rsid w:val="0068050E"/>
    <w:rsid w:val="006821C2"/>
    <w:rsid w:val="00682324"/>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4406"/>
    <w:rsid w:val="00735DEF"/>
    <w:rsid w:val="00740ED4"/>
    <w:rsid w:val="00742049"/>
    <w:rsid w:val="00745A19"/>
    <w:rsid w:val="00750159"/>
    <w:rsid w:val="007539C9"/>
    <w:rsid w:val="007554C1"/>
    <w:rsid w:val="007556D3"/>
    <w:rsid w:val="0076059B"/>
    <w:rsid w:val="00760962"/>
    <w:rsid w:val="0076208B"/>
    <w:rsid w:val="00763BA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D067F"/>
    <w:rsid w:val="007D186E"/>
    <w:rsid w:val="007D527D"/>
    <w:rsid w:val="007D58F9"/>
    <w:rsid w:val="007D68DA"/>
    <w:rsid w:val="007E6648"/>
    <w:rsid w:val="007F7005"/>
    <w:rsid w:val="008008AE"/>
    <w:rsid w:val="0080164A"/>
    <w:rsid w:val="008032E8"/>
    <w:rsid w:val="008033A7"/>
    <w:rsid w:val="0081266F"/>
    <w:rsid w:val="00815DE9"/>
    <w:rsid w:val="00817AA5"/>
    <w:rsid w:val="00817BFE"/>
    <w:rsid w:val="008237E5"/>
    <w:rsid w:val="00826E00"/>
    <w:rsid w:val="008278AC"/>
    <w:rsid w:val="00833C45"/>
    <w:rsid w:val="00834A58"/>
    <w:rsid w:val="00836420"/>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B32FE"/>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F26FC"/>
    <w:rsid w:val="009F3CE1"/>
    <w:rsid w:val="009F7B02"/>
    <w:rsid w:val="00A02212"/>
    <w:rsid w:val="00A024FD"/>
    <w:rsid w:val="00A04877"/>
    <w:rsid w:val="00A04CA9"/>
    <w:rsid w:val="00A11454"/>
    <w:rsid w:val="00A13482"/>
    <w:rsid w:val="00A14403"/>
    <w:rsid w:val="00A23F4E"/>
    <w:rsid w:val="00A31EA4"/>
    <w:rsid w:val="00A328B2"/>
    <w:rsid w:val="00A36721"/>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4EC2"/>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7663"/>
    <w:rsid w:val="00D41D7D"/>
    <w:rsid w:val="00D43DF9"/>
    <w:rsid w:val="00D43EF2"/>
    <w:rsid w:val="00D5208F"/>
    <w:rsid w:val="00D533ED"/>
    <w:rsid w:val="00D535A2"/>
    <w:rsid w:val="00D539C9"/>
    <w:rsid w:val="00D53BBE"/>
    <w:rsid w:val="00D54013"/>
    <w:rsid w:val="00D65880"/>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A6FCB"/>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42B4A"/>
    <w:rsid w:val="00E44360"/>
    <w:rsid w:val="00E47DF7"/>
    <w:rsid w:val="00E503FF"/>
    <w:rsid w:val="00E51238"/>
    <w:rsid w:val="00E538B4"/>
    <w:rsid w:val="00E5463A"/>
    <w:rsid w:val="00E5600D"/>
    <w:rsid w:val="00E57FD1"/>
    <w:rsid w:val="00E600EA"/>
    <w:rsid w:val="00E60F00"/>
    <w:rsid w:val="00E62526"/>
    <w:rsid w:val="00E6760F"/>
    <w:rsid w:val="00E748F2"/>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6A01"/>
    <w:rsid w:val="00F47AB0"/>
    <w:rsid w:val="00F530D3"/>
    <w:rsid w:val="00F553E9"/>
    <w:rsid w:val="00F61B22"/>
    <w:rsid w:val="00F62297"/>
    <w:rsid w:val="00F653B7"/>
    <w:rsid w:val="00F65A04"/>
    <w:rsid w:val="00F7264D"/>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data.europa.eu/eli/reg/2025/2643/oj"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mwi.westpoint.edu/battlefield-drones-and-the-accelerating-autonomous-arms-race-in-ukraine/" TargetMode="External"/><Relationship Id="rId42" Type="http://schemas.openxmlformats.org/officeDocument/2006/relationships/hyperlink" Target="https://reamda.com/about/?utm_source=chatgpt.com"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0" Type="http://schemas.openxmlformats.org/officeDocument/2006/relationships/hyperlink" Target="https://www.gov.uk/government/news/british-army-experiments-with-dstl-study-on-urban-combat" TargetMode="External"/><Relationship Id="rId29" Type="http://schemas.openxmlformats.org/officeDocument/2006/relationships/hyperlink" Target="https://www.jstor.org/stable/10.7591/j.ctt1287fp3" TargetMode="External"/><Relationship Id="rId41" Type="http://schemas.openxmlformats.org/officeDocument/2006/relationships/hyperlink" Target="https://assets.publishing.service.gov.uk/media/68bea3fc223d92d088f01d69/Defence_Industrial_Strategy_2025_-_Making_Defence_an_Engine_for_Growth.pdf?utm_source=chatgpt.com"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assets.gov.ie/static/documents/report-of-the-commission-on-the-defence-forces.pdf" TargetMode="External"/><Relationship Id="rId37" Type="http://schemas.openxmlformats.org/officeDocument/2006/relationships/hyperlink" Target="https://www.nato.int/en/what-we-do/deterrence-and-defence/natos-role-in-defence-industry-production" TargetMode="External"/><Relationship Id="rId40" Type="http://schemas.openxmlformats.org/officeDocument/2006/relationships/hyperlink" Target="https://eda.europa.eu/docs/default-source/brochures/2025-eda_defencedata_web.pdf?utm_source=chatgpt.com"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slaviccenter.osu.edu/news/cheap-weapons-expensive-consequences-how-ukraine-rewriting-rules-warfare-dominance"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rusi.org/explore-our-research/publications/commentary/irelands-defence-deficit" TargetMode="External"/><Relationship Id="rId44" Type="http://schemas.openxmlformats.org/officeDocument/2006/relationships/hyperlink" Target="https://www.vraisimulation.com/about/history?utm_source=chatgpt.com"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www.jstor.org/stable/27372235" TargetMode="External"/><Relationship Id="rId35" Type="http://schemas.openxmlformats.org/officeDocument/2006/relationships/hyperlink" Target="https://smallwarsjournal.com/2026/06/17/how-the-united-states-is-learning-from-drone-warfare-in-ukraine/" TargetMode="External"/><Relationship Id="rId43" Type="http://schemas.openxmlformats.org/officeDocument/2006/relationships/hyperlink" Target="https://www.military.ie/en/members-area/social-media-links/df-podcast/season-2/s2ep8-reacher/?utm_source=chatgpt.com" TargetMode="External"/><Relationship Id="rId8" Type="http://schemas.openxmlformats.org/officeDocument/2006/relationships/hyperlink" Target="https://assets.gov.ie/static/documents/white-paper-on-defence-august-2015.pdf?utm_source=chatgpt.com"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forbes.com/sites/davidkirichenko/2025/09/04/how-ukrainian-soldiers-are-building-their-own-battle-robots/" TargetMode="External"/><Relationship Id="rId38" Type="http://schemas.openxmlformats.org/officeDocument/2006/relationships/hyperlink" Target="https://www.nato.int/en/about-us/official-texts-and-resources/official-texts/2024/07/10/nato-industrial-capacity-expansion-pl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3346</Words>
  <Characters>19078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34</cp:revision>
  <cp:lastPrinted>2026-07-21T13:01:00Z</cp:lastPrinted>
  <dcterms:created xsi:type="dcterms:W3CDTF">2026-07-21T21:14:00Z</dcterms:created>
  <dcterms:modified xsi:type="dcterms:W3CDTF">2026-07-21T22:03:00Z</dcterms:modified>
</cp:coreProperties>
</file>