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UxS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Javelin:FPV ratio actually hold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actually be?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What are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0203F9AF" w14:textId="42E91543"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sidR="00847D59">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sidR="004B73C3">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has to match that attacker platform-for-</w:t>
      </w:r>
      <w:r w:rsidR="006B36F7">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sidR="00B62BA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6D8E724F" w14:textId="444AD2A0" w:rsidR="00262708" w:rsidRDefault="00524254" w:rsidP="00262708">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A useful heuristic is</w:t>
      </w:r>
      <w:r w:rsidR="00262708" w:rsidRPr="00262708">
        <w:rPr>
          <w:rFonts w:asciiTheme="minorHAnsi" w:eastAsiaTheme="minorHAnsi" w:hAnsiTheme="minorHAnsi" w:cstheme="minorBidi"/>
          <w:color w:val="auto"/>
          <w:sz w:val="24"/>
          <w:szCs w:val="24"/>
        </w:rPr>
        <w:t xml:space="preserve"> a like-for-like price comparison</w:t>
      </w:r>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it holds only if both sides are quoted on the same basis. Ireland's Block F Javelin costs €197,727 per round, exclusive of VAT. A fibre-optic FPV one-way attack munition delivering a comparable mobility kill costs from €1,375 at ten kilometres to €3,673 at seventy, also exclusive of VAT. Divided like for like, one Javelin buys what between fifty-four and one hundred and forty-four drones cost</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the 1:54 to 1:144 ratio. </w:t>
      </w:r>
      <w:r w:rsidR="00A23F4E">
        <w:rPr>
          <w:rFonts w:asciiTheme="minorHAnsi" w:eastAsiaTheme="minorHAnsi" w:hAnsiTheme="minorHAnsi" w:cstheme="minorBidi"/>
          <w:color w:val="auto"/>
          <w:sz w:val="24"/>
          <w:szCs w:val="24"/>
        </w:rPr>
        <w:t>D</w:t>
      </w:r>
      <w:r w:rsidR="00262708" w:rsidRPr="00262708">
        <w:rPr>
          <w:rFonts w:asciiTheme="minorHAnsi" w:eastAsiaTheme="minorHAnsi" w:hAnsiTheme="minorHAnsi" w:cstheme="minorBidi"/>
          <w:color w:val="auto"/>
          <w:sz w:val="24"/>
          <w:szCs w:val="24"/>
        </w:rPr>
        <w:t>rones reliably immobilise armour rather than destroy it</w:t>
      </w:r>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several</w:t>
      </w:r>
      <w:r w:rsidR="00C9561E">
        <w:rPr>
          <w:rFonts w:asciiTheme="minorHAnsi" w:eastAsiaTheme="minorHAnsi" w:hAnsiTheme="minorHAnsi" w:cstheme="minorBidi"/>
          <w:color w:val="auto"/>
          <w:sz w:val="24"/>
          <w:szCs w:val="24"/>
        </w:rPr>
        <w:t xml:space="preserve"> (even 20+)</w:t>
      </w:r>
      <w:r w:rsidR="00262708" w:rsidRPr="00262708">
        <w:rPr>
          <w:rFonts w:asciiTheme="minorHAnsi" w:eastAsiaTheme="minorHAnsi" w:hAnsiTheme="minorHAnsi" w:cstheme="minorBidi"/>
          <w:color w:val="auto"/>
          <w:sz w:val="24"/>
          <w:szCs w:val="24"/>
        </w:rPr>
        <w:t xml:space="preserve"> may be needed per target. But the direction is unambiguous</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mass precision effect </w:t>
      </w:r>
      <w:r w:rsidR="0060740A">
        <w:rPr>
          <w:rFonts w:asciiTheme="minorHAnsi" w:eastAsiaTheme="minorHAnsi" w:hAnsiTheme="minorHAnsi" w:cstheme="minorBidi"/>
          <w:color w:val="auto"/>
          <w:sz w:val="24"/>
          <w:szCs w:val="24"/>
        </w:rPr>
        <w:t>is no longer the purview</w:t>
      </w:r>
      <w:r w:rsidR="00262708" w:rsidRPr="00262708">
        <w:rPr>
          <w:rFonts w:asciiTheme="minorHAnsi" w:eastAsiaTheme="minorHAnsi" w:hAnsiTheme="minorHAnsi" w:cstheme="minorBidi"/>
          <w:color w:val="auto"/>
          <w:sz w:val="24"/>
          <w:szCs w:val="24"/>
        </w:rPr>
        <w:t xml:space="preserve"> of the well-funded alone.</w:t>
      </w:r>
    </w:p>
    <w:p w14:paraId="02C36654" w14:textId="1E1CF6A5" w:rsidR="00E05D57" w:rsidRPr="00E05D57" w:rsidRDefault="00E05D57" w:rsidP="00E05D57">
      <w:r w:rsidRPr="00E05D57">
        <w:rPr>
          <w:noProof/>
        </w:rPr>
        <w:drawing>
          <wp:inline distT="0" distB="0" distL="0" distR="0" wp14:anchorId="582ED023" wp14:editId="1CF5522C">
            <wp:extent cx="5731510" cy="1751965"/>
            <wp:effectExtent l="0" t="0" r="2540" b="635"/>
            <wp:docPr id="74948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85391" name=""/>
                    <pic:cNvPicPr/>
                  </pic:nvPicPr>
                  <pic:blipFill>
                    <a:blip r:embed="rId8"/>
                    <a:stretch>
                      <a:fillRect/>
                    </a:stretch>
                  </pic:blipFill>
                  <pic:spPr>
                    <a:xfrm>
                      <a:off x="0" y="0"/>
                      <a:ext cx="5731510" cy="1751965"/>
                    </a:xfrm>
                    <a:prstGeom prst="rect">
                      <a:avLst/>
                    </a:prstGeom>
                  </pic:spPr>
                </pic:pic>
              </a:graphicData>
            </a:graphic>
          </wp:inline>
        </w:drawing>
      </w:r>
    </w:p>
    <w:p w14:paraId="0CC42256" w14:textId="7F0BD9E7"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5513359D" w14:textId="54146F22" w:rsidR="000773AE" w:rsidRDefault="000773AE" w:rsidP="00262708">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sidR="00232127">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needs only to impose enough delay, attrition and uncertainty that the operation's price climbs past what the aggressor will pay</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7268C226" w14:textId="6DFB19A1"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sidR="00E503FF">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built into a force actually organised,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5E035204" w14:textId="46E9F986" w:rsidR="00B46909" w:rsidRDefault="00262708" w:rsidP="00065A3F">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conflict. Failure to internalise the implications of UxS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6A3ED285" w14:textId="4EEF3098" w:rsidR="008A10CC" w:rsidRDefault="008A10CC" w:rsidP="00262708">
      <w:pPr>
        <w:pStyle w:val="Heading2"/>
        <w:rPr>
          <w:rFonts w:asciiTheme="minorHAnsi" w:eastAsiaTheme="minorHAnsi" w:hAnsiTheme="minorHAnsi" w:cstheme="minorBidi"/>
          <w:color w:val="auto"/>
          <w:sz w:val="24"/>
          <w:szCs w:val="24"/>
        </w:rPr>
      </w:pPr>
      <w:r w:rsidRPr="008A10CC">
        <w:rPr>
          <w:rFonts w:asciiTheme="minorHAnsi" w:eastAsiaTheme="minorHAnsi" w:hAnsiTheme="minorHAnsi" w:cstheme="minorBidi"/>
          <w:color w:val="auto"/>
          <w:sz w:val="24"/>
          <w:szCs w:val="24"/>
        </w:rPr>
        <w:t xml:space="preserve">While capability is sometimes viewed as equipment, it is best considered as the synthesis which DOTMLPF-I describes – doctrine, organisation, training, materiel, leadership, personnel, facilities and interoperability – and Ireland's nine-soldier light infantry section fails against nearly every line. Its doctrine remains that of a foot-mobile light infantry section, never updated to the reality that the vehicles carrying it seat eight. </w:t>
      </w:r>
      <w:r w:rsidR="00176EA6" w:rsidRPr="00176EA6">
        <w:rPr>
          <w:rFonts w:asciiTheme="minorHAnsi" w:eastAsiaTheme="minorHAnsi" w:hAnsiTheme="minorHAnsi" w:cstheme="minorBidi"/>
          <w:color w:val="auto"/>
          <w:sz w:val="24"/>
          <w:szCs w:val="24"/>
        </w:rPr>
        <w:t xml:space="preserve">Its organisation </w:t>
      </w:r>
      <w:r w:rsidR="001C71F6">
        <w:rPr>
          <w:rFonts w:asciiTheme="minorHAnsi" w:eastAsiaTheme="minorHAnsi" w:hAnsiTheme="minorHAnsi" w:cstheme="minorBidi"/>
          <w:color w:val="auto"/>
          <w:sz w:val="24"/>
          <w:szCs w:val="24"/>
        </w:rPr>
        <w:t>may</w:t>
      </w:r>
      <w:r w:rsidR="00176EA6" w:rsidRPr="00176EA6">
        <w:rPr>
          <w:rFonts w:asciiTheme="minorHAnsi" w:eastAsiaTheme="minorHAnsi" w:hAnsiTheme="minorHAnsi" w:cstheme="minorBidi"/>
          <w:color w:val="auto"/>
          <w:sz w:val="24"/>
          <w:szCs w:val="24"/>
        </w:rPr>
        <w:t xml:space="preserve"> now be</w:t>
      </w:r>
      <w:r w:rsidR="001C71F6">
        <w:rPr>
          <w:rFonts w:asciiTheme="minorHAnsi" w:eastAsiaTheme="minorHAnsi" w:hAnsiTheme="minorHAnsi" w:cstheme="minorBidi"/>
          <w:color w:val="auto"/>
          <w:sz w:val="24"/>
          <w:szCs w:val="24"/>
        </w:rPr>
        <w:t xml:space="preserve"> </w:t>
      </w:r>
      <w:r w:rsidR="00176EA6" w:rsidRPr="00176EA6">
        <w:rPr>
          <w:rFonts w:asciiTheme="minorHAnsi" w:eastAsiaTheme="minorHAnsi" w:hAnsiTheme="minorHAnsi" w:cstheme="minorBidi"/>
          <w:color w:val="auto"/>
          <w:sz w:val="24"/>
          <w:szCs w:val="24"/>
        </w:rPr>
        <w:t>rebuilt around vehicle capacity</w:t>
      </w:r>
      <w:r w:rsidR="003E5AA4">
        <w:rPr>
          <w:rStyle w:val="FootnoteReference"/>
          <w:rFonts w:asciiTheme="minorHAnsi" w:eastAsiaTheme="minorHAnsi" w:hAnsiTheme="minorHAnsi" w:cstheme="minorBidi"/>
          <w:color w:val="auto"/>
          <w:sz w:val="24"/>
          <w:szCs w:val="24"/>
        </w:rPr>
        <w:footnoteReference w:id="5"/>
      </w:r>
      <w:r w:rsidR="00176EA6" w:rsidRPr="00176EA6">
        <w:rPr>
          <w:rFonts w:asciiTheme="minorHAnsi" w:eastAsiaTheme="minorHAnsi" w:hAnsiTheme="minorHAnsi" w:cstheme="minorBidi"/>
          <w:color w:val="auto"/>
          <w:sz w:val="24"/>
          <w:szCs w:val="24"/>
        </w:rPr>
        <w:t xml:space="preserve">, </w:t>
      </w:r>
      <w:r w:rsidR="003E5AA4">
        <w:rPr>
          <w:rFonts w:asciiTheme="minorHAnsi" w:eastAsiaTheme="minorHAnsi" w:hAnsiTheme="minorHAnsi" w:cstheme="minorBidi"/>
          <w:color w:val="auto"/>
          <w:sz w:val="24"/>
          <w:szCs w:val="24"/>
        </w:rPr>
        <w:t xml:space="preserve">perhaps </w:t>
      </w:r>
      <w:r w:rsidR="00176EA6" w:rsidRPr="00176EA6">
        <w:rPr>
          <w:rFonts w:asciiTheme="minorHAnsi" w:eastAsiaTheme="minorHAnsi" w:hAnsiTheme="minorHAnsi" w:cstheme="minorBidi"/>
          <w:color w:val="auto"/>
          <w:sz w:val="24"/>
          <w:szCs w:val="24"/>
        </w:rPr>
        <w:t>on the assumption that one section must fit one carrier. This is a constraint which belongs to mechanised and armoured formations – and binds even them less rigidly than it is applied</w:t>
      </w:r>
      <w:r w:rsidR="003A2DA1">
        <w:rPr>
          <w:rFonts w:asciiTheme="minorHAnsi" w:eastAsiaTheme="minorHAnsi" w:hAnsiTheme="minorHAnsi" w:cstheme="minorBidi"/>
          <w:color w:val="auto"/>
          <w:sz w:val="24"/>
          <w:szCs w:val="24"/>
        </w:rPr>
        <w:t>. I</w:t>
      </w:r>
      <w:r w:rsidR="00176EA6" w:rsidRPr="00176EA6">
        <w:rPr>
          <w:rFonts w:asciiTheme="minorHAnsi" w:eastAsiaTheme="minorHAnsi" w:hAnsiTheme="minorHAnsi" w:cstheme="minorBidi"/>
          <w:color w:val="auto"/>
          <w:sz w:val="24"/>
          <w:szCs w:val="24"/>
        </w:rPr>
        <w:t xml:space="preserve">t does not bind light infantry, which moves on foot or </w:t>
      </w:r>
      <w:r w:rsidR="001A3844">
        <w:rPr>
          <w:rFonts w:asciiTheme="minorHAnsi" w:eastAsiaTheme="minorHAnsi" w:hAnsiTheme="minorHAnsi" w:cstheme="minorBidi"/>
          <w:color w:val="auto"/>
          <w:sz w:val="24"/>
          <w:szCs w:val="24"/>
        </w:rPr>
        <w:t>in soft-skin vehicles – increasingly ATVs such as</w:t>
      </w:r>
      <w:r w:rsidR="006C1751">
        <w:rPr>
          <w:rFonts w:asciiTheme="minorHAnsi" w:eastAsiaTheme="minorHAnsi" w:hAnsiTheme="minorHAnsi" w:cstheme="minorBidi"/>
          <w:color w:val="auto"/>
          <w:sz w:val="24"/>
          <w:szCs w:val="24"/>
        </w:rPr>
        <w:t xml:space="preserve"> the ULTV</w:t>
      </w:r>
      <w:r w:rsidR="002F0568">
        <w:rPr>
          <w:rStyle w:val="FootnoteReference"/>
          <w:rFonts w:asciiTheme="minorHAnsi" w:eastAsiaTheme="minorHAnsi" w:hAnsiTheme="minorHAnsi" w:cstheme="minorBidi"/>
          <w:color w:val="auto"/>
          <w:sz w:val="24"/>
          <w:szCs w:val="24"/>
        </w:rPr>
        <w:footnoteReference w:id="6"/>
      </w:r>
      <w:r w:rsidR="00176EA6" w:rsidRPr="00176EA6">
        <w:rPr>
          <w:rFonts w:asciiTheme="minorHAnsi" w:eastAsiaTheme="minorHAnsi" w:hAnsiTheme="minorHAnsi" w:cstheme="minorBidi"/>
          <w:color w:val="auto"/>
          <w:sz w:val="24"/>
          <w:szCs w:val="24"/>
        </w:rPr>
        <w:t>.</w:t>
      </w:r>
      <w:r w:rsidR="00176EA6">
        <w:rPr>
          <w:rFonts w:asciiTheme="minorHAnsi" w:eastAsiaTheme="minorHAnsi" w:hAnsiTheme="minorHAnsi" w:cstheme="minorBidi"/>
          <w:color w:val="auto"/>
          <w:sz w:val="24"/>
          <w:szCs w:val="24"/>
        </w:rPr>
        <w:t xml:space="preserve"> </w:t>
      </w:r>
      <w:r w:rsidRPr="008A10CC">
        <w:rPr>
          <w:rFonts w:asciiTheme="minorHAnsi" w:eastAsiaTheme="minorHAnsi" w:hAnsiTheme="minorHAnsi" w:cstheme="minorBidi"/>
          <w:color w:val="auto"/>
          <w:sz w:val="24"/>
          <w:szCs w:val="24"/>
        </w:rPr>
        <w:t>Its training still rehearses the conventional drills of the last century and the peace-support tasks of the decades since, while neglecting cognitive burden, dispersion and the exposure of a dispersed section that can be found and struck on a checkpoint or a convoy as readily as in battle, without the higher-echelon cover it is built to assume. Its materiel reflects a Cold War mentality. Its leadership structure is not configured for mission command. And it fields too few soldiers to carry the cognitive load, operate the new systems and remain cohesive once dispersed. Adding drones to this section changes none of it.</w:t>
      </w:r>
    </w:p>
    <w:p w14:paraId="6928EFC3" w14:textId="77777777" w:rsidR="001D0016" w:rsidRPr="001D0016" w:rsidRDefault="001D0016" w:rsidP="001D0016">
      <w:r w:rsidRPr="001D0016">
        <w:rPr>
          <w:highlight w:val="yellow"/>
        </w:rPr>
        <w:t xml:space="preserve">OB: I will reference TM 201 as proof that doctrine hasn’t changed. However, I think I want to cite paragraph 0202 “The fundamental role of the infantry man/woman has </w:t>
      </w:r>
      <w:r w:rsidRPr="001D0016">
        <w:rPr>
          <w:highlight w:val="yellow"/>
        </w:rPr>
        <w:lastRenderedPageBreak/>
        <w:t>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t>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obsolete, and discovering it under fire.</w:t>
      </w:r>
    </w:p>
    <w:p w14:paraId="4DF60F31" w14:textId="09152DFC" w:rsidR="00CB2FEB" w:rsidRDefault="00CB2FEB" w:rsidP="005E2FA4">
      <w:pPr>
        <w:pStyle w:val="Heading2"/>
      </w:pPr>
      <w:r>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lastRenderedPageBreak/>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why cheap UxS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lastRenderedPageBreak/>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8CDCD" w14:textId="77777777" w:rsidR="003F68E3" w:rsidRDefault="003F68E3" w:rsidP="008F41DA">
      <w:pPr>
        <w:spacing w:after="0" w:line="240" w:lineRule="auto"/>
      </w:pPr>
      <w:r>
        <w:separator/>
      </w:r>
    </w:p>
  </w:endnote>
  <w:endnote w:type="continuationSeparator" w:id="0">
    <w:p w14:paraId="07DEF2FC" w14:textId="77777777" w:rsidR="003F68E3" w:rsidRDefault="003F68E3"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CE17C" w14:textId="77777777" w:rsidR="003F68E3" w:rsidRDefault="003F68E3" w:rsidP="008F41DA">
      <w:pPr>
        <w:spacing w:after="0" w:line="240" w:lineRule="auto"/>
      </w:pPr>
      <w:r>
        <w:separator/>
      </w:r>
    </w:p>
  </w:footnote>
  <w:footnote w:type="continuationSeparator" w:id="0">
    <w:p w14:paraId="19C32022" w14:textId="77777777" w:rsidR="003F68E3" w:rsidRDefault="003F68E3"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Statsministeriet (2026). Fællesudtalelse om Grønland [online]. Available at: https://s</w:t>
      </w:r>
    </w:p>
    <w:p w14:paraId="25BA7FC7" w14:textId="062465BD" w:rsidR="0022693E" w:rsidRDefault="0022693E" w:rsidP="0022693E">
      <w:pPr>
        <w:pStyle w:val="FootnoteText"/>
      </w:pPr>
      <w:r>
        <w:t>tm.dk/media/qo2dyzxy/erklaering-gl.pdf (accessed 1 April 2026).</w:t>
      </w:r>
    </w:p>
  </w:footnote>
  <w:footnote w:id="5">
    <w:p w14:paraId="7BFC2B05" w14:textId="134C422B" w:rsidR="003E5AA4" w:rsidRDefault="003E5AA4">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 w:tgtFrame="_new" w:history="1">
        <w:r w:rsidRPr="003E5AA4">
          <w:rPr>
            <w:rStyle w:val="Hyperlink"/>
          </w:rPr>
          <w:t>https://www.thejournal.ie/new-apc-vehicles-maybe-coming-from-france-6623112-Feb2025/</w:t>
        </w:r>
      </w:hyperlink>
      <w:r w:rsidRPr="003E5AA4">
        <w:t xml:space="preserve"> (accessed 24 February 2026).</w:t>
      </w:r>
    </w:p>
  </w:footnote>
  <w:footnote w:id="6">
    <w:p w14:paraId="08953C77" w14:textId="77777777" w:rsidR="002F0568" w:rsidRPr="002F0568" w:rsidRDefault="002F0568" w:rsidP="002F0568">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2" w:history="1">
        <w:r w:rsidRPr="002F0568">
          <w:rPr>
            <w:rStyle w:val="Hyperlink"/>
          </w:rPr>
          <w:t>https://www.mca-marines.org/wp-content/uploads/23-The-Ultra-Light.pdf</w:t>
        </w:r>
      </w:hyperlink>
      <w:r w:rsidRPr="002F0568">
        <w:t xml:space="preserve"> (accessed 21 June 2026).</w:t>
      </w:r>
    </w:p>
    <w:p w14:paraId="57A0E508" w14:textId="603D66D7" w:rsidR="002F0568" w:rsidRDefault="002F0568">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B39F2"/>
    <w:rsid w:val="000C389C"/>
    <w:rsid w:val="000E53A4"/>
    <w:rsid w:val="00143911"/>
    <w:rsid w:val="00172310"/>
    <w:rsid w:val="00176EA6"/>
    <w:rsid w:val="001779D4"/>
    <w:rsid w:val="001800EF"/>
    <w:rsid w:val="001822CC"/>
    <w:rsid w:val="00182D41"/>
    <w:rsid w:val="001A3844"/>
    <w:rsid w:val="001B6642"/>
    <w:rsid w:val="001C6BAB"/>
    <w:rsid w:val="001C71F6"/>
    <w:rsid w:val="001D0016"/>
    <w:rsid w:val="0022693E"/>
    <w:rsid w:val="00230C29"/>
    <w:rsid w:val="00232127"/>
    <w:rsid w:val="00262708"/>
    <w:rsid w:val="002822C2"/>
    <w:rsid w:val="00292EE9"/>
    <w:rsid w:val="002D603F"/>
    <w:rsid w:val="002E0EF9"/>
    <w:rsid w:val="002F0568"/>
    <w:rsid w:val="002F4644"/>
    <w:rsid w:val="0036390B"/>
    <w:rsid w:val="00373773"/>
    <w:rsid w:val="00392A7C"/>
    <w:rsid w:val="003A2DA1"/>
    <w:rsid w:val="003E4F2A"/>
    <w:rsid w:val="003E5AA4"/>
    <w:rsid w:val="003F68E3"/>
    <w:rsid w:val="004315E8"/>
    <w:rsid w:val="00431645"/>
    <w:rsid w:val="00443FFE"/>
    <w:rsid w:val="00456E3A"/>
    <w:rsid w:val="0047228C"/>
    <w:rsid w:val="004738DA"/>
    <w:rsid w:val="004910FE"/>
    <w:rsid w:val="004A13E6"/>
    <w:rsid w:val="004A36F5"/>
    <w:rsid w:val="004B73C3"/>
    <w:rsid w:val="004F0B7F"/>
    <w:rsid w:val="005032B0"/>
    <w:rsid w:val="00524254"/>
    <w:rsid w:val="005532E2"/>
    <w:rsid w:val="00572323"/>
    <w:rsid w:val="005859B9"/>
    <w:rsid w:val="005B47FC"/>
    <w:rsid w:val="005C4B5D"/>
    <w:rsid w:val="005E2FA4"/>
    <w:rsid w:val="00602AC4"/>
    <w:rsid w:val="0060431C"/>
    <w:rsid w:val="0060740A"/>
    <w:rsid w:val="00633BB8"/>
    <w:rsid w:val="006376AF"/>
    <w:rsid w:val="00654E5F"/>
    <w:rsid w:val="00687BB9"/>
    <w:rsid w:val="006B36F7"/>
    <w:rsid w:val="006C01F9"/>
    <w:rsid w:val="006C1751"/>
    <w:rsid w:val="006D3152"/>
    <w:rsid w:val="006E0485"/>
    <w:rsid w:val="007114F8"/>
    <w:rsid w:val="0071161B"/>
    <w:rsid w:val="00717ED2"/>
    <w:rsid w:val="00734406"/>
    <w:rsid w:val="007539C9"/>
    <w:rsid w:val="0076059B"/>
    <w:rsid w:val="0077704F"/>
    <w:rsid w:val="007D58F9"/>
    <w:rsid w:val="007F7005"/>
    <w:rsid w:val="008032E8"/>
    <w:rsid w:val="00847D59"/>
    <w:rsid w:val="00880436"/>
    <w:rsid w:val="008906B6"/>
    <w:rsid w:val="008A10CC"/>
    <w:rsid w:val="008A2BAF"/>
    <w:rsid w:val="008D1071"/>
    <w:rsid w:val="008E628C"/>
    <w:rsid w:val="008F1E30"/>
    <w:rsid w:val="008F41DA"/>
    <w:rsid w:val="009145A4"/>
    <w:rsid w:val="00917666"/>
    <w:rsid w:val="00925E2F"/>
    <w:rsid w:val="009305B9"/>
    <w:rsid w:val="00971FFB"/>
    <w:rsid w:val="009A2241"/>
    <w:rsid w:val="009A4725"/>
    <w:rsid w:val="009D4618"/>
    <w:rsid w:val="009E246E"/>
    <w:rsid w:val="009E28A5"/>
    <w:rsid w:val="00A04CA9"/>
    <w:rsid w:val="00A23F4E"/>
    <w:rsid w:val="00A432B4"/>
    <w:rsid w:val="00A71BE2"/>
    <w:rsid w:val="00A82B6C"/>
    <w:rsid w:val="00AC6223"/>
    <w:rsid w:val="00AC7624"/>
    <w:rsid w:val="00AF0C93"/>
    <w:rsid w:val="00B05986"/>
    <w:rsid w:val="00B46909"/>
    <w:rsid w:val="00B62BAA"/>
    <w:rsid w:val="00B8094F"/>
    <w:rsid w:val="00B93E1B"/>
    <w:rsid w:val="00B94448"/>
    <w:rsid w:val="00BB3343"/>
    <w:rsid w:val="00BC252E"/>
    <w:rsid w:val="00BC4646"/>
    <w:rsid w:val="00BE2246"/>
    <w:rsid w:val="00BF4B6D"/>
    <w:rsid w:val="00C13EBD"/>
    <w:rsid w:val="00C40892"/>
    <w:rsid w:val="00C446BB"/>
    <w:rsid w:val="00C57783"/>
    <w:rsid w:val="00C74C84"/>
    <w:rsid w:val="00C82EE9"/>
    <w:rsid w:val="00C9561E"/>
    <w:rsid w:val="00CA53E2"/>
    <w:rsid w:val="00CB1328"/>
    <w:rsid w:val="00CB2FEB"/>
    <w:rsid w:val="00CD6625"/>
    <w:rsid w:val="00CE2CBB"/>
    <w:rsid w:val="00D02D50"/>
    <w:rsid w:val="00D0517E"/>
    <w:rsid w:val="00D31202"/>
    <w:rsid w:val="00D33A77"/>
    <w:rsid w:val="00D43EF2"/>
    <w:rsid w:val="00D533ED"/>
    <w:rsid w:val="00D72570"/>
    <w:rsid w:val="00DB5050"/>
    <w:rsid w:val="00DE1E55"/>
    <w:rsid w:val="00DE701E"/>
    <w:rsid w:val="00DF7EB0"/>
    <w:rsid w:val="00E05D57"/>
    <w:rsid w:val="00E27349"/>
    <w:rsid w:val="00E44360"/>
    <w:rsid w:val="00E503FF"/>
    <w:rsid w:val="00E600EA"/>
    <w:rsid w:val="00E60F00"/>
    <w:rsid w:val="00E80E03"/>
    <w:rsid w:val="00E851DC"/>
    <w:rsid w:val="00EC66DF"/>
    <w:rsid w:val="00ED4604"/>
    <w:rsid w:val="00F11EA1"/>
    <w:rsid w:val="00F318C3"/>
    <w:rsid w:val="00F47AB0"/>
    <w:rsid w:val="00F979A6"/>
    <w:rsid w:val="00FA51DA"/>
    <w:rsid w:val="00FA5A9C"/>
    <w:rsid w:val="00FB05F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mca-marines.org/wp-content/uploads/23-The-Ultra-Light.pdf" TargetMode="External"/><Relationship Id="rId1" Type="http://schemas.openxmlformats.org/officeDocument/2006/relationships/hyperlink" Target="https://www.thejournal.ie/new-apc-vehicles-maybe-coming-from-france-6623112-Feb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2330</Words>
  <Characters>13284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58</cp:revision>
  <dcterms:created xsi:type="dcterms:W3CDTF">2026-06-21T07:55:00Z</dcterms:created>
  <dcterms:modified xsi:type="dcterms:W3CDTF">2026-06-21T09:55:00Z</dcterms:modified>
</cp:coreProperties>
</file>