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Default="00D72570" w:rsidP="00D72570">
      <w:pPr>
        <w:pStyle w:val="Heading2"/>
      </w:pPr>
      <w:r>
        <w:t>Abstract</w:t>
      </w:r>
      <w:r w:rsidR="00CB1328">
        <w:t xml:space="preserve"> (OB: I changed it because I only want to draw from chapter 3 in the thesis)</w:t>
      </w:r>
    </w:p>
    <w:p w14:paraId="31AFE4D7" w14:textId="6AA97F1F" w:rsidR="00AF0C93" w:rsidRPr="00AF0C93"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 xml:space="preserve">Pervasive uncrewed systems have altered the cost structure of small-state deterrence. Low-cost </w:t>
      </w:r>
      <w:proofErr w:type="spellStart"/>
      <w:r w:rsidRPr="00AF0C93">
        <w:rPr>
          <w:rFonts w:asciiTheme="minorHAnsi" w:eastAsiaTheme="minorHAnsi" w:hAnsiTheme="minorHAnsi" w:cstheme="minorBidi"/>
          <w:color w:val="auto"/>
          <w:sz w:val="24"/>
          <w:szCs w:val="24"/>
        </w:rPr>
        <w:t>UxS</w:t>
      </w:r>
      <w:proofErr w:type="spellEnd"/>
      <w:r w:rsidRPr="00AF0C93">
        <w:rPr>
          <w:rFonts w:asciiTheme="minorHAnsi" w:eastAsiaTheme="minorHAnsi" w:hAnsiTheme="minorHAnsi" w:cstheme="minorBidi"/>
          <w:color w:val="auto"/>
          <w:sz w:val="24"/>
          <w:szCs w:val="24"/>
        </w:rPr>
        <w:t xml:space="preserve">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an island state that has consistently declined to fund conventional mass</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this reframes a long-standing assumption: that credible territorial defence is financially unreachable. </w:t>
      </w:r>
    </w:p>
    <w:p w14:paraId="34E3ED01" w14:textId="43F35490" w:rsidR="00917666"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The article argues that capability becomes deterrence only when four conditions hold together: it must be politically owned, credibly fielded, institutionally sustained and clearly communicated. It develops the first two</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the political ownership Ireland's policy void withholds</w:t>
      </w:r>
      <w:r w:rsidR="00262708">
        <w:rPr>
          <w:rFonts w:asciiTheme="minorHAnsi" w:eastAsiaTheme="minorHAnsi" w:hAnsiTheme="minorHAnsi" w:cstheme="minorBidi"/>
          <w:color w:val="auto"/>
          <w:sz w:val="24"/>
          <w:szCs w:val="24"/>
        </w:rPr>
        <w:t xml:space="preserve"> and</w:t>
      </w:r>
      <w:r w:rsidRPr="00AF0C93">
        <w:rPr>
          <w:rFonts w:asciiTheme="minorHAnsi" w:eastAsiaTheme="minorHAnsi" w:hAnsiTheme="minorHAnsi" w:cstheme="minorBidi"/>
          <w:color w:val="auto"/>
          <w:sz w:val="24"/>
          <w:szCs w:val="24"/>
        </w:rPr>
        <w:t xml:space="preserve"> the force redesign credible fielding demands at section level, where organic ISR, CUAS and IEDD turn the section into a micro-combined-arms unit. </w:t>
      </w:r>
    </w:p>
    <w:p w14:paraId="166316EB" w14:textId="40411996" w:rsidR="00AF0C93" w:rsidRDefault="00AF0C93" w:rsidP="00AF0C93">
      <w:pPr>
        <w:pStyle w:val="Heading2"/>
        <w:rPr>
          <w:rFonts w:asciiTheme="minorHAnsi" w:eastAsiaTheme="minorHAnsi" w:hAnsiTheme="minorHAnsi" w:cstheme="minorBidi"/>
          <w:color w:val="auto"/>
          <w:sz w:val="24"/>
          <w:szCs w:val="24"/>
        </w:rPr>
      </w:pPr>
      <w:r w:rsidRPr="00A04CA9">
        <w:rPr>
          <w:rFonts w:asciiTheme="minorHAnsi" w:eastAsiaTheme="minorHAnsi" w:hAnsiTheme="minorHAnsi" w:cstheme="minorBidi"/>
          <w:color w:val="auto"/>
          <w:sz w:val="24"/>
          <w:szCs w:val="24"/>
        </w:rPr>
        <w:t>These adaptations are feasible within Ireland's existing professional force structure, but they demand deliberate choices about doctrine, mission command and training realism</w:t>
      </w:r>
      <w:r w:rsidR="00262708">
        <w:rPr>
          <w:rFonts w:asciiTheme="minorHAnsi" w:eastAsiaTheme="minorHAnsi" w:hAnsiTheme="minorHAnsi" w:cstheme="minorBidi"/>
          <w:color w:val="auto"/>
          <w:sz w:val="24"/>
          <w:szCs w:val="24"/>
        </w:rPr>
        <w:t xml:space="preserve"> and</w:t>
      </w:r>
      <w:r w:rsidRPr="00A04CA9">
        <w:rPr>
          <w:rFonts w:asciiTheme="minorHAnsi" w:eastAsiaTheme="minorHAnsi" w:hAnsiTheme="minorHAnsi" w:cstheme="minorBidi"/>
          <w:color w:val="auto"/>
          <w:sz w:val="24"/>
          <w:szCs w:val="24"/>
        </w:rPr>
        <w:t xml:space="preserve"> they expose the acceptable limits of a drone-centric posture. The article then establishes institutional sustainment and clear communication as the conditions on which the posture's resilience</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and its compatibility with Irish neutrality</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A04CA9" w:rsidRDefault="00A04CA9" w:rsidP="00A04CA9">
      <w:r w:rsidRPr="00A04CA9">
        <w:rPr>
          <w:highlight w:val="yellow"/>
        </w:rPr>
        <w:t>OB: the abstract is only draft… let’s see where your stuff brings us. It would be best if it jumps from mine.. I’ve had AI do a draft based on my ideas. YOU ARE FREE TO GO WHERE YOU WANT!</w:t>
      </w:r>
    </w:p>
    <w:p w14:paraId="77B06FF6" w14:textId="77777777" w:rsidR="000B39F2" w:rsidRDefault="000B39F2">
      <w:pPr>
        <w:rPr>
          <w:rFonts w:asciiTheme="majorHAnsi" w:eastAsiaTheme="majorEastAsia" w:hAnsiTheme="majorHAnsi" w:cstheme="majorBidi"/>
          <w:color w:val="0F4761" w:themeColor="accent1" w:themeShade="BF"/>
          <w:sz w:val="32"/>
          <w:szCs w:val="32"/>
        </w:rPr>
      </w:pPr>
      <w:r>
        <w:br w:type="page"/>
      </w:r>
    </w:p>
    <w:p w14:paraId="22082CE7" w14:textId="77777777" w:rsidR="00A83B70" w:rsidRDefault="00A83B70" w:rsidP="00A83B70">
      <w:pPr>
        <w:pStyle w:val="Heading2"/>
      </w:pPr>
      <w:r>
        <w:lastRenderedPageBreak/>
        <w:t>ADAM 1960 WORDS</w:t>
      </w:r>
    </w:p>
    <w:p w14:paraId="2EAF5C02" w14:textId="77777777" w:rsidR="00A83B70" w:rsidRDefault="00A83B70" w:rsidP="00A83B70">
      <w:pPr>
        <w:pStyle w:val="Heading2"/>
        <w:rPr>
          <w:rFonts w:asciiTheme="minorHAnsi" w:eastAsiaTheme="minorHAnsi" w:hAnsiTheme="minorHAnsi" w:cstheme="minorBidi"/>
          <w:color w:val="auto"/>
          <w:sz w:val="24"/>
          <w:szCs w:val="24"/>
        </w:rPr>
      </w:pPr>
      <w:r w:rsidRPr="004C3B35">
        <w:rPr>
          <w:rFonts w:asciiTheme="minorHAnsi" w:eastAsiaTheme="minorHAnsi" w:hAnsiTheme="minorHAnsi" w:cstheme="minorBidi"/>
          <w:color w:val="auto"/>
          <w:sz w:val="24"/>
          <w:szCs w:val="24"/>
        </w:rPr>
        <w:t>Land warfare now turns on exposure: who is observed, when and how fast that observation becomes fire</w:t>
      </w:r>
      <w:r>
        <w:rPr>
          <w:rFonts w:asciiTheme="minorHAnsi" w:eastAsiaTheme="minorHAnsi" w:hAnsiTheme="minorHAnsi" w:cstheme="minorBidi"/>
          <w:color w:val="auto"/>
          <w:sz w:val="24"/>
          <w:szCs w:val="24"/>
        </w:rPr>
        <w:t>.</w:t>
      </w:r>
      <w:r>
        <w:rPr>
          <w:rStyle w:val="EndnoteReference"/>
          <w:rFonts w:asciiTheme="minorHAnsi" w:eastAsiaTheme="minorHAnsi" w:hAnsiTheme="minorHAnsi" w:cstheme="minorBidi"/>
          <w:color w:val="auto"/>
          <w:sz w:val="24"/>
          <w:szCs w:val="24"/>
        </w:rPr>
        <w:endnoteReference w:id="1"/>
      </w:r>
      <w:r w:rsidRPr="004C3B35">
        <w:rPr>
          <w:rFonts w:asciiTheme="minorHAnsi" w:eastAsiaTheme="minorHAnsi" w:hAnsiTheme="minorHAnsi" w:cstheme="minorBidi"/>
          <w:color w:val="auto"/>
          <w:sz w:val="24"/>
          <w:szCs w:val="24"/>
        </w:rPr>
        <w:t xml:space="preserve"> Cheap sensors and democratised precision strike have collapsed the interval between being seen and being hit, changing what movement costs</w:t>
      </w:r>
      <w:r>
        <w:rPr>
          <w:rFonts w:asciiTheme="minorHAnsi" w:eastAsiaTheme="minorHAnsi" w:hAnsiTheme="minorHAnsi" w:cstheme="minorBidi"/>
          <w:color w:val="auto"/>
          <w:sz w:val="24"/>
          <w:szCs w:val="24"/>
        </w:rPr>
        <w:t>.</w:t>
      </w:r>
      <w:r>
        <w:rPr>
          <w:rStyle w:val="EndnoteReference"/>
          <w:rFonts w:asciiTheme="minorHAnsi" w:eastAsiaTheme="minorHAnsi" w:hAnsiTheme="minorHAnsi" w:cstheme="minorBidi"/>
          <w:color w:val="auto"/>
          <w:sz w:val="24"/>
          <w:szCs w:val="24"/>
        </w:rPr>
        <w:endnoteReference w:id="2"/>
      </w:r>
      <w:r w:rsidRPr="004C3B35">
        <w:rPr>
          <w:rFonts w:asciiTheme="minorHAnsi" w:eastAsiaTheme="minorHAnsi" w:hAnsiTheme="minorHAnsi" w:cstheme="minorBidi"/>
          <w:color w:val="auto"/>
          <w:sz w:val="24"/>
          <w:szCs w:val="24"/>
        </w:rPr>
        <w:t xml:space="preserve"> </w:t>
      </w:r>
      <w:r w:rsidRPr="00D65BB3">
        <w:rPr>
          <w:rFonts w:asciiTheme="minorHAnsi" w:eastAsiaTheme="minorHAnsi" w:hAnsiTheme="minorHAnsi" w:cstheme="minorBidi"/>
          <w:color w:val="auto"/>
          <w:sz w:val="24"/>
          <w:szCs w:val="24"/>
        </w:rPr>
        <w:t>Scholars divide between those who</w:t>
      </w:r>
      <w:r>
        <w:rPr>
          <w:rFonts w:asciiTheme="minorHAnsi" w:eastAsiaTheme="minorHAnsi" w:hAnsiTheme="minorHAnsi" w:cstheme="minorBidi"/>
          <w:color w:val="auto"/>
          <w:sz w:val="24"/>
          <w:szCs w:val="24"/>
        </w:rPr>
        <w:t xml:space="preserve"> ask whether </w:t>
      </w:r>
      <w:r w:rsidRPr="00D65BB3">
        <w:rPr>
          <w:rFonts w:asciiTheme="minorHAnsi" w:eastAsiaTheme="minorHAnsi" w:hAnsiTheme="minorHAnsi" w:cstheme="minorBidi"/>
          <w:color w:val="auto"/>
          <w:sz w:val="24"/>
          <w:szCs w:val="24"/>
        </w:rPr>
        <w:t>manoeuvre is “dead”</w:t>
      </w:r>
      <w:r>
        <w:rPr>
          <w:rStyle w:val="EndnoteReference"/>
          <w:rFonts w:asciiTheme="minorHAnsi" w:eastAsiaTheme="minorHAnsi" w:hAnsiTheme="minorHAnsi" w:cstheme="minorBidi"/>
          <w:color w:val="auto"/>
          <w:sz w:val="24"/>
          <w:szCs w:val="24"/>
        </w:rPr>
        <w:endnoteReference w:id="3"/>
      </w:r>
      <w:r>
        <w:rPr>
          <w:rFonts w:asciiTheme="minorHAnsi" w:eastAsiaTheme="minorHAnsi" w:hAnsiTheme="minorHAnsi" w:cstheme="minorBidi"/>
          <w:color w:val="auto"/>
          <w:sz w:val="24"/>
          <w:szCs w:val="24"/>
        </w:rPr>
        <w:t xml:space="preserve"> and </w:t>
      </w:r>
      <w:r w:rsidRPr="00D65BB3">
        <w:rPr>
          <w:rFonts w:asciiTheme="minorHAnsi" w:eastAsiaTheme="minorHAnsi" w:hAnsiTheme="minorHAnsi" w:cstheme="minorBidi"/>
          <w:color w:val="auto"/>
          <w:sz w:val="24"/>
          <w:szCs w:val="24"/>
        </w:rPr>
        <w:t>those who argue that it must adapt to survive</w:t>
      </w:r>
      <w:r>
        <w:rPr>
          <w:rFonts w:asciiTheme="minorHAnsi" w:eastAsiaTheme="minorHAnsi" w:hAnsiTheme="minorHAnsi" w:cstheme="minorBidi"/>
          <w:color w:val="auto"/>
          <w:sz w:val="24"/>
          <w:szCs w:val="24"/>
        </w:rPr>
        <w:t>.</w:t>
      </w:r>
      <w:r>
        <w:rPr>
          <w:rStyle w:val="EndnoteReference"/>
          <w:rFonts w:asciiTheme="minorHAnsi" w:eastAsiaTheme="minorHAnsi" w:hAnsiTheme="minorHAnsi" w:cstheme="minorBidi"/>
          <w:color w:val="auto"/>
          <w:sz w:val="24"/>
          <w:szCs w:val="24"/>
        </w:rPr>
        <w:endnoteReference w:id="4"/>
      </w:r>
      <w:r>
        <w:rPr>
          <w:rFonts w:asciiTheme="minorHAnsi" w:eastAsiaTheme="minorHAnsi" w:hAnsiTheme="minorHAnsi" w:cstheme="minorBidi"/>
          <w:color w:val="auto"/>
          <w:sz w:val="24"/>
          <w:szCs w:val="24"/>
        </w:rPr>
        <w:t xml:space="preserve"> </w:t>
      </w:r>
      <w:r w:rsidRPr="005F7AFB">
        <w:rPr>
          <w:rFonts w:asciiTheme="minorHAnsi" w:eastAsiaTheme="minorHAnsi" w:hAnsiTheme="minorHAnsi" w:cstheme="minorBidi"/>
          <w:color w:val="auto"/>
          <w:sz w:val="24"/>
          <w:szCs w:val="24"/>
        </w:rPr>
        <w:t xml:space="preserve">What is clear is that its price has risen sharply: manoeuvre survives only in the windows that sensing, concealment, electronic warfare and fires can briefly open. </w:t>
      </w:r>
      <w:r w:rsidRPr="004C3B35">
        <w:rPr>
          <w:rFonts w:asciiTheme="minorHAnsi" w:eastAsiaTheme="minorHAnsi" w:hAnsiTheme="minorHAnsi" w:cstheme="minorBidi"/>
          <w:color w:val="auto"/>
          <w:sz w:val="24"/>
          <w:szCs w:val="24"/>
        </w:rPr>
        <w:t>For Ireland, the question is whether a small force can turn that exposure problem into defensive cost.</w:t>
      </w:r>
    </w:p>
    <w:p w14:paraId="18697426" w14:textId="77777777" w:rsidR="00A83B70" w:rsidRDefault="00A83B70" w:rsidP="00A83B70">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Ireland has no national security strategy and no settled defence policy; the Defence Policy Review</w:t>
      </w:r>
      <w:r>
        <w:rPr>
          <w:rStyle w:val="EndnoteReference"/>
          <w:rFonts w:asciiTheme="minorHAnsi" w:eastAsiaTheme="minorHAnsi" w:hAnsiTheme="minorHAnsi" w:cstheme="minorBidi"/>
          <w:color w:val="auto"/>
          <w:sz w:val="24"/>
          <w:szCs w:val="24"/>
        </w:rPr>
        <w:endnoteReference w:id="5"/>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updates the White Paper</w:t>
      </w:r>
      <w:r>
        <w:rPr>
          <w:rStyle w:val="EndnoteReference"/>
          <w:rFonts w:asciiTheme="minorHAnsi" w:eastAsiaTheme="minorHAnsi" w:hAnsiTheme="minorHAnsi" w:cstheme="minorBidi"/>
          <w:color w:val="auto"/>
          <w:sz w:val="24"/>
          <w:szCs w:val="24"/>
        </w:rPr>
        <w:endnoteReference w:id="6"/>
      </w:r>
      <w:r>
        <w:rPr>
          <w:rFonts w:asciiTheme="minorHAnsi" w:eastAsiaTheme="minorHAnsi" w:hAnsiTheme="minorHAnsi" w:cstheme="minorBidi"/>
          <w:color w:val="auto"/>
          <w:sz w:val="24"/>
          <w:szCs w:val="24"/>
        </w:rPr>
        <w:t xml:space="preserve"> — constituting</w:t>
      </w:r>
      <w:r w:rsidRPr="00262708">
        <w:rPr>
          <w:rFonts w:asciiTheme="minorHAnsi" w:eastAsiaTheme="minorHAnsi" w:hAnsiTheme="minorHAnsi" w:cstheme="minorBidi"/>
          <w:color w:val="auto"/>
          <w:sz w:val="24"/>
          <w:szCs w:val="24"/>
        </w:rPr>
        <w:t xml:space="preserve"> a de facto substitute</w:t>
      </w:r>
      <w:r>
        <w:rPr>
          <w:rFonts w:asciiTheme="minorHAnsi" w:eastAsiaTheme="minorHAnsi" w:hAnsiTheme="minorHAnsi" w:cstheme="minorBidi"/>
          <w:color w:val="auto"/>
          <w:sz w:val="24"/>
          <w:szCs w:val="24"/>
        </w:rPr>
        <w:t>. The military is tasked to “</w:t>
      </w:r>
      <w:r w:rsidRPr="000E53A4">
        <w:rPr>
          <w:rFonts w:asciiTheme="minorHAnsi" w:eastAsiaTheme="minorHAnsi" w:hAnsiTheme="minorHAnsi" w:cstheme="minorBidi"/>
          <w:color w:val="auto"/>
          <w:sz w:val="24"/>
          <w:szCs w:val="24"/>
        </w:rPr>
        <w:t>provide for the military Defence of the</w:t>
      </w:r>
      <w:r>
        <w:rPr>
          <w:rFonts w:asciiTheme="minorHAnsi" w:eastAsiaTheme="minorHAnsi" w:hAnsiTheme="minorHAnsi" w:cstheme="minorBidi"/>
          <w:color w:val="auto"/>
          <w:sz w:val="24"/>
          <w:szCs w:val="24"/>
        </w:rPr>
        <w:t xml:space="preserve"> </w:t>
      </w:r>
      <w:r w:rsidRPr="000E53A4">
        <w:rPr>
          <w:rFonts w:asciiTheme="minorHAnsi" w:eastAsiaTheme="minorHAnsi" w:hAnsiTheme="minorHAnsi" w:cstheme="minorBidi"/>
          <w:color w:val="auto"/>
          <w:sz w:val="24"/>
          <w:szCs w:val="24"/>
        </w:rPr>
        <w:t>State from armed aggression</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Pr>
          <w:rFonts w:asciiTheme="minorHAnsi" w:eastAsiaTheme="minorHAnsi" w:hAnsiTheme="minorHAnsi" w:cstheme="minorBidi"/>
          <w:color w:val="auto"/>
          <w:sz w:val="24"/>
          <w:szCs w:val="24"/>
        </w:rPr>
        <w:t>, policy directs</w:t>
      </w:r>
      <w:r w:rsidRPr="00262708">
        <w:rPr>
          <w:rFonts w:asciiTheme="minorHAnsi" w:eastAsiaTheme="minorHAnsi" w:hAnsiTheme="minorHAnsi" w:cstheme="minorBidi"/>
          <w:color w:val="auto"/>
          <w:sz w:val="24"/>
          <w:szCs w:val="24"/>
        </w:rPr>
        <w:t xml:space="preserve">. In that vacuum, force design drifts toward continuity. </w:t>
      </w:r>
    </w:p>
    <w:p w14:paraId="20998ADB" w14:textId="77777777" w:rsidR="00A83B70" w:rsidRDefault="00A83B70" w:rsidP="00A83B70">
      <w:pPr>
        <w:pStyle w:val="Heading2"/>
      </w:pPr>
      <w:r w:rsidRPr="007F74B6">
        <w:rPr>
          <w:rFonts w:asciiTheme="minorHAnsi" w:eastAsiaTheme="minorHAnsi" w:hAnsiTheme="minorHAnsi" w:cstheme="minorBidi"/>
          <w:color w:val="auto"/>
          <w:sz w:val="24"/>
          <w:szCs w:val="24"/>
        </w:rPr>
        <w:t>Territorial defence is no longer implausible. It remains politically constrained and under-resourced, but force design cannot assume Europe’s post-1945 “long peace”</w:t>
      </w:r>
      <w:r>
        <w:rPr>
          <w:rStyle w:val="EndnoteReference"/>
          <w:rFonts w:asciiTheme="minorHAnsi" w:eastAsiaTheme="minorHAnsi" w:hAnsiTheme="minorHAnsi" w:cstheme="minorBidi"/>
          <w:color w:val="auto"/>
          <w:sz w:val="24"/>
          <w:szCs w:val="24"/>
        </w:rPr>
        <w:endnoteReference w:id="7"/>
      </w:r>
      <w:r w:rsidRPr="007F74B6">
        <w:rPr>
          <w:rFonts w:asciiTheme="minorHAnsi" w:eastAsiaTheme="minorHAnsi" w:hAnsiTheme="minorHAnsi" w:cstheme="minorBidi"/>
          <w:color w:val="auto"/>
          <w:sz w:val="24"/>
          <w:szCs w:val="24"/>
        </w:rPr>
        <w:t xml:space="preserve"> will continue indefinitely</w:t>
      </w:r>
      <w:r w:rsidRPr="00CA53E2">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The dispute over </w:t>
      </w:r>
      <w:r w:rsidRPr="00B46909">
        <w:rPr>
          <w:rFonts w:asciiTheme="minorHAnsi" w:eastAsiaTheme="minorHAnsi" w:hAnsiTheme="minorHAnsi" w:cstheme="minorBidi"/>
          <w:color w:val="auto"/>
          <w:sz w:val="24"/>
          <w:szCs w:val="24"/>
        </w:rPr>
        <w:t>Greenland</w:t>
      </w:r>
      <w:r>
        <w:rPr>
          <w:rStyle w:val="EndnoteReference"/>
          <w:rFonts w:asciiTheme="minorHAnsi" w:eastAsiaTheme="minorHAnsi" w:hAnsiTheme="minorHAnsi" w:cstheme="minorBidi"/>
          <w:color w:val="auto"/>
          <w:sz w:val="24"/>
          <w:szCs w:val="24"/>
        </w:rPr>
        <w:endnoteReference w:id="8"/>
      </w:r>
      <w:r w:rsidRPr="00B46909">
        <w:rPr>
          <w:rFonts w:asciiTheme="minorHAnsi" w:eastAsiaTheme="minorHAnsi" w:hAnsiTheme="minorHAnsi" w:cstheme="minorBidi"/>
          <w:color w:val="auto"/>
          <w:sz w:val="24"/>
          <w:szCs w:val="24"/>
        </w:rPr>
        <w:t xml:space="preserve"> and Denmark’s response</w:t>
      </w:r>
      <w:r>
        <w:rPr>
          <w:rStyle w:val="EndnoteReference"/>
          <w:rFonts w:asciiTheme="minorHAnsi" w:eastAsiaTheme="minorHAnsi" w:hAnsiTheme="minorHAnsi" w:cstheme="minorBidi"/>
          <w:color w:val="auto"/>
          <w:sz w:val="24"/>
          <w:szCs w:val="24"/>
        </w:rPr>
        <w:endnoteReference w:id="9"/>
      </w:r>
      <w:r w:rsidRPr="00B46909">
        <w:rPr>
          <w:rFonts w:asciiTheme="minorHAnsi" w:eastAsiaTheme="minorHAnsi" w:hAnsiTheme="minorHAnsi" w:cstheme="minorBidi"/>
          <w:color w:val="auto"/>
          <w:sz w:val="24"/>
          <w:szCs w:val="24"/>
        </w:rPr>
        <w:t xml:space="preserve">  </w:t>
      </w:r>
      <w:r w:rsidRPr="00530028">
        <w:rPr>
          <w:rFonts w:asciiTheme="minorHAnsi" w:eastAsiaTheme="minorHAnsi" w:hAnsiTheme="minorHAnsi" w:cstheme="minorBidi"/>
          <w:color w:val="auto"/>
          <w:sz w:val="24"/>
          <w:szCs w:val="24"/>
        </w:rPr>
        <w:t>show how quickly strategically marginal scenarios can become plausible</w:t>
      </w:r>
      <w:r>
        <w:rPr>
          <w:rFonts w:asciiTheme="minorHAnsi" w:eastAsiaTheme="minorHAnsi" w:hAnsiTheme="minorHAnsi" w:cstheme="minorBidi"/>
          <w:color w:val="auto"/>
          <w:sz w:val="24"/>
          <w:szCs w:val="24"/>
        </w:rPr>
        <w:t xml:space="preserve"> planning problems.</w:t>
      </w:r>
      <w:r w:rsidRPr="00A5525D">
        <w:t xml:space="preserve"> </w:t>
      </w:r>
      <w:r w:rsidRPr="00A5525D">
        <w:rPr>
          <w:rFonts w:asciiTheme="minorHAnsi" w:eastAsiaTheme="minorHAnsi" w:hAnsiTheme="minorHAnsi" w:cstheme="minorBidi"/>
          <w:color w:val="auto"/>
          <w:sz w:val="24"/>
          <w:szCs w:val="24"/>
        </w:rPr>
        <w:t xml:space="preserve">Threat perception is a poor guide to future risk. Without </w:t>
      </w:r>
      <w:proofErr w:type="spellStart"/>
      <w:r w:rsidRPr="00A5525D">
        <w:rPr>
          <w:rFonts w:asciiTheme="minorHAnsi" w:eastAsiaTheme="minorHAnsi" w:hAnsiTheme="minorHAnsi" w:cstheme="minorBidi"/>
          <w:color w:val="auto"/>
          <w:sz w:val="24"/>
          <w:szCs w:val="24"/>
        </w:rPr>
        <w:t>UxS</w:t>
      </w:r>
      <w:proofErr w:type="spellEnd"/>
      <w:r w:rsidRPr="00A5525D">
        <w:rPr>
          <w:rFonts w:asciiTheme="minorHAnsi" w:eastAsiaTheme="minorHAnsi" w:hAnsiTheme="minorHAnsi" w:cstheme="minorBidi"/>
          <w:color w:val="auto"/>
          <w:sz w:val="24"/>
          <w:szCs w:val="24"/>
        </w:rPr>
        <w:t xml:space="preserve"> adaptation, Ireland risks preserving yesterday’s force without a credible theory of victory for </w:t>
      </w:r>
      <w:r>
        <w:rPr>
          <w:rFonts w:asciiTheme="minorHAnsi" w:eastAsiaTheme="minorHAnsi" w:hAnsiTheme="minorHAnsi" w:cstheme="minorBidi"/>
          <w:color w:val="auto"/>
          <w:sz w:val="24"/>
          <w:szCs w:val="24"/>
        </w:rPr>
        <w:t>future conflict</w:t>
      </w:r>
      <w:r w:rsidRPr="00A5525D">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w:t>
      </w:r>
      <w:r w:rsidRPr="00BD22DF">
        <w:rPr>
          <w:rFonts w:asciiTheme="minorHAnsi" w:eastAsiaTheme="minorHAnsi" w:hAnsiTheme="minorHAnsi" w:cstheme="minorBidi"/>
          <w:color w:val="auto"/>
          <w:sz w:val="24"/>
          <w:szCs w:val="24"/>
        </w:rPr>
        <w:t>Any force arriving by sea or air must be contested on land; that task falls primarily to light infantry.</w:t>
      </w:r>
      <w:r w:rsidRPr="00BF065B">
        <w:rPr>
          <w:rFonts w:asciiTheme="minorHAnsi" w:eastAsiaTheme="minorHAnsi" w:hAnsiTheme="minorHAnsi" w:cstheme="minorBidi"/>
          <w:color w:val="auto"/>
          <w:sz w:val="24"/>
          <w:szCs w:val="24"/>
        </w:rPr>
        <w:t xml:space="preserve"> That makes the section</w:t>
      </w:r>
      <w:r>
        <w:rPr>
          <w:rFonts w:asciiTheme="minorHAnsi" w:eastAsiaTheme="minorHAnsi" w:hAnsiTheme="minorHAnsi" w:cstheme="minorBidi"/>
          <w:color w:val="auto"/>
          <w:sz w:val="24"/>
          <w:szCs w:val="24"/>
        </w:rPr>
        <w:t xml:space="preserve"> the</w:t>
      </w:r>
      <w:r w:rsidRPr="00BF065B">
        <w:rPr>
          <w:rFonts w:asciiTheme="minorHAnsi" w:eastAsiaTheme="minorHAnsi" w:hAnsiTheme="minorHAnsi" w:cstheme="minorBidi"/>
          <w:color w:val="auto"/>
          <w:sz w:val="24"/>
          <w:szCs w:val="24"/>
        </w:rPr>
        <w:t xml:space="preserve"> critical unit of analysis. </w:t>
      </w:r>
    </w:p>
    <w:p w14:paraId="3D70BE1D" w14:textId="77777777" w:rsidR="00A83B70" w:rsidRDefault="00A83B70" w:rsidP="00A83B70">
      <w:r w:rsidRPr="00174027">
        <w:t>Ireland’s light infantry section is not an equipment problem; it is a structure overtaken by the threat.</w:t>
      </w:r>
      <w:r>
        <w:t xml:space="preserve"> </w:t>
      </w:r>
      <w:r w:rsidRPr="00803FC3">
        <w:t>Capability is sometimes reduced to equipment, but it is better understood as the synthesis described by DOTMLPF-I</w:t>
      </w:r>
      <w:r>
        <w:t>.</w:t>
      </w:r>
      <w:r>
        <w:rPr>
          <w:rStyle w:val="EndnoteReference"/>
        </w:rPr>
        <w:endnoteReference w:id="10"/>
      </w:r>
      <w:r w:rsidRPr="00174027">
        <w:t xml:space="preserve"> </w:t>
      </w:r>
      <w:r>
        <w:t>O</w:t>
      </w:r>
      <w:r w:rsidRPr="00803FC3">
        <w:t>n that basis</w:t>
      </w:r>
      <w:r>
        <w:t>,</w:t>
      </w:r>
      <w:r w:rsidRPr="00803FC3">
        <w:t xml:space="preserve"> the section fails against nearly every line. Its doctrine remains that of a foot-mobil</w:t>
      </w:r>
      <w:r w:rsidRPr="000504B3">
        <w:t>e light infantry section, never reconciled with the vehicles now built to carry it</w:t>
      </w:r>
      <w:r w:rsidRPr="00803FC3">
        <w:t>.</w:t>
      </w:r>
      <w:r w:rsidRPr="00277853">
        <w:rPr>
          <w:rStyle w:val="EndnoteReference"/>
        </w:rPr>
        <w:t xml:space="preserve"> </w:t>
      </w:r>
      <w:r>
        <w:rPr>
          <w:rStyle w:val="EndnoteReference"/>
        </w:rPr>
        <w:endnoteReference w:id="11"/>
      </w:r>
      <w:r w:rsidRPr="00803FC3">
        <w:t xml:space="preserve"> Its organisation may now be rebuilt around vehicle capacity,</w:t>
      </w:r>
      <w:r>
        <w:rPr>
          <w:rStyle w:val="EndnoteReference"/>
        </w:rPr>
        <w:endnoteReference w:id="12"/>
      </w:r>
      <w:r w:rsidRPr="008762BE">
        <w:rPr>
          <w:rStyle w:val="FootnoteReference"/>
        </w:rPr>
        <w:t xml:space="preserve"> </w:t>
      </w:r>
      <w:r w:rsidRPr="00803FC3">
        <w:t xml:space="preserve">on </w:t>
      </w:r>
      <w:r>
        <w:t>the constraint</w:t>
      </w:r>
      <w:r w:rsidRPr="00803FC3">
        <w:t xml:space="preserve"> that one section must fit one carrier</w:t>
      </w:r>
      <w:r>
        <w:t xml:space="preserve">. </w:t>
      </w:r>
      <w:r w:rsidRPr="00803FC3">
        <w:t>It</w:t>
      </w:r>
      <w:r>
        <w:t xml:space="preserve"> should</w:t>
      </w:r>
      <w:r w:rsidRPr="00803FC3">
        <w:t xml:space="preserve"> not bind light infantry, which </w:t>
      </w:r>
      <w:r>
        <w:t>can move</w:t>
      </w:r>
      <w:r w:rsidRPr="00803FC3">
        <w:t xml:space="preserve"> on foot or in soft-skin vehicles, increasingly all-terrain </w:t>
      </w:r>
      <w:r>
        <w:t xml:space="preserve">vehicles </w:t>
      </w:r>
      <w:r w:rsidRPr="00803FC3">
        <w:t>such as the ULTV.</w:t>
      </w:r>
      <w:r>
        <w:rPr>
          <w:rStyle w:val="EndnoteReference"/>
        </w:rPr>
        <w:endnoteReference w:id="13"/>
      </w:r>
      <w:r w:rsidRPr="00803FC3">
        <w:rPr>
          <w:rStyle w:val="FootnoteReference"/>
        </w:rPr>
        <w:t xml:space="preserve"> </w:t>
      </w:r>
      <w:r>
        <w:rPr>
          <w:rStyle w:val="FootnoteReference"/>
        </w:rPr>
        <w:t xml:space="preserve"> </w:t>
      </w:r>
      <w:r>
        <w:t>I</w:t>
      </w:r>
      <w:r w:rsidRPr="00227DF4">
        <w:t>t</w:t>
      </w:r>
      <w:r>
        <w:t xml:space="preserve"> still trains 20</w:t>
      </w:r>
      <w:r w:rsidRPr="00D427C5">
        <w:rPr>
          <w:vertAlign w:val="superscript"/>
        </w:rPr>
        <w:t>th</w:t>
      </w:r>
      <w:r>
        <w:t xml:space="preserve"> century </w:t>
      </w:r>
      <w:r w:rsidRPr="00227DF4">
        <w:t xml:space="preserve">conventional </w:t>
      </w:r>
      <w:r>
        <w:t>tactics</w:t>
      </w:r>
      <w:r w:rsidRPr="00227DF4">
        <w:t xml:space="preserve"> and </w:t>
      </w:r>
      <w:r>
        <w:t xml:space="preserve">for </w:t>
      </w:r>
      <w:r w:rsidRPr="00227DF4">
        <w:t xml:space="preserve">the peace-support tasks of the decades since. </w:t>
      </w:r>
      <w:r w:rsidRPr="007B7BC3">
        <w:t>It neglects</w:t>
      </w:r>
      <w:r>
        <w:t xml:space="preserve"> dispersion, </w:t>
      </w:r>
      <w:r w:rsidRPr="007B7BC3">
        <w:t>“infobesity”</w:t>
      </w:r>
      <w:r w:rsidRPr="00277853">
        <w:rPr>
          <w:rStyle w:val="EndnoteReference"/>
        </w:rPr>
        <w:t xml:space="preserve"> </w:t>
      </w:r>
      <w:r>
        <w:rPr>
          <w:rStyle w:val="EndnoteReference"/>
        </w:rPr>
        <w:endnoteReference w:id="14"/>
      </w:r>
      <w:r w:rsidRPr="007B7BC3">
        <w:t xml:space="preserve">  — the cognitive burden of sensor-rich combat—</w:t>
      </w:r>
      <w:r>
        <w:t xml:space="preserve"> </w:t>
      </w:r>
      <w:r w:rsidRPr="00227DF4">
        <w:t>and</w:t>
      </w:r>
      <w:r>
        <w:t xml:space="preserve"> the</w:t>
      </w:r>
      <w:r w:rsidRPr="00227DF4">
        <w:t xml:space="preserve"> exposure of a section that can be found and struck on a checkpoint or logistics convoy as readily as in battle, without higher-echelon cover. </w:t>
      </w:r>
      <w:r w:rsidRPr="003C060B">
        <w:t xml:space="preserve">Its materiel reflects a Cold War mentality. Its leadership is not configured for mission command under persistent observation. </w:t>
      </w:r>
      <w:r>
        <w:t>It fields</w:t>
      </w:r>
      <w:r w:rsidRPr="003C060B">
        <w:t xml:space="preserve"> too few soldiers to carry the cognitive load, operate the new systems and remain cohesive once dispersed. Adding drones changes none of that. </w:t>
      </w:r>
    </w:p>
    <w:p w14:paraId="293A2E1C" w14:textId="77777777" w:rsidR="00A83B70" w:rsidRPr="00B47134" w:rsidRDefault="00A83B70" w:rsidP="00A83B70">
      <w:r w:rsidRPr="00B47134">
        <w:lastRenderedPageBreak/>
        <w:t xml:space="preserve">These are not uniquely Irish problems. Section design, vehicle capacity, organic support weapons and UAS integration are being reconsidered elsewhere. French RI 2030 reform shows one mechanised </w:t>
      </w:r>
      <w:r>
        <w:t>solution</w:t>
      </w:r>
      <w:r w:rsidRPr="00B47134">
        <w:t>: the vehicle acts as a mission-configurable “weapons store”, anti-armour is distributed across combat groups</w:t>
      </w:r>
      <w:r>
        <w:t xml:space="preserve"> and</w:t>
      </w:r>
      <w:r w:rsidRPr="00B47134">
        <w:t xml:space="preserve"> platoon</w:t>
      </w:r>
      <w:r>
        <w:t>-</w:t>
      </w:r>
      <w:r w:rsidRPr="00B47134">
        <w:t>level</w:t>
      </w:r>
      <w:r>
        <w:t xml:space="preserve"> UAS while</w:t>
      </w:r>
      <w:r w:rsidRPr="00B47134">
        <w:t xml:space="preserve"> heavier UAS, EW and robotic effects remain </w:t>
      </w:r>
      <w:r>
        <w:t>separate</w:t>
      </w:r>
      <w:r w:rsidRPr="00B47134">
        <w:t>.</w:t>
      </w:r>
      <w:r>
        <w:rPr>
          <w:rStyle w:val="EndnoteReference"/>
        </w:rPr>
        <w:endnoteReference w:id="15"/>
      </w:r>
      <w:r>
        <w:t xml:space="preserve"> </w:t>
      </w:r>
      <w:r w:rsidRPr="00A72C99">
        <w:t>For a mechanised force, that is coherent</w:t>
      </w:r>
      <w:r>
        <w:t>.</w:t>
      </w:r>
      <w:r w:rsidRPr="00A72C99">
        <w:t xml:space="preserve"> For Irish light</w:t>
      </w:r>
      <w:r>
        <w:t xml:space="preserve"> and mechanised</w:t>
      </w:r>
      <w:r w:rsidRPr="00A72C99">
        <w:t xml:space="preserve"> infantry, it</w:t>
      </w:r>
      <w:r>
        <w:t xml:space="preserve"> may not suffice</w:t>
      </w:r>
      <w:r w:rsidRPr="00A72C99">
        <w:t xml:space="preserve">. </w:t>
      </w:r>
      <w:r w:rsidRPr="00B47134">
        <w:t xml:space="preserve">The British Army’s experimental </w:t>
      </w:r>
      <w:r w:rsidRPr="00294FE3">
        <w:rPr>
          <w:i/>
          <w:iCs/>
        </w:rPr>
        <w:t>urban-optimised</w:t>
      </w:r>
      <w:r>
        <w:t xml:space="preserve"> </w:t>
      </w:r>
      <w:r w:rsidRPr="00B47134">
        <w:t xml:space="preserve">Phalanx Platoon </w:t>
      </w:r>
      <w:r>
        <w:t>C</w:t>
      </w:r>
      <w:r w:rsidRPr="00B47134">
        <w:t>oncept</w:t>
      </w:r>
      <w:r>
        <w:rPr>
          <w:rStyle w:val="EndnoteReference"/>
        </w:rPr>
        <w:endnoteReference w:id="16"/>
      </w:r>
      <w:r w:rsidRPr="00B47134">
        <w:t xml:space="preserve"> points in the same direction from a different angle. Yet adaptation remains uneven. Exercises such as </w:t>
      </w:r>
      <w:proofErr w:type="spellStart"/>
      <w:r w:rsidRPr="00F92358">
        <w:rPr>
          <w:i/>
          <w:iCs/>
        </w:rPr>
        <w:t>Gévaudan</w:t>
      </w:r>
      <w:proofErr w:type="spellEnd"/>
      <w:r w:rsidRPr="00F92358">
        <w:rPr>
          <w:i/>
          <w:iCs/>
        </w:rPr>
        <w:t xml:space="preserve"> 26</w:t>
      </w:r>
      <w:r w:rsidRPr="003C060B">
        <w:t xml:space="preserve"> </w:t>
      </w:r>
      <w:r>
        <w:t xml:space="preserve">and </w:t>
      </w:r>
      <w:r w:rsidRPr="00F92358">
        <w:rPr>
          <w:i/>
          <w:iCs/>
        </w:rPr>
        <w:t>Hedgehog</w:t>
      </w:r>
      <w:r>
        <w:rPr>
          <w:rStyle w:val="EndnoteReference"/>
          <w:i/>
          <w:iCs/>
        </w:rPr>
        <w:endnoteReference w:id="17"/>
      </w:r>
      <w:r>
        <w:t xml:space="preserve"> </w:t>
      </w:r>
      <w:r w:rsidRPr="00B47134">
        <w:t xml:space="preserve">suggest that integrating drones is easier than adapting </w:t>
      </w:r>
      <w:r>
        <w:t>to the implications of</w:t>
      </w:r>
      <w:r w:rsidRPr="00B47134">
        <w:t xml:space="preserve"> persistent observation. The challenge is therefore not acquiring uncrewed systems, but redesigning the infantry section around the battlefield they have created.</w:t>
      </w:r>
      <w:r>
        <w:rPr>
          <w:rStyle w:val="EndnoteReference"/>
        </w:rPr>
        <w:endnoteReference w:id="18"/>
      </w:r>
      <w:r>
        <w:t xml:space="preserve"> </w:t>
      </w:r>
    </w:p>
    <w:p w14:paraId="3807BE44" w14:textId="77777777" w:rsidR="00A83B70" w:rsidRPr="00262708" w:rsidRDefault="00A83B70" w:rsidP="00A83B70">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 xml:space="preserve">Relative combat power </w:t>
      </w:r>
      <w:r>
        <w:rPr>
          <w:rFonts w:asciiTheme="minorHAnsi" w:eastAsiaTheme="minorHAnsi" w:hAnsiTheme="minorHAnsi" w:cstheme="minorBidi"/>
          <w:color w:val="auto"/>
          <w:sz w:val="24"/>
          <w:szCs w:val="24"/>
        </w:rPr>
        <w:t>rewards</w:t>
      </w:r>
      <w:r w:rsidRPr="00262708">
        <w:rPr>
          <w:rFonts w:asciiTheme="minorHAnsi" w:eastAsiaTheme="minorHAnsi" w:hAnsiTheme="minorHAnsi" w:cstheme="minorBidi"/>
          <w:color w:val="auto"/>
          <w:sz w:val="24"/>
          <w:szCs w:val="24"/>
        </w:rPr>
        <w:t xml:space="preserve"> the side </w:t>
      </w:r>
      <w:r>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can mass force and absorb loss</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Pr="00D37663">
        <w:rPr>
          <w:rFonts w:asciiTheme="minorHAnsi" w:eastAsiaTheme="minorHAnsi" w:hAnsiTheme="minorHAnsi" w:cstheme="minorBidi"/>
          <w:color w:val="auto"/>
          <w:sz w:val="24"/>
          <w:szCs w:val="24"/>
        </w:rPr>
        <w:t>Low-cost uncrewed systems disturb that arithmetic, a shift which</w:t>
      </w:r>
      <w:r>
        <w:rPr>
          <w:rFonts w:asciiTheme="minorHAnsi" w:eastAsiaTheme="minorHAnsi" w:hAnsiTheme="minorHAnsi" w:cstheme="minorBidi"/>
          <w:color w:val="auto"/>
          <w:sz w:val="24"/>
          <w:szCs w:val="24"/>
        </w:rPr>
        <w:t xml:space="preserve"> the Lanchester Force Equations</w:t>
      </w:r>
      <w:r>
        <w:rPr>
          <w:rStyle w:val="EndnoteReference"/>
          <w:rFonts w:asciiTheme="minorHAnsi" w:eastAsiaTheme="minorHAnsi" w:hAnsiTheme="minorHAnsi" w:cstheme="minorBidi"/>
          <w:color w:val="auto"/>
          <w:sz w:val="24"/>
          <w:szCs w:val="24"/>
        </w:rPr>
        <w:endnoteReference w:id="19"/>
      </w:r>
      <w:r>
        <w:rPr>
          <w:rFonts w:asciiTheme="minorHAnsi" w:eastAsiaTheme="minorHAnsi" w:hAnsiTheme="minorHAnsi" w:cstheme="minorBidi"/>
          <w:color w:val="auto"/>
          <w:sz w:val="24"/>
          <w:szCs w:val="24"/>
        </w:rPr>
        <w:t xml:space="preserve"> and the 3:1 heuristic</w:t>
      </w:r>
      <w:r>
        <w:rPr>
          <w:rStyle w:val="EndnoteReference"/>
          <w:rFonts w:asciiTheme="minorHAnsi" w:eastAsiaTheme="minorHAnsi" w:hAnsiTheme="minorHAnsi" w:cstheme="minorBidi"/>
          <w:color w:val="auto"/>
          <w:sz w:val="24"/>
          <w:szCs w:val="24"/>
        </w:rPr>
        <w:endnoteReference w:id="20"/>
      </w:r>
      <w:r w:rsidRPr="00C03858">
        <w:rPr>
          <w:rFonts w:asciiTheme="minorHAnsi" w:eastAsiaTheme="minorHAnsi" w:hAnsiTheme="minorHAnsi" w:cstheme="minorBidi"/>
          <w:color w:val="auto"/>
          <w:sz w:val="24"/>
          <w:szCs w:val="24"/>
        </w:rPr>
        <w:t xml:space="preserve"> </w:t>
      </w:r>
      <w:r w:rsidRPr="00D37663">
        <w:rPr>
          <w:rFonts w:asciiTheme="minorHAnsi" w:eastAsiaTheme="minorHAnsi" w:hAnsiTheme="minorHAnsi" w:cstheme="minorBidi"/>
          <w:color w:val="auto"/>
          <w:sz w:val="24"/>
          <w:szCs w:val="24"/>
        </w:rPr>
        <w:t>help frame but cannot fully capture.</w:t>
      </w:r>
      <w:r>
        <w:rPr>
          <w:rFonts w:asciiTheme="minorHAnsi" w:eastAsiaTheme="minorHAnsi" w:hAnsiTheme="minorHAnsi" w:cstheme="minorBidi"/>
          <w:color w:val="auto"/>
          <w:sz w:val="24"/>
          <w:szCs w:val="24"/>
        </w:rPr>
        <w:t xml:space="preserve"> </w:t>
      </w:r>
      <w:r w:rsidRPr="00C03858">
        <w:rPr>
          <w:rFonts w:asciiTheme="minorHAnsi" w:eastAsiaTheme="minorHAnsi" w:hAnsiTheme="minorHAnsi" w:cstheme="minorBidi"/>
          <w:color w:val="auto"/>
          <w:sz w:val="24"/>
          <w:szCs w:val="24"/>
        </w:rPr>
        <w:t xml:space="preserve">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w:t>
      </w:r>
    </w:p>
    <w:p w14:paraId="1C1B053B" w14:textId="77777777" w:rsidR="00A83B70" w:rsidRDefault="00A83B70" w:rsidP="00A83B70">
      <w:r>
        <w:fldChar w:fldCharType="begin"/>
      </w:r>
      <w:r>
        <w:instrText xml:space="preserve"> REF _Ref233053446 \h </w:instrText>
      </w:r>
      <w:r>
        <w:fldChar w:fldCharType="separate"/>
      </w:r>
      <w:r>
        <w:t xml:space="preserve">Table </w:t>
      </w:r>
      <w:r>
        <w:rPr>
          <w:noProof/>
        </w:rPr>
        <w:t>1</w:t>
      </w:r>
      <w:r>
        <w:fldChar w:fldCharType="end"/>
      </w:r>
      <w:r w:rsidRPr="001E7AE7">
        <w:t xml:space="preserve"> </w:t>
      </w:r>
      <w:r w:rsidRPr="00656D8B">
        <w:t>shows that FPV-OWADs cannot be dismissed as cheap substitutes for Javelin.</w:t>
      </w:r>
      <w:r>
        <w:rPr>
          <w:rStyle w:val="EndnoteReference"/>
        </w:rPr>
        <w:endnoteReference w:id="21"/>
      </w:r>
      <w:r>
        <w:t xml:space="preserve"> </w:t>
      </w:r>
      <w:r w:rsidRPr="00656D8B">
        <w:t xml:space="preserve">The operational comparison is the telling one: defeating an armoured company costs roughly €1.13 million in Javelins, compared with under €85,000 in FPV-OWADs – 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w:t>
      </w:r>
      <w:r w:rsidRPr="007A6FF0">
        <w:t>but they can immobilise it for follow-on fires and reach more than an order of magnitude further.</w:t>
      </w:r>
      <w:r w:rsidRPr="00656D8B">
        <w:t xml:space="preserve"> The direction is unambiguous: FPV-OWADs do not replace ATGMs, but they change the defensive arithmetic and can no longer be ignored</w:t>
      </w:r>
      <w:r>
        <w:t xml:space="preserve">. </w:t>
      </w:r>
    </w:p>
    <w:p w14:paraId="53A469B2" w14:textId="77777777" w:rsidR="00A83B70" w:rsidRDefault="00A83B70" w:rsidP="00A83B70">
      <w:pPr>
        <w:keepNext/>
        <w:jc w:val="center"/>
      </w:pPr>
      <w:r w:rsidRPr="006B25D9">
        <w:rPr>
          <w:noProof/>
        </w:rPr>
        <w:drawing>
          <wp:inline distT="0" distB="0" distL="0" distR="0" wp14:anchorId="17B8E2D2" wp14:editId="2AE23E93">
            <wp:extent cx="3514476" cy="1444961"/>
            <wp:effectExtent l="0" t="0" r="0" b="3175"/>
            <wp:docPr id="181362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6577B385" w14:textId="77777777" w:rsidR="00A83B70" w:rsidRPr="00E05D57" w:rsidRDefault="00A83B70" w:rsidP="00A83B70">
      <w:pPr>
        <w:pStyle w:val="Caption"/>
        <w:jc w:val="center"/>
      </w:pPr>
      <w:bookmarkStart w:id="0" w:name="_Ref233053446"/>
      <w:r>
        <w:t xml:space="preserve">Table </w:t>
      </w:r>
      <w:r>
        <w:fldChar w:fldCharType="begin"/>
      </w:r>
      <w:r>
        <w:instrText xml:space="preserve"> SEQ Table \* ARABIC </w:instrText>
      </w:r>
      <w:r>
        <w:fldChar w:fldCharType="separate"/>
      </w:r>
      <w:r>
        <w:rPr>
          <w:noProof/>
        </w:rPr>
        <w:t>1</w:t>
      </w:r>
      <w:r>
        <w:rPr>
          <w:noProof/>
        </w:rPr>
        <w:fldChar w:fldCharType="end"/>
      </w:r>
      <w:bookmarkEnd w:id="0"/>
      <w:r>
        <w:t xml:space="preserve">. </w:t>
      </w:r>
      <w:r w:rsidRPr="002C4F0D">
        <w:t>Comparative Anti-Armour Cost-Imposition Model</w:t>
      </w:r>
      <w:r w:rsidRPr="00F1368C">
        <w:t>: ATGMs versus FPV-OWADs and Loitering-OWADs</w:t>
      </w:r>
    </w:p>
    <w:p w14:paraId="3C2ED7B3" w14:textId="77777777" w:rsidR="00A83B70" w:rsidRPr="00701614" w:rsidRDefault="00A83B70" w:rsidP="00A83B70">
      <w:r w:rsidRPr="00542C4A">
        <w:lastRenderedPageBreak/>
        <w:t>Ireland has long approached territorial defence through efficiency and restraint, not sustained increases in defence spending.</w:t>
      </w:r>
      <w:r>
        <w:rPr>
          <w:rStyle w:val="EndnoteReference"/>
        </w:rPr>
        <w:endnoteReference w:id="22"/>
      </w:r>
      <w:r>
        <w:t xml:space="preserve"> </w:t>
      </w:r>
      <w:proofErr w:type="spellStart"/>
      <w:r w:rsidRPr="00701614">
        <w:t>UxS</w:t>
      </w:r>
      <w:proofErr w:type="spellEnd"/>
      <w:r w:rsidRPr="00701614">
        <w:t xml:space="preserve"> change what that premise can buy: if cheap precision systems can make lodgement, movement and sustainment costly, the constraint shifts from money to organisation.</w:t>
      </w:r>
      <w:r>
        <w:t xml:space="preserve"> </w:t>
      </w:r>
      <w:r w:rsidRPr="00701614">
        <w:t>Deterrence-by-denial here means one thing: making an attacker doubt that victory will be quick or cheap. A defender need not win. They need only impose enough delay, attrition and uncertainty that the operation’s price climbs past what the aggressor is willing to pay.</w:t>
      </w:r>
    </w:p>
    <w:p w14:paraId="6C15B475" w14:textId="77777777" w:rsidR="00A83B70" w:rsidRPr="00701614" w:rsidRDefault="00A83B70" w:rsidP="00A83B70">
      <w:r w:rsidRPr="00701614">
        <w:t>The pace of change is uncertain and programmes are mid-stream, but that is not a reason to stand still. Vehicle capacity matters: it shapes lift, sustainment, command and mobility. But the threat should come first for light infantry. Threat defines force protection; force protection should inform capability. Light infantry does not need armour. It can move on foot or in commercial 4x4s already in service. A survivable light section is not waiting on a vehicle programme. It is available now, held back by a constraint borrowed from another kind of infantry.</w:t>
      </w:r>
    </w:p>
    <w:p w14:paraId="4539E762" w14:textId="44378C24" w:rsidR="000A62A6" w:rsidRDefault="000A62A6" w:rsidP="00815DE9">
      <w:pPr>
        <w:rPr>
          <w:rFonts w:asciiTheme="majorHAnsi" w:eastAsiaTheme="majorEastAsia" w:hAnsiTheme="majorHAnsi" w:cstheme="majorBidi"/>
          <w:color w:val="0F4761" w:themeColor="accent1" w:themeShade="BF"/>
          <w:sz w:val="32"/>
          <w:szCs w:val="32"/>
        </w:rPr>
      </w:pPr>
      <w:r>
        <w:br w:type="page"/>
      </w:r>
    </w:p>
    <w:p w14:paraId="4DF60F31" w14:textId="5771D65F" w:rsidR="00CB2FEB" w:rsidRDefault="00CB2FEB" w:rsidP="005E2FA4">
      <w:pPr>
        <w:pStyle w:val="Heading2"/>
      </w:pPr>
      <w:r>
        <w:lastRenderedPageBreak/>
        <w:t>Main Body – OB</w:t>
      </w:r>
    </w:p>
    <w:p w14:paraId="732D867F" w14:textId="0012FD17" w:rsidR="00B93E1B" w:rsidRPr="00B93E1B" w:rsidRDefault="00B93E1B" w:rsidP="00B93E1B">
      <w:r w:rsidRPr="00B93E1B">
        <w:rPr>
          <w:b/>
          <w:bCs/>
        </w:rPr>
        <w:t>Main Body – OB (hooks to consider</w:t>
      </w:r>
      <w:r w:rsidR="00633BB8">
        <w:rPr>
          <w:b/>
          <w:bCs/>
        </w:rPr>
        <w:t xml:space="preserve"> – </w:t>
      </w:r>
      <w:r w:rsidRPr="00B93E1B">
        <w:rPr>
          <w:b/>
          <w:bCs/>
        </w:rPr>
        <w:t>your own ideas welcome; we'll amend the abstract together)</w:t>
      </w:r>
    </w:p>
    <w:p w14:paraId="348D9D2A" w14:textId="4D61B61D" w:rsidR="00B93E1B" w:rsidRPr="00B93E1B" w:rsidRDefault="00B93E1B" w:rsidP="00B93E1B">
      <w:r w:rsidRPr="00B93E1B">
        <w:t xml:space="preserve">Your half answers one question: </w:t>
      </w:r>
      <w:r w:rsidRPr="00B93E1B">
        <w:rPr>
          <w:i/>
          <w:iCs/>
        </w:rPr>
        <w:t>what must the Irish state and Defence Organisation do to turn the tactical mechanism into a real, credible, neutral, sustainable posture?</w:t>
      </w:r>
      <w:r w:rsidRPr="00B93E1B">
        <w:t xml:space="preserve"> Don't re-explain Ukraine, FPV tactics, section structure, ISR/CUAS/IEDD or cost ratios</w:t>
      </w:r>
      <w:r w:rsidR="00633BB8">
        <w:t xml:space="preserve"> – </w:t>
      </w:r>
      <w:r w:rsidRPr="00B93E1B">
        <w:t>those are established in the first half. Inherit the section</w:t>
      </w:r>
      <w:r w:rsidR="00633BB8">
        <w:t xml:space="preserve"> – </w:t>
      </w:r>
      <w:r w:rsidRPr="00B93E1B">
        <w:t>organic FPV, ISR, CUAS, assault-pioneer IEDD</w:t>
      </w:r>
      <w:r w:rsidR="00633BB8">
        <w:t xml:space="preserve"> – </w:t>
      </w:r>
      <w:r w:rsidRPr="00B93E1B">
        <w:t>as the thing your conditions must own, sustain and communicate.</w:t>
      </w:r>
    </w:p>
    <w:p w14:paraId="37D324CE" w14:textId="77777777" w:rsidR="00B93E1B" w:rsidRPr="00B93E1B" w:rsidRDefault="00B93E1B" w:rsidP="00B93E1B">
      <w:r w:rsidRPr="00B93E1B">
        <w:rPr>
          <w:b/>
          <w:bCs/>
        </w:rPr>
        <w:t>1. Politically owned.</w:t>
      </w:r>
      <w:r w:rsidRPr="00B93E1B">
        <w:t xml:space="preserve"> What Ireland lacks: a funded political decision that territorial defence is a real task, not an inherited abstraction.</w:t>
      </w:r>
    </w:p>
    <w:p w14:paraId="3A37D6CA" w14:textId="77777777" w:rsidR="00B93E1B" w:rsidRPr="00B93E1B" w:rsidRDefault="00B93E1B" w:rsidP="00B93E1B">
      <w:pPr>
        <w:numPr>
          <w:ilvl w:val="0"/>
          <w:numId w:val="4"/>
        </w:numPr>
      </w:pPr>
      <w:r w:rsidRPr="00B93E1B">
        <w:t>no national security strategy; Defence Policy Review as partial substitute, not full strategy</w:t>
      </w:r>
    </w:p>
    <w:p w14:paraId="0B37E910" w14:textId="77777777" w:rsidR="00B93E1B" w:rsidRPr="00B93E1B" w:rsidRDefault="00B93E1B" w:rsidP="00B93E1B">
      <w:pPr>
        <w:numPr>
          <w:ilvl w:val="0"/>
          <w:numId w:val="4"/>
        </w:numPr>
      </w:pPr>
      <w:r w:rsidRPr="00B93E1B">
        <w:t>LOA 2 / CODF implementation gap</w:t>
      </w:r>
    </w:p>
    <w:p w14:paraId="7AF4D0F1" w14:textId="77777777" w:rsidR="00B93E1B" w:rsidRPr="00B93E1B" w:rsidRDefault="00B93E1B" w:rsidP="00B93E1B">
      <w:pPr>
        <w:numPr>
          <w:ilvl w:val="0"/>
          <w:numId w:val="4"/>
        </w:numPr>
      </w:pPr>
      <w:r w:rsidRPr="00B93E1B">
        <w:t>the gap between "the DF have a task" and "Government has made a funded choice"</w:t>
      </w:r>
    </w:p>
    <w:p w14:paraId="1D00AE5B" w14:textId="77777777" w:rsidR="00B93E1B" w:rsidRPr="00B93E1B" w:rsidRDefault="00B93E1B" w:rsidP="00B93E1B">
      <w:pPr>
        <w:numPr>
          <w:ilvl w:val="0"/>
          <w:numId w:val="4"/>
        </w:numPr>
      </w:pPr>
      <w:r w:rsidRPr="00B93E1B">
        <w:t xml:space="preserve">why cheap </w:t>
      </w:r>
      <w:proofErr w:type="spellStart"/>
      <w:r w:rsidRPr="00B93E1B">
        <w:t>UxS</w:t>
      </w:r>
      <w:proofErr w:type="spellEnd"/>
      <w:r w:rsidRPr="00B93E1B">
        <w:t xml:space="preserve"> don't remove the need for political prioritisation</w:t>
      </w:r>
    </w:p>
    <w:p w14:paraId="3E2D95D3" w14:textId="77777777" w:rsidR="00B93E1B" w:rsidRPr="00B93E1B" w:rsidRDefault="00B93E1B" w:rsidP="00B93E1B">
      <w:pPr>
        <w:numPr>
          <w:ilvl w:val="0"/>
          <w:numId w:val="4"/>
        </w:numPr>
      </w:pPr>
      <w:r w:rsidRPr="00B93E1B">
        <w:rPr>
          <w:i/>
          <w:iCs/>
        </w:rPr>
        <w:t>Line to prove: drone denial is cheap against conventional mass, but still needs ownership because it reallocates doctrine, training, establishments, procurement and public explanation around territorial defence.</w:t>
      </w:r>
    </w:p>
    <w:p w14:paraId="75D9A567" w14:textId="77777777" w:rsidR="00B93E1B" w:rsidRPr="00B93E1B" w:rsidRDefault="00B93E1B" w:rsidP="00B93E1B">
      <w:r w:rsidRPr="00B93E1B">
        <w:rPr>
          <w:b/>
          <w:bCs/>
        </w:rPr>
        <w:t>2. Neutrality.</w:t>
      </w:r>
      <w:r w:rsidRPr="00B93E1B">
        <w:t xml:space="preserve"> Why drone-centric denial is neutrality-compatible: territorial, defensive, non-expeditionary, no alliance dependency, not punishment, no threat beyond Ireland.</w:t>
      </w:r>
    </w:p>
    <w:p w14:paraId="39AB53E2" w14:textId="77777777" w:rsidR="00B93E1B" w:rsidRPr="00B93E1B" w:rsidRDefault="00B93E1B" w:rsidP="00B93E1B">
      <w:pPr>
        <w:numPr>
          <w:ilvl w:val="0"/>
          <w:numId w:val="5"/>
        </w:numPr>
      </w:pPr>
      <w:r w:rsidRPr="00B93E1B">
        <w:t>distinguish it from NATO forward defence, nuclear deterrence, punishment, militarised adventurism</w:t>
      </w:r>
    </w:p>
    <w:p w14:paraId="7CBDDB7E" w14:textId="77777777" w:rsidR="00B93E1B" w:rsidRPr="00B93E1B" w:rsidRDefault="00B93E1B" w:rsidP="00B93E1B">
      <w:pPr>
        <w:numPr>
          <w:ilvl w:val="0"/>
          <w:numId w:val="5"/>
        </w:numPr>
      </w:pPr>
      <w:r w:rsidRPr="00B93E1B">
        <w:t>the affirmative claim: the credible ability to make unauthorised lodgement, movement and sustainment on Irish territory slow, costly and uncertain</w:t>
      </w:r>
    </w:p>
    <w:p w14:paraId="1A9A5B2D" w14:textId="77777777" w:rsidR="00B93E1B" w:rsidRPr="00B93E1B" w:rsidRDefault="00B93E1B" w:rsidP="00B93E1B">
      <w:pPr>
        <w:numPr>
          <w:ilvl w:val="0"/>
          <w:numId w:val="5"/>
        </w:numPr>
      </w:pPr>
      <w:r w:rsidRPr="00B93E1B">
        <w:t xml:space="preserve">where EU/EDA/PfP </w:t>
      </w:r>
      <w:r w:rsidRPr="00B93E1B">
        <w:rPr>
          <w:i/>
          <w:iCs/>
        </w:rPr>
        <w:t>resource</w:t>
      </w:r>
      <w:r w:rsidRPr="00B93E1B">
        <w:t xml:space="preserve"> the posture without compromising neutrality</w:t>
      </w:r>
    </w:p>
    <w:p w14:paraId="2EA87E21" w14:textId="2BB711BD" w:rsidR="00B93E1B" w:rsidRPr="00B93E1B" w:rsidRDefault="00B93E1B" w:rsidP="00B93E1B">
      <w:r w:rsidRPr="00B93E1B">
        <w:rPr>
          <w:b/>
          <w:bCs/>
        </w:rPr>
        <w:t>3. Clearly communicated</w:t>
      </w:r>
      <w:r w:rsidR="00633BB8">
        <w:t xml:space="preserve"> – </w:t>
      </w:r>
      <w:r w:rsidRPr="00B93E1B">
        <w:t xml:space="preserve">keep distinct from neutrality. Neutrality is legibility to </w:t>
      </w:r>
      <w:r w:rsidRPr="00B93E1B">
        <w:rPr>
          <w:i/>
          <w:iCs/>
        </w:rPr>
        <w:t>friendly</w:t>
      </w:r>
      <w:r w:rsidRPr="00B93E1B">
        <w:t xml:space="preserve"> audiences; communication is also signalling to the </w:t>
      </w:r>
      <w:r w:rsidRPr="00B93E1B">
        <w:rPr>
          <w:i/>
          <w:iCs/>
        </w:rPr>
        <w:t>adversary's staff</w:t>
      </w:r>
      <w:r w:rsidRPr="00B93E1B">
        <w:t>. Both needed.</w:t>
      </w:r>
    </w:p>
    <w:p w14:paraId="10FB74FC" w14:textId="77777777" w:rsidR="00B93E1B" w:rsidRPr="00B93E1B" w:rsidRDefault="00B93E1B" w:rsidP="00B93E1B">
      <w:pPr>
        <w:numPr>
          <w:ilvl w:val="0"/>
          <w:numId w:val="6"/>
        </w:numPr>
      </w:pPr>
      <w:r w:rsidRPr="00B93E1B">
        <w:t>policy language, exercises, doctrine, procurement visibility, public explanation, EU engagement</w:t>
      </w:r>
    </w:p>
    <w:p w14:paraId="19C3957B" w14:textId="77777777" w:rsidR="00B93E1B" w:rsidRPr="00B93E1B" w:rsidRDefault="00B93E1B" w:rsidP="00B93E1B">
      <w:pPr>
        <w:numPr>
          <w:ilvl w:val="0"/>
          <w:numId w:val="6"/>
        </w:numPr>
      </w:pPr>
      <w:r w:rsidRPr="00B93E1B">
        <w:t>how Ireland says this without sounding escalatory or ridiculous</w:t>
      </w:r>
    </w:p>
    <w:p w14:paraId="7F4A506B" w14:textId="77777777" w:rsidR="00B93E1B" w:rsidRPr="00B93E1B" w:rsidRDefault="00B93E1B" w:rsidP="00B93E1B">
      <w:r w:rsidRPr="00B93E1B">
        <w:rPr>
          <w:b/>
          <w:bCs/>
        </w:rPr>
        <w:t>4. Institutionally sustained.</w:t>
      </w:r>
      <w:r w:rsidRPr="00B93E1B">
        <w:t xml:space="preserve"> A posture only deters if it survives first contact.</w:t>
      </w:r>
    </w:p>
    <w:p w14:paraId="60FC16AD" w14:textId="77777777" w:rsidR="00B93E1B" w:rsidRPr="00B93E1B" w:rsidRDefault="00B93E1B" w:rsidP="00B93E1B">
      <w:pPr>
        <w:numPr>
          <w:ilvl w:val="0"/>
          <w:numId w:val="7"/>
        </w:numPr>
      </w:pPr>
      <w:r w:rsidRPr="00B93E1B">
        <w:lastRenderedPageBreak/>
        <w:t>stock depth, batteries, spares, repair, replacement; EW adaptation; training pipelines; standing experimentation; procurement agility; sovereign/EU supply-chain resilience; doctrinal ownership in the DF</w:t>
      </w:r>
    </w:p>
    <w:p w14:paraId="41FEC3CA" w14:textId="3E95D8CB" w:rsidR="00B93E1B" w:rsidRPr="00B93E1B" w:rsidRDefault="00B93E1B" w:rsidP="00B93E1B">
      <w:pPr>
        <w:numPr>
          <w:ilvl w:val="0"/>
          <w:numId w:val="7"/>
        </w:numPr>
      </w:pPr>
      <w:r w:rsidRPr="00B93E1B">
        <w:rPr>
          <w:i/>
          <w:iCs/>
        </w:rPr>
        <w:t>branch laydown (infantry / ordnance / CIS / engineers / artillery / cross-branch)</w:t>
      </w:r>
      <w:r w:rsidR="00633BB8">
        <w:rPr>
          <w:i/>
          <w:iCs/>
        </w:rPr>
        <w:t xml:space="preserve"> – </w:t>
      </w:r>
      <w:r w:rsidRPr="00B93E1B">
        <w:rPr>
          <w:i/>
          <w:iCs/>
        </w:rPr>
        <w:t>inherit the echelon findings already in the first half; don't relitigate them</w:t>
      </w:r>
    </w:p>
    <w:p w14:paraId="65A9E729" w14:textId="77777777" w:rsidR="00B93E1B" w:rsidRPr="00B93E1B" w:rsidRDefault="00B93E1B" w:rsidP="00B93E1B">
      <w:pPr>
        <w:numPr>
          <w:ilvl w:val="0"/>
          <w:numId w:val="7"/>
        </w:numPr>
      </w:pPr>
      <w:r w:rsidRPr="00B93E1B">
        <w:rPr>
          <w:i/>
          <w:iCs/>
        </w:rPr>
        <w:t>Line to prove: cheap systems create the opportunity; institutions create the deterrent.</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42F6ECA3" w:rsidR="00A83B70" w:rsidRDefault="00E80E03" w:rsidP="005E2FA4">
      <w:r>
        <w:t>[]</w:t>
      </w:r>
    </w:p>
    <w:p w14:paraId="15E10228" w14:textId="77777777" w:rsidR="00A83B70" w:rsidRDefault="00A83B70">
      <w:r>
        <w:br w:type="page"/>
      </w:r>
    </w:p>
    <w:p w14:paraId="416E63C9" w14:textId="77777777" w:rsidR="005E2FA4" w:rsidRPr="005E2FA4" w:rsidRDefault="005E2FA4" w:rsidP="005E2FA4"/>
    <w:sectPr w:rsidR="005E2FA4" w:rsidRPr="005E2FA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AEBA3" w14:textId="77777777" w:rsidR="00946825" w:rsidRDefault="00946825" w:rsidP="008F41DA">
      <w:pPr>
        <w:spacing w:after="0" w:line="240" w:lineRule="auto"/>
      </w:pPr>
      <w:r>
        <w:separator/>
      </w:r>
    </w:p>
  </w:endnote>
  <w:endnote w:type="continuationSeparator" w:id="0">
    <w:p w14:paraId="3CB589A1" w14:textId="77777777" w:rsidR="00946825" w:rsidRDefault="00946825" w:rsidP="008F41DA">
      <w:pPr>
        <w:spacing w:after="0" w:line="240" w:lineRule="auto"/>
      </w:pPr>
      <w:r>
        <w:continuationSeparator/>
      </w:r>
    </w:p>
  </w:endnote>
  <w:endnote w:id="1">
    <w:p w14:paraId="44874E4A" w14:textId="77777777" w:rsidR="00A83B70" w:rsidRDefault="00A83B70" w:rsidP="00A83B70">
      <w:pPr>
        <w:pStyle w:val="EndnoteText"/>
      </w:pPr>
      <w:r>
        <w:rPr>
          <w:rStyle w:val="EndnoteReference"/>
        </w:rPr>
        <w:endnoteRef/>
      </w:r>
      <w:r>
        <w:t xml:space="preserve"> </w:t>
      </w:r>
      <w:r w:rsidRPr="007561E8">
        <w:t xml:space="preserve">Watling, J. and Bronk, J. </w:t>
      </w:r>
      <w:r w:rsidRPr="007561E8">
        <w:rPr>
          <w:i/>
          <w:iCs/>
        </w:rPr>
        <w:t>Protecting the Force from Uncrewed Aerial Systems</w:t>
      </w:r>
      <w:r w:rsidRPr="007561E8">
        <w:t xml:space="preserve">. London: Royal United Services Institute for Defence and Security Studies, 2024. Available at: </w:t>
      </w:r>
      <w:hyperlink r:id="rId1" w:tgtFrame="_new" w:history="1">
        <w:r w:rsidRPr="007561E8">
          <w:rPr>
            <w:rStyle w:val="Hyperlink"/>
          </w:rPr>
          <w:t>https://static.rusi.org/protecting-the-force-from-uncrewed-uas.pdf</w:t>
        </w:r>
      </w:hyperlink>
      <w:r w:rsidRPr="007561E8">
        <w:t xml:space="preserve"> (accessed 11 December 2025).</w:t>
      </w:r>
    </w:p>
  </w:endnote>
  <w:endnote w:id="2">
    <w:p w14:paraId="15D35244" w14:textId="77777777" w:rsidR="00A83B70" w:rsidRDefault="00A83B70" w:rsidP="00A83B70">
      <w:pPr>
        <w:pStyle w:val="EndnoteText"/>
      </w:pPr>
      <w:r>
        <w:rPr>
          <w:rStyle w:val="EndnoteReference"/>
        </w:rPr>
        <w:endnoteRef/>
      </w:r>
      <w:r>
        <w:t xml:space="preserve"> </w:t>
      </w:r>
      <w:r w:rsidRPr="00CA43AC">
        <w:t xml:space="preserve">Molloy, O. </w:t>
      </w:r>
      <w:r w:rsidRPr="00CA43AC">
        <w:rPr>
          <w:i/>
          <w:iCs/>
        </w:rPr>
        <w:t>Drones in Modern Warfare: Lessons Learnt from the War in Ukraine</w:t>
      </w:r>
      <w:r w:rsidRPr="00CA43AC">
        <w:t xml:space="preserve">. Australian Army Occasional Paper, no. 29. Canberra: Australian Army Research Centre, 2024, p. 17. DOI: 10.61451/267513. Available at: </w:t>
      </w:r>
      <w:hyperlink r:id="rId2" w:history="1">
        <w:r w:rsidRPr="00CA43AC">
          <w:rPr>
            <w:rStyle w:val="Hyperlink"/>
          </w:rPr>
          <w:t>https://researchcentre.army.gov.au/sites/default/files/241104-Occasional-Paper-29-Lessons-Learnt-from-Ukraine.pdf.pdf</w:t>
        </w:r>
      </w:hyperlink>
      <w:r w:rsidRPr="00CA43AC">
        <w:t xml:space="preserve"> (accessed 2 November 2025).</w:t>
      </w:r>
    </w:p>
  </w:endnote>
  <w:endnote w:id="3">
    <w:p w14:paraId="6707A4F6" w14:textId="77777777" w:rsidR="00A83B70" w:rsidRDefault="00A83B70" w:rsidP="00A83B70">
      <w:pPr>
        <w:pStyle w:val="EndnoteText"/>
      </w:pPr>
      <w:r>
        <w:rPr>
          <w:rStyle w:val="EndnoteReference"/>
        </w:rPr>
        <w:endnoteRef/>
      </w:r>
      <w:r>
        <w:t xml:space="preserve"> </w:t>
      </w:r>
      <w:r w:rsidRPr="00663508">
        <w:t xml:space="preserve">Fox, A. C. </w:t>
      </w:r>
      <w:r w:rsidRPr="00663508">
        <w:rPr>
          <w:i/>
          <w:iCs/>
        </w:rPr>
        <w:t>Manoeuvre Is Dead? Understanding the Conditions and Components of Warfighting</w:t>
      </w:r>
      <w:r w:rsidRPr="00663508">
        <w:t xml:space="preserve">. </w:t>
      </w:r>
      <w:r w:rsidRPr="00663508">
        <w:rPr>
          <w:i/>
          <w:iCs/>
        </w:rPr>
        <w:t>The RUSI Journal</w:t>
      </w:r>
      <w:r w:rsidRPr="00663508">
        <w:t xml:space="preserve">, 166(6–7), 2021, pp. 10–18. Available at: </w:t>
      </w:r>
      <w:hyperlink r:id="rId3" w:tgtFrame="_new" w:history="1">
        <w:r w:rsidRPr="00663508">
          <w:rPr>
            <w:rStyle w:val="Hyperlink"/>
          </w:rPr>
          <w:t>https://doi-org.may.idm.oclc.org/10.1080/03071847.2022.2058601</w:t>
        </w:r>
      </w:hyperlink>
      <w:r w:rsidRPr="00663508">
        <w:t xml:space="preserve"> (accessed 17 February 2026).</w:t>
      </w:r>
    </w:p>
  </w:endnote>
  <w:endnote w:id="4">
    <w:p w14:paraId="2B505C4B" w14:textId="77777777" w:rsidR="00A83B70" w:rsidRDefault="00A83B70" w:rsidP="00A83B70">
      <w:pPr>
        <w:pStyle w:val="EndnoteText"/>
      </w:pPr>
      <w:r>
        <w:rPr>
          <w:rStyle w:val="EndnoteReference"/>
        </w:rPr>
        <w:endnoteRef/>
      </w:r>
      <w:r>
        <w:t xml:space="preserve"> </w:t>
      </w:r>
      <w:r w:rsidRPr="008F12D3">
        <w:t xml:space="preserve">Cornish, P. </w:t>
      </w:r>
      <w:r w:rsidRPr="008F12D3">
        <w:rPr>
          <w:i/>
          <w:iCs/>
        </w:rPr>
        <w:t>SDR Threats Series: Styles and Themes of Contemporary Warfare</w:t>
      </w:r>
      <w:r w:rsidRPr="008F12D3">
        <w:t xml:space="preserve">. </w:t>
      </w:r>
      <w:r w:rsidRPr="008F12D3">
        <w:rPr>
          <w:i/>
          <w:iCs/>
        </w:rPr>
        <w:t>This Means War</w:t>
      </w:r>
      <w:r w:rsidRPr="008F12D3">
        <w:t xml:space="preserve"> podcast, interview by P. Roberts, 2024. Available at: </w:t>
      </w:r>
      <w:hyperlink r:id="rId4" w:tgtFrame="_new" w:history="1">
        <w:r w:rsidRPr="008F12D3">
          <w:rPr>
            <w:rStyle w:val="Hyperlink"/>
          </w:rPr>
          <w:t>https://podcasts.apple.com/gb/podcast/sdr-threats-series-styles-and-themes-of/id1629454648?i=1000675880639</w:t>
        </w:r>
      </w:hyperlink>
      <w:r w:rsidRPr="008F12D3">
        <w:t xml:space="preserve"> (accessed 10 February 2026)</w:t>
      </w:r>
      <w:r>
        <w:t xml:space="preserve">; </w:t>
      </w:r>
      <w:r w:rsidRPr="00BF1C5A">
        <w:t xml:space="preserve">Revels, W. and Uribe, E. </w:t>
      </w:r>
      <w:r w:rsidRPr="00BF1C5A">
        <w:rPr>
          <w:i/>
          <w:iCs/>
        </w:rPr>
        <w:t>Drones Won't Save Us: Learning the Wrong Lessons from Ukraine Will Cost the US Army Its Edge in Maneuver Warfare</w:t>
      </w:r>
      <w:r w:rsidRPr="00BF1C5A">
        <w:t xml:space="preserve">. </w:t>
      </w:r>
      <w:r w:rsidRPr="00BF1C5A">
        <w:rPr>
          <w:i/>
          <w:iCs/>
        </w:rPr>
        <w:t>Modern War Institute at West Point</w:t>
      </w:r>
      <w:r w:rsidRPr="00BF1C5A">
        <w:t xml:space="preserve">, 11 May 2025. Available at: </w:t>
      </w:r>
      <w:hyperlink r:id="rId5" w:history="1">
        <w:r w:rsidRPr="00BF1C5A">
          <w:rPr>
            <w:rStyle w:val="Hyperlink"/>
          </w:rPr>
          <w:t>https://mwi.westpoint.edu/drones-wont-save-us-learning-the-wrong-lessons-from-ukraine-will-cost-the-us-army-its-edge-in-maneuver-warfare/</w:t>
        </w:r>
      </w:hyperlink>
      <w:r w:rsidRPr="00BF1C5A">
        <w:t xml:space="preserve"> (accessed 12 February 2026)</w:t>
      </w:r>
      <w:r>
        <w:t xml:space="preserve">; </w:t>
      </w:r>
      <w:r w:rsidRPr="008F12D3">
        <w:t xml:space="preserve">Watling, J. and Danylyuk, O. V. </w:t>
      </w:r>
      <w:r w:rsidRPr="008F12D3">
        <w:rPr>
          <w:i/>
          <w:iCs/>
        </w:rPr>
        <w:t>Preliminary Lessons from Ukraine's Offensive Operations, 2022–23</w:t>
      </w:r>
      <w:r w:rsidRPr="008F12D3">
        <w:t xml:space="preserve">. London: Royal United Services Institute for Defence and Security Studies, 2024. Available at: </w:t>
      </w:r>
      <w:hyperlink r:id="rId6" w:tgtFrame="_new" w:history="1">
        <w:r w:rsidRPr="008F12D3">
          <w:rPr>
            <w:rStyle w:val="Hyperlink"/>
          </w:rPr>
          <w:t>https://static.rusi.org/lessons-learned-ukraine-offensive-2022-23.pdf</w:t>
        </w:r>
      </w:hyperlink>
      <w:r w:rsidRPr="008F12D3">
        <w:t xml:space="preserve"> (accessed 11 December 2025).</w:t>
      </w:r>
    </w:p>
  </w:endnote>
  <w:endnote w:id="5">
    <w:p w14:paraId="44F16471" w14:textId="77777777" w:rsidR="00A83B70" w:rsidRDefault="00A83B70" w:rsidP="00A83B70">
      <w:pPr>
        <w:pStyle w:val="EndnoteText"/>
      </w:pPr>
      <w:r>
        <w:rPr>
          <w:rStyle w:val="EndnoteReference"/>
        </w:rPr>
        <w:end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endnote>
  <w:endnote w:id="6">
    <w:p w14:paraId="7BA7098E" w14:textId="77777777" w:rsidR="00A83B70" w:rsidRDefault="00A83B70" w:rsidP="00A83B70">
      <w:pPr>
        <w:pStyle w:val="EndnoteText"/>
      </w:pPr>
      <w:r>
        <w:rPr>
          <w:rStyle w:val="EndnoteReference"/>
        </w:rPr>
        <w:end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endnote>
  <w:endnote w:id="7">
    <w:p w14:paraId="522689DE" w14:textId="77777777" w:rsidR="00A83B70" w:rsidRDefault="00A83B70" w:rsidP="00A83B70">
      <w:pPr>
        <w:pStyle w:val="EndnoteText"/>
      </w:pPr>
      <w:r>
        <w:rPr>
          <w:rStyle w:val="EndnoteReference"/>
        </w:rPr>
        <w:endnoteRef/>
      </w:r>
      <w:r>
        <w:t xml:space="preserve"> </w:t>
      </w:r>
      <w:r w:rsidRPr="007F74B6">
        <w:t xml:space="preserve">Mearsheimer, J. J. </w:t>
      </w:r>
      <w:r w:rsidRPr="007F74B6">
        <w:rPr>
          <w:i/>
          <w:iCs/>
        </w:rPr>
        <w:t>Back to the Future: Instability in Europe After the Cold War</w:t>
      </w:r>
      <w:r w:rsidRPr="007F74B6">
        <w:t xml:space="preserve">. </w:t>
      </w:r>
      <w:r w:rsidRPr="007F74B6">
        <w:rPr>
          <w:i/>
          <w:iCs/>
        </w:rPr>
        <w:t>International Security</w:t>
      </w:r>
      <w:r w:rsidRPr="007F74B6">
        <w:t xml:space="preserve">, 15(1), 1990, pp. 5–56. Available at: </w:t>
      </w:r>
      <w:hyperlink r:id="rId7" w:history="1">
        <w:r w:rsidRPr="007F74B6">
          <w:rPr>
            <w:rStyle w:val="Hyperlink"/>
          </w:rPr>
          <w:t>https://www.jstor.org/stable/2538981</w:t>
        </w:r>
      </w:hyperlink>
      <w:r w:rsidRPr="007F74B6">
        <w:t xml:space="preserve"> (accessed 29 November 2025).</w:t>
      </w:r>
    </w:p>
  </w:endnote>
  <w:endnote w:id="8">
    <w:p w14:paraId="2B83D81A" w14:textId="77777777" w:rsidR="00A83B70" w:rsidRDefault="00A83B70" w:rsidP="00A83B70">
      <w:pPr>
        <w:pStyle w:val="EndnoteText"/>
      </w:pPr>
      <w:r>
        <w:rPr>
          <w:rStyle w:val="EndnoteReference"/>
        </w:rPr>
        <w:end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endnote>
  <w:endnote w:id="9">
    <w:p w14:paraId="7C0617BC" w14:textId="77777777" w:rsidR="00A83B70" w:rsidRPr="006860C6" w:rsidRDefault="00A83B70" w:rsidP="00A83B70">
      <w:pPr>
        <w:pStyle w:val="FootnoteText"/>
        <w:rPr>
          <w:rStyle w:val="Hyperlink"/>
        </w:rPr>
      </w:pPr>
      <w:r>
        <w:rPr>
          <w:rStyle w:val="EndnoteReference"/>
        </w:rPr>
        <w:endnoteRef/>
      </w:r>
      <w:r>
        <w:t xml:space="preserve"> Statsministeriet (2026). Fællesudtalelse om Grønland [online]. Available at: </w:t>
      </w:r>
      <w:r>
        <w:fldChar w:fldCharType="begin"/>
      </w:r>
      <w:r>
        <w:instrText>HYPERLINK "https://stm.dk/media/qo2dyzxy/erklaering-gl.pdf"</w:instrText>
      </w:r>
      <w:r>
        <w:fldChar w:fldCharType="separate"/>
      </w:r>
      <w:r w:rsidRPr="006860C6">
        <w:rPr>
          <w:rStyle w:val="Hyperlink"/>
        </w:rPr>
        <w:t>https://s</w:t>
      </w:r>
    </w:p>
    <w:p w14:paraId="10C993A4" w14:textId="77777777" w:rsidR="00A83B70" w:rsidRDefault="00A83B70" w:rsidP="00A83B70">
      <w:pPr>
        <w:pStyle w:val="EndnoteText"/>
      </w:pPr>
      <w:r w:rsidRPr="006860C6">
        <w:rPr>
          <w:rStyle w:val="Hyperlink"/>
        </w:rPr>
        <w:t>tm.dk/media/qo2dyzxy/erklaering-gl.pdf</w:t>
      </w:r>
      <w:r>
        <w:fldChar w:fldCharType="end"/>
      </w:r>
      <w:r>
        <w:t xml:space="preserve"> (accessed 1 April 2026).</w:t>
      </w:r>
    </w:p>
  </w:endnote>
  <w:endnote w:id="10">
    <w:p w14:paraId="2031B64C" w14:textId="77777777" w:rsidR="00A83B70" w:rsidRDefault="00A83B70" w:rsidP="00A83B70">
      <w:pPr>
        <w:pStyle w:val="EndnoteText"/>
      </w:pPr>
      <w:r>
        <w:rPr>
          <w:rStyle w:val="EndnoteReference"/>
        </w:rPr>
        <w:endnoteRef/>
      </w:r>
      <w:r>
        <w:t xml:space="preserve"> </w:t>
      </w:r>
      <w:r w:rsidRPr="00370942">
        <w:t xml:space="preserve">European Defence Agency. </w:t>
      </w:r>
      <w:r w:rsidRPr="00370942">
        <w:rPr>
          <w:i/>
          <w:iCs/>
        </w:rPr>
        <w:t>The 2023 EU Capability Development Priorities: To Be Ready</w:t>
      </w:r>
      <w:r w:rsidRPr="00370942">
        <w:t xml:space="preserve">. Brussels: European Defence Agency, 2023. Available at: </w:t>
      </w:r>
      <w:hyperlink r:id="rId8" w:history="1">
        <w:r w:rsidRPr="00370942">
          <w:rPr>
            <w:rStyle w:val="Hyperlink"/>
          </w:rPr>
          <w:t>https://eda.europa.eu/docs/default-source/eda-publications/2023-eu-capability-development-priorities.pdf</w:t>
        </w:r>
      </w:hyperlink>
      <w:r w:rsidRPr="00370942">
        <w:t xml:space="preserve"> (accessed 22 June 2026)</w:t>
      </w:r>
      <w:r>
        <w:t xml:space="preserve">; </w:t>
      </w:r>
      <w:r w:rsidRPr="0045714A">
        <w:t xml:space="preserve">NATO Allied Command Transformation. </w:t>
      </w:r>
      <w:r w:rsidRPr="0045714A">
        <w:rPr>
          <w:i/>
          <w:iCs/>
        </w:rPr>
        <w:t>NATO CD&amp;E Handbook: A Concept Developer's Toolbox</w:t>
      </w:r>
      <w:r w:rsidRPr="0045714A">
        <w:t xml:space="preserve">. Norfolk, VA: Allied Command Transformation, 2023. Available at: </w:t>
      </w:r>
      <w:hyperlink r:id="rId9" w:history="1">
        <w:r w:rsidRPr="0045714A">
          <w:rPr>
            <w:rStyle w:val="Hyperlink"/>
          </w:rPr>
          <w:t>https://www.act.nato.int/wp-content/uploads/2023/05/NATO-ACT-CDE-Handbook_A_Concept_Developers_Toolbox.pdf</w:t>
        </w:r>
      </w:hyperlink>
      <w:r w:rsidRPr="0045714A">
        <w:t xml:space="preserve"> (accessed 22 June 2026).</w:t>
      </w:r>
    </w:p>
  </w:endnote>
  <w:endnote w:id="11">
    <w:p w14:paraId="2E2B5289" w14:textId="77777777" w:rsidR="00A83B70" w:rsidRDefault="00A83B70" w:rsidP="00A83B70">
      <w:pPr>
        <w:pStyle w:val="EndnoteText"/>
      </w:pPr>
      <w:r>
        <w:rPr>
          <w:rStyle w:val="EndnoteReference"/>
        </w:rPr>
        <w:endnoteRef/>
      </w:r>
      <w:r>
        <w:t xml:space="preserve"> TM 201</w:t>
      </w:r>
    </w:p>
  </w:endnote>
  <w:endnote w:id="12">
    <w:p w14:paraId="4F0A0BD7" w14:textId="77777777" w:rsidR="00A83B70" w:rsidRDefault="00A83B70" w:rsidP="00A83B70">
      <w:pPr>
        <w:pStyle w:val="EndnoteText"/>
      </w:pPr>
      <w:r>
        <w:rPr>
          <w:rStyle w:val="EndnoteReference"/>
        </w:rPr>
        <w:end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10" w:tgtFrame="_new" w:history="1">
        <w:r w:rsidRPr="003E5AA4">
          <w:rPr>
            <w:rStyle w:val="Hyperlink"/>
          </w:rPr>
          <w:t>https://www.thejournal.ie/new-apc-vehicles-maybe-coming-from-france-6623112-Feb2025/</w:t>
        </w:r>
      </w:hyperlink>
      <w:r w:rsidRPr="003E5AA4">
        <w:t xml:space="preserve"> (accessed 24 February 2026).</w:t>
      </w:r>
    </w:p>
  </w:endnote>
  <w:endnote w:id="13">
    <w:p w14:paraId="4F75082D" w14:textId="77777777" w:rsidR="00A83B70" w:rsidRDefault="00A83B70" w:rsidP="00A83B70">
      <w:pPr>
        <w:pStyle w:val="EndnoteText"/>
      </w:pPr>
      <w:r>
        <w:rPr>
          <w:rStyle w:val="EndnoteReference"/>
        </w:rPr>
        <w:end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11" w:history="1">
        <w:r w:rsidRPr="002F0568">
          <w:rPr>
            <w:rStyle w:val="Hyperlink"/>
          </w:rPr>
          <w:t>https://www.mca-marines.org/wp-content/uploads/23-The-Ultra-Light.pdf</w:t>
        </w:r>
      </w:hyperlink>
      <w:r w:rsidRPr="002F0568">
        <w:t xml:space="preserve"> (accessed 21 June 2026).</w:t>
      </w:r>
    </w:p>
  </w:endnote>
  <w:endnote w:id="14">
    <w:p w14:paraId="57C794B7" w14:textId="77777777" w:rsidR="00A83B70" w:rsidRDefault="00A83B70" w:rsidP="00A83B70">
      <w:pPr>
        <w:pStyle w:val="EndnoteText"/>
      </w:pPr>
      <w:r>
        <w:rPr>
          <w:rStyle w:val="EndnoteReference"/>
        </w:rPr>
        <w:endnoteRef/>
      </w:r>
      <w:r>
        <w:t xml:space="preserve"> </w:t>
      </w:r>
      <w:r w:rsidRPr="001470B3">
        <w:t xml:space="preserve">Néron-Bancel, P. and Garnier, G. </w:t>
      </w:r>
      <w:r w:rsidRPr="001470B3">
        <w:rPr>
          <w:i/>
          <w:iCs/>
        </w:rPr>
        <w:t>At the Other Side of the Hill: The Benefits and False Promises of Battlefield Transparency</w:t>
      </w:r>
      <w:r w:rsidRPr="001470B3">
        <w:t xml:space="preserve">. Paris: Institut français des relations internationales (IFRI), 27 May 2024, p. 45. Available at: </w:t>
      </w:r>
      <w:hyperlink r:id="rId12" w:tgtFrame="_new" w:history="1">
        <w:r w:rsidRPr="001470B3">
          <w:rPr>
            <w:rStyle w:val="Hyperlink"/>
          </w:rPr>
          <w:t>https://www.ifri.org/en/studies/other-side-hill-benefits-and-false-promises-battlefield-transparency</w:t>
        </w:r>
      </w:hyperlink>
      <w:r w:rsidRPr="001470B3">
        <w:t xml:space="preserve"> (accessed 17 March 2026).</w:t>
      </w:r>
    </w:p>
  </w:endnote>
  <w:endnote w:id="15">
    <w:p w14:paraId="1EA11FAD" w14:textId="77777777" w:rsidR="00A83B70" w:rsidRDefault="00A83B70" w:rsidP="00A83B70">
      <w:pPr>
        <w:pStyle w:val="EndnoteText"/>
      </w:pPr>
      <w:r>
        <w:rPr>
          <w:rStyle w:val="EndnoteReference"/>
        </w:rPr>
        <w:endnoteRef/>
      </w:r>
      <w:r>
        <w:t xml:space="preserve"> </w:t>
      </w:r>
      <w:r w:rsidRPr="008E0498">
        <w:t>Joret, G. “What Specialization of the Infantry in Armored Combat Operations?”, Fantassins, no. 52, Spring–Summer 2024, pp. 125–130, pp. 129–130; Bouffard, J. “The Infantry Regiment Model 2030”, Fantassins, no. 52, Spring–Summer 2024, pp. 15–20, p. 18.</w:t>
      </w:r>
    </w:p>
  </w:endnote>
  <w:endnote w:id="16">
    <w:p w14:paraId="2648F89B" w14:textId="77777777" w:rsidR="00A83B70" w:rsidRDefault="00A83B70" w:rsidP="00A83B70">
      <w:pPr>
        <w:pStyle w:val="EndnoteText"/>
      </w:pPr>
      <w:r>
        <w:rPr>
          <w:rStyle w:val="EndnoteReference"/>
        </w:rPr>
        <w:endnoteRef/>
      </w:r>
      <w:r>
        <w:t xml:space="preserve"> </w:t>
      </w:r>
      <w:r w:rsidRPr="00B47134">
        <w:t xml:space="preserve">UK Ministry of Defence and Defence Science and Technology Laboratory. </w:t>
      </w:r>
      <w:r w:rsidRPr="00B47134">
        <w:rPr>
          <w:i/>
          <w:iCs/>
        </w:rPr>
        <w:t>British Army Experiments with Dstl Study on Urban Combat</w:t>
      </w:r>
      <w:r w:rsidRPr="00B47134">
        <w:t xml:space="preserve">. GOV.UK News Story, 30 March 2023. Available at: </w:t>
      </w:r>
      <w:hyperlink r:id="rId13" w:history="1">
        <w:r w:rsidRPr="00B47134">
          <w:rPr>
            <w:rStyle w:val="Hyperlink"/>
          </w:rPr>
          <w:t>https://www.gov.uk/government/news/british-army-experiments-with-dstl-study-on-urban-combat</w:t>
        </w:r>
      </w:hyperlink>
      <w:r w:rsidRPr="00B47134">
        <w:t xml:space="preserve"> (accessed 22 June 2026)</w:t>
      </w:r>
      <w:r>
        <w:t xml:space="preserve">; </w:t>
      </w:r>
      <w:r w:rsidRPr="00B47134">
        <w:t xml:space="preserve">Spencer, J. </w:t>
      </w:r>
      <w:r w:rsidRPr="00B47134">
        <w:rPr>
          <w:i/>
          <w:iCs/>
        </w:rPr>
        <w:t>Creating a Unit Optimized for Urban Warfare</w:t>
      </w:r>
      <w:r w:rsidRPr="00B47134">
        <w:t xml:space="preserve">. </w:t>
      </w:r>
      <w:r w:rsidRPr="00B47134">
        <w:rPr>
          <w:i/>
          <w:iCs/>
        </w:rPr>
        <w:t>Modern War Institute at West Point</w:t>
      </w:r>
      <w:r w:rsidRPr="00B47134">
        <w:t xml:space="preserve">, 18 August 2023. Available at: </w:t>
      </w:r>
      <w:hyperlink r:id="rId14" w:history="1">
        <w:r w:rsidRPr="00B47134">
          <w:rPr>
            <w:rStyle w:val="Hyperlink"/>
          </w:rPr>
          <w:t>https://mwi.westpoint.edu/creating-a-unit-optimized-for-urban-warfare/</w:t>
        </w:r>
      </w:hyperlink>
      <w:r w:rsidRPr="00B47134">
        <w:t xml:space="preserve"> (accessed 22 June 2026).</w:t>
      </w:r>
    </w:p>
  </w:endnote>
  <w:endnote w:id="17">
    <w:p w14:paraId="58761418" w14:textId="77777777" w:rsidR="00A83B70" w:rsidRDefault="00A83B70" w:rsidP="00A83B70">
      <w:pPr>
        <w:pStyle w:val="EndnoteText"/>
      </w:pPr>
      <w:r>
        <w:rPr>
          <w:rStyle w:val="EndnoteReference"/>
        </w:rPr>
        <w:endnoteRef/>
      </w:r>
      <w:r>
        <w:t xml:space="preserve"> </w:t>
      </w:r>
      <w:r w:rsidRPr="002405F1">
        <w:t xml:space="preserve">Ministère des Armées. </w:t>
      </w:r>
      <w:r w:rsidRPr="002405F1">
        <w:rPr>
          <w:i/>
          <w:iCs/>
        </w:rPr>
        <w:t>Gévaudan 26 : Les Légionnaires au Combat</w:t>
      </w:r>
      <w:r w:rsidRPr="002405F1">
        <w:t xml:space="preserve">. 25 February 2026. Available at: </w:t>
      </w:r>
      <w:hyperlink r:id="rId15" w:tgtFrame="_new" w:history="1">
        <w:r w:rsidRPr="002405F1">
          <w:rPr>
            <w:rStyle w:val="Hyperlink"/>
          </w:rPr>
          <w:t>https://www.defense.gouv.fr/terre/actualites/gevaudan-26-legionnaires-au-combat</w:t>
        </w:r>
      </w:hyperlink>
      <w:r w:rsidRPr="002405F1">
        <w:t xml:space="preserve"> (accessed 1 April 2026)</w:t>
      </w:r>
      <w:r>
        <w:t xml:space="preserve">; </w:t>
      </w:r>
      <w:r w:rsidRPr="002405F1">
        <w:t xml:space="preserve">TF1 INFO. </w:t>
      </w:r>
      <w:r w:rsidRPr="002405F1">
        <w:rPr>
          <w:i/>
          <w:iCs/>
        </w:rPr>
        <w:t>Légion étrangère : Au Coeur d'un Entraînement Plus Vrai que Nature</w:t>
      </w:r>
      <w:r w:rsidRPr="002405F1">
        <w:t xml:space="preserve">. YouTube video, 21 February 2026. Available at: </w:t>
      </w:r>
      <w:hyperlink r:id="rId16" w:tgtFrame="_new" w:history="1">
        <w:r w:rsidRPr="002405F1">
          <w:rPr>
            <w:rStyle w:val="Hyperlink"/>
          </w:rPr>
          <w:t>https://www.youtube.com/watch?v=fkE1H-jy3NE</w:t>
        </w:r>
      </w:hyperlink>
      <w:r w:rsidRPr="002405F1">
        <w:t xml:space="preserve"> (accessed 1 April 2026)</w:t>
      </w:r>
      <w:r>
        <w:t xml:space="preserve">; </w:t>
      </w:r>
      <w:r w:rsidRPr="002405F1">
        <w:t xml:space="preserve">Melchior, J. K. </w:t>
      </w:r>
      <w:r w:rsidRPr="002405F1">
        <w:rPr>
          <w:i/>
          <w:iCs/>
        </w:rPr>
        <w:t>NATO Has Seen the Future and Is Unprepared</w:t>
      </w:r>
      <w:r w:rsidRPr="002405F1">
        <w:t xml:space="preserve">. </w:t>
      </w:r>
      <w:r w:rsidRPr="002405F1">
        <w:rPr>
          <w:i/>
          <w:iCs/>
        </w:rPr>
        <w:t>Wall Street Journal</w:t>
      </w:r>
      <w:r w:rsidRPr="002405F1">
        <w:t xml:space="preserve">, 2020. Available at: </w:t>
      </w:r>
      <w:hyperlink r:id="rId17" w:tgtFrame="_new" w:history="1">
        <w:r w:rsidRPr="002405F1">
          <w:rPr>
            <w:rStyle w:val="Hyperlink"/>
          </w:rPr>
          <w:t>https://www.wsj.com/opinion/nato-has-seen-the-future-and-is-unprepared-887eaf0f</w:t>
        </w:r>
      </w:hyperlink>
      <w:r w:rsidRPr="002405F1">
        <w:t xml:space="preserve"> (accessed 13 February 2026).</w:t>
      </w:r>
    </w:p>
  </w:endnote>
  <w:endnote w:id="18">
    <w:p w14:paraId="44EDC8FD" w14:textId="77777777" w:rsidR="00A83B70" w:rsidRPr="00BF0F0F" w:rsidRDefault="00A83B70" w:rsidP="00A83B70">
      <w:pPr>
        <w:pStyle w:val="FootnoteText"/>
      </w:pPr>
      <w:r>
        <w:rPr>
          <w:rStyle w:val="EndnoteReference"/>
        </w:rPr>
        <w:endnoteRef/>
      </w:r>
      <w:r>
        <w:t xml:space="preserve"> </w:t>
      </w:r>
      <w:r w:rsidRPr="00BF0F0F">
        <w:t xml:space="preserve">Molloy, O. </w:t>
      </w:r>
      <w:r w:rsidRPr="00BF0F0F">
        <w:rPr>
          <w:i/>
          <w:iCs/>
        </w:rPr>
        <w:t>Drones in Modern Warfare: Lessons Learnt from the War in Ukraine</w:t>
      </w:r>
      <w:r w:rsidRPr="00BF0F0F">
        <w:t xml:space="preserve">. Australian Army Occasional Paper, no. 29. Canberra: Australian Army Research Centre, 2024, p. </w:t>
      </w:r>
      <w:r>
        <w:t>78</w:t>
      </w:r>
      <w:r w:rsidRPr="00BF0F0F">
        <w:t xml:space="preserve">. DOI: 10.61451/267513. Available at: </w:t>
      </w:r>
      <w:hyperlink r:id="rId18" w:history="1">
        <w:r w:rsidRPr="00BF0F0F">
          <w:rPr>
            <w:rStyle w:val="Hyperlink"/>
          </w:rPr>
          <w:t>https://researchcentre.army.gov.au/sites/default/files/241104-Occasional-Paper-29-Lessons-Learnt-from-Ukraine.pdf.pdf</w:t>
        </w:r>
      </w:hyperlink>
      <w:r w:rsidRPr="00BF0F0F">
        <w:t xml:space="preserve"> (accessed 2 November 2025).</w:t>
      </w:r>
    </w:p>
    <w:p w14:paraId="71447DCE" w14:textId="77777777" w:rsidR="00A83B70" w:rsidRDefault="00A83B70" w:rsidP="00A83B70">
      <w:pPr>
        <w:pStyle w:val="EndnoteText"/>
      </w:pPr>
    </w:p>
  </w:endnote>
  <w:endnote w:id="19">
    <w:p w14:paraId="6B9B3741" w14:textId="77777777" w:rsidR="00A83B70" w:rsidRDefault="00A83B70" w:rsidP="00A83B70">
      <w:pPr>
        <w:pStyle w:val="EndnoteText"/>
      </w:pPr>
      <w:r>
        <w:rPr>
          <w:rStyle w:val="EndnoteReference"/>
        </w:rPr>
        <w:endnoteRef/>
      </w:r>
      <w:r>
        <w:t xml:space="preserve"> </w:t>
      </w:r>
      <w:r w:rsidRPr="009F3487">
        <w:t xml:space="preserve">Lanchester, F. W. </w:t>
      </w:r>
      <w:r w:rsidRPr="009F3487">
        <w:rPr>
          <w:i/>
          <w:iCs/>
        </w:rPr>
        <w:t>Aircraft in Warfare: The Dawn of the Fourth Arm</w:t>
      </w:r>
      <w:r w:rsidRPr="009F3487">
        <w:t>. London: Constable and Company Limited, 1916.</w:t>
      </w:r>
    </w:p>
  </w:endnote>
  <w:endnote w:id="20">
    <w:p w14:paraId="3CA39659" w14:textId="77777777" w:rsidR="00A83B70" w:rsidRDefault="00A83B70" w:rsidP="00A83B70">
      <w:pPr>
        <w:pStyle w:val="EndnoteText"/>
      </w:pPr>
      <w:r>
        <w:rPr>
          <w:rStyle w:val="EndnoteReference"/>
        </w:rPr>
        <w:endnoteRef/>
      </w:r>
      <w:r>
        <w:t xml:space="preserve"> </w:t>
      </w:r>
      <w:r w:rsidRPr="009F3487">
        <w:t xml:space="preserve">Mearsheimer, J. J. </w:t>
      </w:r>
      <w:r w:rsidRPr="009F3487">
        <w:rPr>
          <w:i/>
          <w:iCs/>
        </w:rPr>
        <w:t>Assessing the Conventional Balance: The 3:1 Rule and Its Critics</w:t>
      </w:r>
      <w:r w:rsidRPr="009F3487">
        <w:t xml:space="preserve">. </w:t>
      </w:r>
      <w:r w:rsidRPr="009F3487">
        <w:rPr>
          <w:i/>
          <w:iCs/>
        </w:rPr>
        <w:t>International Security</w:t>
      </w:r>
      <w:r w:rsidRPr="009F3487">
        <w:t xml:space="preserve">, 13(4), 1989, pp. 54–89. Available at: </w:t>
      </w:r>
      <w:hyperlink r:id="rId19" w:tgtFrame="_new" w:history="1">
        <w:r w:rsidRPr="009F3487">
          <w:rPr>
            <w:rStyle w:val="Hyperlink"/>
          </w:rPr>
          <w:t>https://www.jstor.org/stable/2538780</w:t>
        </w:r>
      </w:hyperlink>
      <w:r w:rsidRPr="009F3487">
        <w:t xml:space="preserve"> (accessed 29 March 2025).</w:t>
      </w:r>
    </w:p>
  </w:endnote>
  <w:endnote w:id="21">
    <w:p w14:paraId="6ACBB729" w14:textId="77777777" w:rsidR="00A83B70" w:rsidRDefault="00A83B70" w:rsidP="00A83B70">
      <w:pPr>
        <w:pStyle w:val="EndnoteText"/>
      </w:pPr>
      <w:r>
        <w:rPr>
          <w:rStyle w:val="EndnoteReference"/>
        </w:rPr>
        <w:endnoteRef/>
      </w:r>
      <w:r>
        <w:t xml:space="preserve"> </w:t>
      </w:r>
      <w:r w:rsidRPr="00327715">
        <w:t xml:space="preserve">Beatty, A.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r>
        <w:t xml:space="preserve"> </w:t>
      </w:r>
      <w:r w:rsidRPr="00C12DA0">
        <w:t xml:space="preserve">The salvo column estimates the number and cost of effectors required to defeat an armoured company. </w:t>
      </w:r>
      <w:r w:rsidRPr="007A6FF0">
        <w:t>Effect is normalised to delivered shaped-charge mass, not raw payload:</w:t>
      </w:r>
      <w:r>
        <w:t xml:space="preserve"> </w:t>
      </w:r>
      <w:r w:rsidRPr="00C12DA0">
        <w:t>OWADs are calculated against the 100</w:t>
      </w:r>
      <w:r>
        <w:t>-</w:t>
      </w:r>
      <w:r w:rsidRPr="00C12DA0">
        <w:t>k</w:t>
      </w:r>
      <w:r>
        <w:t>ilogram</w:t>
      </w:r>
      <w:r w:rsidRPr="00C12DA0">
        <w:t xml:space="preserve"> shaped-charge requirement in Bronk and Watling; Javelin is calculated as six missiles at assumed 100 percent kill probability against the 40–60 per cent immobilisation threshold – an assumption</w:t>
      </w:r>
      <w:r>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20" w:history="1">
        <w:r w:rsidRPr="00C12DA0">
          <w:rPr>
            <w:rStyle w:val="Hyperlink"/>
          </w:rPr>
          <w:t>https://static.rusi.org/mass-precision-strike-final.pdf</w:t>
        </w:r>
      </w:hyperlink>
      <w:r w:rsidRPr="00C12DA0">
        <w:t xml:space="preserve"> (accessed 16 December 2025).</w:t>
      </w:r>
    </w:p>
  </w:endnote>
  <w:endnote w:id="22">
    <w:p w14:paraId="243E9024" w14:textId="77777777" w:rsidR="00A83B70" w:rsidRPr="00542C4A" w:rsidRDefault="00A83B70" w:rsidP="00A83B70">
      <w:pPr>
        <w:pStyle w:val="EndnoteText"/>
      </w:pPr>
      <w:r>
        <w:rPr>
          <w:rStyle w:val="EndnoteReference"/>
        </w:rPr>
        <w:endnoteRef/>
      </w:r>
      <w:r>
        <w:t xml:space="preserve"> </w:t>
      </w:r>
      <w:r w:rsidRPr="00542C4A">
        <w:t xml:space="preserve">Houses of the Oireachtas. </w:t>
      </w:r>
      <w:r w:rsidRPr="00542C4A">
        <w:rPr>
          <w:i/>
          <w:iCs/>
        </w:rPr>
        <w:t>Dáil Éireann Debate – Thursday, 29 September 2005: Written Answers</w:t>
      </w:r>
      <w:r w:rsidRPr="00542C4A">
        <w:t xml:space="preserve">. Vol. 606, No. 2. Dublin: Houses of the Oireachtas, 2005. Available at: </w:t>
      </w:r>
      <w:hyperlink r:id="rId21" w:history="1">
        <w:r w:rsidRPr="00542C4A">
          <w:rPr>
            <w:rStyle w:val="Hyperlink"/>
          </w:rPr>
          <w:t>https://www.oireachtas.ie/en/debates/debate/dail/2005-09-29/37/</w:t>
        </w:r>
      </w:hyperlink>
      <w:r w:rsidRPr="00542C4A">
        <w:t xml:space="preserve"> (accessed 24 June 2026).</w:t>
      </w:r>
    </w:p>
    <w:p w14:paraId="0F2C6C74" w14:textId="77777777" w:rsidR="00A83B70" w:rsidRPr="00542C4A" w:rsidRDefault="00A83B70" w:rsidP="00A83B70">
      <w:pPr>
        <w:pStyle w:val="EndnoteText"/>
      </w:pPr>
    </w:p>
    <w:p w14:paraId="36495A89" w14:textId="77777777" w:rsidR="00A83B70" w:rsidRDefault="00A83B70" w:rsidP="00A83B70">
      <w:pPr>
        <w:pStyle w:val="EndnoteText"/>
      </w:pPr>
    </w:p>
    <w:p w14:paraId="3722FCAE" w14:textId="77777777" w:rsidR="00A83B70" w:rsidRDefault="00A83B70" w:rsidP="00A83B70">
      <w:pPr>
        <w:pStyle w:val="EndnoteText"/>
      </w:pPr>
    </w:p>
    <w:p w14:paraId="544480EB" w14:textId="77777777" w:rsidR="00A83B70" w:rsidRDefault="00A83B70" w:rsidP="00A83B70">
      <w:pPr>
        <w:pStyle w:val="EndnoteText"/>
      </w:pPr>
    </w:p>
    <w:p w14:paraId="63128BD0" w14:textId="77777777" w:rsidR="00A83B70" w:rsidRDefault="00A83B70" w:rsidP="00A83B70">
      <w:pPr>
        <w:pStyle w:val="EndnoteText"/>
      </w:pPr>
    </w:p>
    <w:p w14:paraId="598A9F99" w14:textId="77777777" w:rsidR="00A83B70" w:rsidRDefault="00A83B70" w:rsidP="00A83B70">
      <w:pPr>
        <w:pStyle w:val="EndnoteText"/>
      </w:pPr>
    </w:p>
    <w:p w14:paraId="3619A625" w14:textId="77777777" w:rsidR="00A83B70" w:rsidRDefault="00A83B70" w:rsidP="00A83B70">
      <w:pPr>
        <w:pStyle w:val="EndnoteText"/>
      </w:pPr>
    </w:p>
    <w:p w14:paraId="1107B30F" w14:textId="77777777" w:rsidR="00A83B70" w:rsidRPr="001C75AE" w:rsidRDefault="00A83B70" w:rsidP="00A83B70">
      <w:pPr>
        <w:rPr>
          <w:highlight w:val="yellow"/>
        </w:rPr>
      </w:pPr>
      <w:r w:rsidRPr="001C75AE">
        <w:rPr>
          <w:highlight w:val="yellow"/>
        </w:rPr>
        <w:t xml:space="preserve">Need access to this janes article: </w:t>
      </w:r>
      <w:hyperlink r:id="rId22" w:history="1">
        <w:r w:rsidRPr="001C75AE">
          <w:rPr>
            <w:rStyle w:val="Hyperlink"/>
            <w:highlight w:val="yellow"/>
          </w:rPr>
          <w:t>https://www.janes.com/defence-intelligence-insights/defence-news/air/french-army-restructures-its-infantry-battalions</w:t>
        </w:r>
      </w:hyperlink>
    </w:p>
    <w:p w14:paraId="6F6D0337" w14:textId="77777777" w:rsidR="00A83B70" w:rsidRPr="00803FC3" w:rsidRDefault="00A83B70" w:rsidP="00A83B70">
      <w:r w:rsidRPr="001C75AE">
        <w:rPr>
          <w:highlight w:val="yellow"/>
        </w:rPr>
        <w:t>need access to this janes article: https://www.janes.com/defence-intelligence-insights/defence-news/weapons/italian-army-improves-infantry-equipment-restructures-units</w:t>
      </w:r>
    </w:p>
    <w:p w14:paraId="44213ABC" w14:textId="77777777" w:rsidR="00A83B70" w:rsidRPr="001D0016" w:rsidRDefault="00A83B70" w:rsidP="00A83B70">
      <w:r w:rsidRPr="001D0016">
        <w:rPr>
          <w:highlight w:val="yellow"/>
        </w:rPr>
        <w:t xml:space="preserve">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49D70B8C" w14:textId="77777777" w:rsidR="00A83B70" w:rsidRDefault="00A83B70" w:rsidP="00A83B70">
      <w:pPr>
        <w:pStyle w:val="Endnote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4EED4" w14:textId="77777777" w:rsidR="00946825" w:rsidRDefault="00946825" w:rsidP="008F41DA">
      <w:pPr>
        <w:spacing w:after="0" w:line="240" w:lineRule="auto"/>
      </w:pPr>
      <w:r>
        <w:separator/>
      </w:r>
    </w:p>
  </w:footnote>
  <w:footnote w:type="continuationSeparator" w:id="0">
    <w:p w14:paraId="58D2DBCB" w14:textId="77777777" w:rsidR="00946825" w:rsidRDefault="00946825" w:rsidP="008F41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17713"/>
    <w:rsid w:val="00034CC3"/>
    <w:rsid w:val="00036E74"/>
    <w:rsid w:val="000603AB"/>
    <w:rsid w:val="00063C3E"/>
    <w:rsid w:val="00065A3F"/>
    <w:rsid w:val="000773AE"/>
    <w:rsid w:val="00083769"/>
    <w:rsid w:val="0008463B"/>
    <w:rsid w:val="00092ECB"/>
    <w:rsid w:val="000A62A6"/>
    <w:rsid w:val="000B39F2"/>
    <w:rsid w:val="000C389C"/>
    <w:rsid w:val="000E53A4"/>
    <w:rsid w:val="000E74FD"/>
    <w:rsid w:val="000F0D19"/>
    <w:rsid w:val="00102312"/>
    <w:rsid w:val="0010514C"/>
    <w:rsid w:val="00107A60"/>
    <w:rsid w:val="00126E0F"/>
    <w:rsid w:val="00127BFF"/>
    <w:rsid w:val="00143911"/>
    <w:rsid w:val="00172310"/>
    <w:rsid w:val="00176EA6"/>
    <w:rsid w:val="001779D4"/>
    <w:rsid w:val="001800EF"/>
    <w:rsid w:val="001822CC"/>
    <w:rsid w:val="00182D41"/>
    <w:rsid w:val="001A3844"/>
    <w:rsid w:val="001B6642"/>
    <w:rsid w:val="001C6BAB"/>
    <w:rsid w:val="001C70DF"/>
    <w:rsid w:val="001C71F6"/>
    <w:rsid w:val="001C75AE"/>
    <w:rsid w:val="001D0016"/>
    <w:rsid w:val="001E7AE7"/>
    <w:rsid w:val="0020389D"/>
    <w:rsid w:val="00211892"/>
    <w:rsid w:val="0021641C"/>
    <w:rsid w:val="00220651"/>
    <w:rsid w:val="0022693E"/>
    <w:rsid w:val="00230C29"/>
    <w:rsid w:val="00232127"/>
    <w:rsid w:val="002405F1"/>
    <w:rsid w:val="00240A82"/>
    <w:rsid w:val="00252F20"/>
    <w:rsid w:val="00262708"/>
    <w:rsid w:val="002822C2"/>
    <w:rsid w:val="00287A7E"/>
    <w:rsid w:val="00292EE9"/>
    <w:rsid w:val="002C4F0D"/>
    <w:rsid w:val="002D603F"/>
    <w:rsid w:val="002E0EF9"/>
    <w:rsid w:val="002F0568"/>
    <w:rsid w:val="002F4644"/>
    <w:rsid w:val="0030344C"/>
    <w:rsid w:val="00327715"/>
    <w:rsid w:val="00332E1F"/>
    <w:rsid w:val="0033406E"/>
    <w:rsid w:val="003615C3"/>
    <w:rsid w:val="0036390B"/>
    <w:rsid w:val="00373773"/>
    <w:rsid w:val="00385DAB"/>
    <w:rsid w:val="00392A7C"/>
    <w:rsid w:val="003A11A1"/>
    <w:rsid w:val="003A2DA1"/>
    <w:rsid w:val="003B6230"/>
    <w:rsid w:val="003C060B"/>
    <w:rsid w:val="003E4F2A"/>
    <w:rsid w:val="003E5AA4"/>
    <w:rsid w:val="00401D26"/>
    <w:rsid w:val="004315E8"/>
    <w:rsid w:val="00431645"/>
    <w:rsid w:val="004359AF"/>
    <w:rsid w:val="00443FFE"/>
    <w:rsid w:val="00456E3A"/>
    <w:rsid w:val="0047065D"/>
    <w:rsid w:val="0047228C"/>
    <w:rsid w:val="004738DA"/>
    <w:rsid w:val="004910FE"/>
    <w:rsid w:val="004A13E6"/>
    <w:rsid w:val="004A36F5"/>
    <w:rsid w:val="004B73C3"/>
    <w:rsid w:val="004C3B35"/>
    <w:rsid w:val="004D0C8F"/>
    <w:rsid w:val="004F0B7F"/>
    <w:rsid w:val="00503231"/>
    <w:rsid w:val="005032B0"/>
    <w:rsid w:val="00524254"/>
    <w:rsid w:val="00526588"/>
    <w:rsid w:val="005532E2"/>
    <w:rsid w:val="00572323"/>
    <w:rsid w:val="00583511"/>
    <w:rsid w:val="005859B9"/>
    <w:rsid w:val="005A3FE8"/>
    <w:rsid w:val="005B47FC"/>
    <w:rsid w:val="005C4B5D"/>
    <w:rsid w:val="005D62BA"/>
    <w:rsid w:val="005D6A14"/>
    <w:rsid w:val="005E2FA4"/>
    <w:rsid w:val="005F0279"/>
    <w:rsid w:val="00602AC4"/>
    <w:rsid w:val="0060431C"/>
    <w:rsid w:val="0060740A"/>
    <w:rsid w:val="006077C5"/>
    <w:rsid w:val="00626CC9"/>
    <w:rsid w:val="0063136F"/>
    <w:rsid w:val="00633BB8"/>
    <w:rsid w:val="006376AF"/>
    <w:rsid w:val="00654E5F"/>
    <w:rsid w:val="00656D8B"/>
    <w:rsid w:val="00687BB9"/>
    <w:rsid w:val="006B245A"/>
    <w:rsid w:val="006B36F7"/>
    <w:rsid w:val="006B7283"/>
    <w:rsid w:val="006C01F9"/>
    <w:rsid w:val="006C1751"/>
    <w:rsid w:val="006D3152"/>
    <w:rsid w:val="006E0485"/>
    <w:rsid w:val="006E41D2"/>
    <w:rsid w:val="006E6DF6"/>
    <w:rsid w:val="00702A39"/>
    <w:rsid w:val="00707459"/>
    <w:rsid w:val="007114F8"/>
    <w:rsid w:val="0071161B"/>
    <w:rsid w:val="00717ED2"/>
    <w:rsid w:val="00721C39"/>
    <w:rsid w:val="00734406"/>
    <w:rsid w:val="007539C9"/>
    <w:rsid w:val="0076059B"/>
    <w:rsid w:val="00766DD3"/>
    <w:rsid w:val="0077704F"/>
    <w:rsid w:val="007A6FF0"/>
    <w:rsid w:val="007D58F9"/>
    <w:rsid w:val="007E6648"/>
    <w:rsid w:val="007F7005"/>
    <w:rsid w:val="008008AE"/>
    <w:rsid w:val="008032E8"/>
    <w:rsid w:val="00815DE9"/>
    <w:rsid w:val="008278AC"/>
    <w:rsid w:val="00833C45"/>
    <w:rsid w:val="00841CA6"/>
    <w:rsid w:val="00847D59"/>
    <w:rsid w:val="00856A81"/>
    <w:rsid w:val="0087131C"/>
    <w:rsid w:val="00880436"/>
    <w:rsid w:val="008906B6"/>
    <w:rsid w:val="008A10CC"/>
    <w:rsid w:val="008A2BAF"/>
    <w:rsid w:val="008A3F4A"/>
    <w:rsid w:val="008D1071"/>
    <w:rsid w:val="008D790E"/>
    <w:rsid w:val="008E0498"/>
    <w:rsid w:val="008E24F7"/>
    <w:rsid w:val="008E628C"/>
    <w:rsid w:val="008F1E30"/>
    <w:rsid w:val="008F41DA"/>
    <w:rsid w:val="00904C8E"/>
    <w:rsid w:val="009145A4"/>
    <w:rsid w:val="00917666"/>
    <w:rsid w:val="00925E2F"/>
    <w:rsid w:val="009305B9"/>
    <w:rsid w:val="00946825"/>
    <w:rsid w:val="00947EB5"/>
    <w:rsid w:val="00971FFB"/>
    <w:rsid w:val="00996C78"/>
    <w:rsid w:val="009A2241"/>
    <w:rsid w:val="009A4725"/>
    <w:rsid w:val="009C76EC"/>
    <w:rsid w:val="009D4618"/>
    <w:rsid w:val="009E246E"/>
    <w:rsid w:val="009E28A5"/>
    <w:rsid w:val="00A04877"/>
    <w:rsid w:val="00A04CA9"/>
    <w:rsid w:val="00A23F4E"/>
    <w:rsid w:val="00A36721"/>
    <w:rsid w:val="00A432B4"/>
    <w:rsid w:val="00A50E13"/>
    <w:rsid w:val="00A71BE2"/>
    <w:rsid w:val="00A72C99"/>
    <w:rsid w:val="00A82B6C"/>
    <w:rsid w:val="00A83B70"/>
    <w:rsid w:val="00AB0ACD"/>
    <w:rsid w:val="00AC6223"/>
    <w:rsid w:val="00AC7624"/>
    <w:rsid w:val="00AE6C88"/>
    <w:rsid w:val="00AF0C93"/>
    <w:rsid w:val="00B05986"/>
    <w:rsid w:val="00B2402D"/>
    <w:rsid w:val="00B46909"/>
    <w:rsid w:val="00B47134"/>
    <w:rsid w:val="00B53E30"/>
    <w:rsid w:val="00B62BAA"/>
    <w:rsid w:val="00B8094F"/>
    <w:rsid w:val="00B85AC3"/>
    <w:rsid w:val="00B86BAF"/>
    <w:rsid w:val="00B93E1B"/>
    <w:rsid w:val="00B94448"/>
    <w:rsid w:val="00BB2886"/>
    <w:rsid w:val="00BB3343"/>
    <w:rsid w:val="00BB3526"/>
    <w:rsid w:val="00BC252E"/>
    <w:rsid w:val="00BC4646"/>
    <w:rsid w:val="00BE2246"/>
    <w:rsid w:val="00BF065B"/>
    <w:rsid w:val="00BF4B6D"/>
    <w:rsid w:val="00C12DA0"/>
    <w:rsid w:val="00C13EBD"/>
    <w:rsid w:val="00C24B2F"/>
    <w:rsid w:val="00C31025"/>
    <w:rsid w:val="00C376F0"/>
    <w:rsid w:val="00C40892"/>
    <w:rsid w:val="00C446BB"/>
    <w:rsid w:val="00C50339"/>
    <w:rsid w:val="00C57783"/>
    <w:rsid w:val="00C74C84"/>
    <w:rsid w:val="00C76E0E"/>
    <w:rsid w:val="00C82EE9"/>
    <w:rsid w:val="00C9561E"/>
    <w:rsid w:val="00CA049A"/>
    <w:rsid w:val="00CA53E2"/>
    <w:rsid w:val="00CA5665"/>
    <w:rsid w:val="00CB1328"/>
    <w:rsid w:val="00CB2FEB"/>
    <w:rsid w:val="00CC44E2"/>
    <w:rsid w:val="00CD6625"/>
    <w:rsid w:val="00CE2CBB"/>
    <w:rsid w:val="00D02D50"/>
    <w:rsid w:val="00D04E62"/>
    <w:rsid w:val="00D0517E"/>
    <w:rsid w:val="00D11B48"/>
    <w:rsid w:val="00D31202"/>
    <w:rsid w:val="00D31766"/>
    <w:rsid w:val="00D33A77"/>
    <w:rsid w:val="00D37663"/>
    <w:rsid w:val="00D43EF2"/>
    <w:rsid w:val="00D533ED"/>
    <w:rsid w:val="00D539C9"/>
    <w:rsid w:val="00D72570"/>
    <w:rsid w:val="00D80DC3"/>
    <w:rsid w:val="00D93EFA"/>
    <w:rsid w:val="00D97A55"/>
    <w:rsid w:val="00DB5050"/>
    <w:rsid w:val="00DC5778"/>
    <w:rsid w:val="00DE1E55"/>
    <w:rsid w:val="00DE3CD3"/>
    <w:rsid w:val="00DE701E"/>
    <w:rsid w:val="00DE7342"/>
    <w:rsid w:val="00DF7EB0"/>
    <w:rsid w:val="00E05D57"/>
    <w:rsid w:val="00E15ABA"/>
    <w:rsid w:val="00E237FD"/>
    <w:rsid w:val="00E27349"/>
    <w:rsid w:val="00E27398"/>
    <w:rsid w:val="00E37A49"/>
    <w:rsid w:val="00E42B4A"/>
    <w:rsid w:val="00E44360"/>
    <w:rsid w:val="00E47DF7"/>
    <w:rsid w:val="00E503FF"/>
    <w:rsid w:val="00E600EA"/>
    <w:rsid w:val="00E60F00"/>
    <w:rsid w:val="00E80E03"/>
    <w:rsid w:val="00E851DC"/>
    <w:rsid w:val="00E9226D"/>
    <w:rsid w:val="00EB0659"/>
    <w:rsid w:val="00EB428B"/>
    <w:rsid w:val="00EB4DCB"/>
    <w:rsid w:val="00EC66DF"/>
    <w:rsid w:val="00EC7C68"/>
    <w:rsid w:val="00ED4294"/>
    <w:rsid w:val="00ED4604"/>
    <w:rsid w:val="00ED54BE"/>
    <w:rsid w:val="00EE12B1"/>
    <w:rsid w:val="00F11EA1"/>
    <w:rsid w:val="00F318C3"/>
    <w:rsid w:val="00F47AB0"/>
    <w:rsid w:val="00F553E9"/>
    <w:rsid w:val="00F92358"/>
    <w:rsid w:val="00F979A6"/>
    <w:rsid w:val="00F97F87"/>
    <w:rsid w:val="00FA2700"/>
    <w:rsid w:val="00FA51DA"/>
    <w:rsid w:val="00FA5A9C"/>
    <w:rsid w:val="00FA5FF6"/>
    <w:rsid w:val="00FB05F1"/>
    <w:rsid w:val="00FC7E0E"/>
    <w:rsid w:val="00FD26A9"/>
    <w:rsid w:val="00FF02B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endnotes.xml.rels><?xml version="1.0" encoding="UTF-8" standalone="yes"?>
<Relationships xmlns="http://schemas.openxmlformats.org/package/2006/relationships"><Relationship Id="rId8" Type="http://schemas.openxmlformats.org/officeDocument/2006/relationships/hyperlink" Target="https://eda.europa.eu/docs/default-source/eda-publications/2023-eu-capability-development-priorities.pdf" TargetMode="External"/><Relationship Id="rId13" Type="http://schemas.openxmlformats.org/officeDocument/2006/relationships/hyperlink" Target="https://www.gov.uk/government/news/british-army-experiments-with-dstl-study-on-urban-combat" TargetMode="External"/><Relationship Id="rId18" Type="http://schemas.openxmlformats.org/officeDocument/2006/relationships/hyperlink" Target="https://researchcentre.army.gov.au/sites/default/files/241104-Occasional-Paper-29-Lessons-Learnt-from-Ukraine.pdf.pdf" TargetMode="External"/><Relationship Id="rId3" Type="http://schemas.openxmlformats.org/officeDocument/2006/relationships/hyperlink" Target="https://doi-org.may.idm.oclc.org/10.1080/03071847.2022.2058601" TargetMode="External"/><Relationship Id="rId21" Type="http://schemas.openxmlformats.org/officeDocument/2006/relationships/hyperlink" Target="https://www.oireachtas.ie/en/debates/debate/dail/2005-09-29/37/" TargetMode="External"/><Relationship Id="rId7" Type="http://schemas.openxmlformats.org/officeDocument/2006/relationships/hyperlink" Target="https://www.jstor.org/stable/2538981" TargetMode="External"/><Relationship Id="rId12" Type="http://schemas.openxmlformats.org/officeDocument/2006/relationships/hyperlink" Target="https://www.ifri.org/en/studies/other-side-hill-benefits-and-false-promises-battlefield-transparency" TargetMode="External"/><Relationship Id="rId17" Type="http://schemas.openxmlformats.org/officeDocument/2006/relationships/hyperlink" Target="https://www.wsj.com/opinion/nato-has-seen-the-future-and-is-unprepared-887eaf0f" TargetMode="External"/><Relationship Id="rId2" Type="http://schemas.openxmlformats.org/officeDocument/2006/relationships/hyperlink" Target="https://researchcentre.army.gov.au/sites/default/files/241104-Occasional-Paper-29-Lessons-Learnt-from-Ukraine.pdf.pdf" TargetMode="External"/><Relationship Id="rId16" Type="http://schemas.openxmlformats.org/officeDocument/2006/relationships/hyperlink" Target="https://www.youtube.com/watch?v=fkE1H-jy3NE" TargetMode="External"/><Relationship Id="rId20" Type="http://schemas.openxmlformats.org/officeDocument/2006/relationships/hyperlink" Target="https://static.rusi.org/mass-precision-strike-final.pdf" TargetMode="External"/><Relationship Id="rId1" Type="http://schemas.openxmlformats.org/officeDocument/2006/relationships/hyperlink" Target="https://static.rusi.org/protecting-the-force-from-uncrewed-uas.pdf" TargetMode="External"/><Relationship Id="rId6" Type="http://schemas.openxmlformats.org/officeDocument/2006/relationships/hyperlink" Target="https://static.rusi.org/lessons-learned-ukraine-offensive-2022-23.pdf" TargetMode="External"/><Relationship Id="rId11" Type="http://schemas.openxmlformats.org/officeDocument/2006/relationships/hyperlink" Target="https://www.mca-marines.org/wp-content/uploads/23-The-Ultra-Light.pdf" TargetMode="External"/><Relationship Id="rId5" Type="http://schemas.openxmlformats.org/officeDocument/2006/relationships/hyperlink" Target="https://mwi.westpoint.edu/drones-wont-save-us-learning-the-wrong-lessons-from-ukraine-will-cost-the-us-army-its-edge-in-maneuver-warfare/" TargetMode="External"/><Relationship Id="rId15" Type="http://schemas.openxmlformats.org/officeDocument/2006/relationships/hyperlink" Target="https://www.defense.gouv.fr/terre/actualites/gevaudan-26-legionnaires-au-combat" TargetMode="External"/><Relationship Id="rId10" Type="http://schemas.openxmlformats.org/officeDocument/2006/relationships/hyperlink" Target="https://www.thejournal.ie/new-apc-vehicles-maybe-coming-from-france-6623112-Feb2025/" TargetMode="External"/><Relationship Id="rId19" Type="http://schemas.openxmlformats.org/officeDocument/2006/relationships/hyperlink" Target="https://www.jstor.org/stable/2538780" TargetMode="External"/><Relationship Id="rId4" Type="http://schemas.openxmlformats.org/officeDocument/2006/relationships/hyperlink" Target="https://podcasts.apple.com/gb/podcast/sdr-threats-series-styles-and-themes-of/id1629454648?i=1000675880639" TargetMode="External"/><Relationship Id="rId9" Type="http://schemas.openxmlformats.org/officeDocument/2006/relationships/hyperlink" Target="https://www.act.nato.int/wp-content/uploads/2023/05/NATO-ACT-CDE-Handbook_A_Concept_Developers_Toolbox.pdf" TargetMode="External"/><Relationship Id="rId14" Type="http://schemas.openxmlformats.org/officeDocument/2006/relationships/hyperlink" Target="https://mwi.westpoint.edu/creating-a-unit-optimized-for-urban-warfare/" TargetMode="External"/><Relationship Id="rId22" Type="http://schemas.openxmlformats.org/officeDocument/2006/relationships/hyperlink" Target="https://www.janes.com/defence-intelligence-insights/defence-news/air/french-army-restructures-its-infantry-battal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9</Pages>
  <Words>1675</Words>
  <Characters>9550</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19</cp:revision>
  <dcterms:created xsi:type="dcterms:W3CDTF">2026-06-23T08:56:00Z</dcterms:created>
  <dcterms:modified xsi:type="dcterms:W3CDTF">2026-06-24T13:03:00Z</dcterms:modified>
</cp:coreProperties>
</file>