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C"/>
          <w:sz w:val="40"/>
          <w:szCs w:val="40"/>
        </w:rPr>
        <w:t xml:space="preserve">Process Step Architecture</w:t>
      </w:r>
    </w:p>
    <w:p>
      <w:pPr>
        <w:spacing w:after="40"/>
      </w:pPr>
      <w:r>
        <w:rPr>
          <w:color w:val="2E5C8A"/>
          <w:sz w:val="24"/>
          <w:szCs w:val="24"/>
        </w:rPr>
        <w:t xml:space="preserve">Risk, Compliance &amp; Legal Review — the step-grain governed operating model</w:t>
      </w:r>
    </w:p>
    <w:p>
      <w:pPr>
        <w:pBdr>
          <w:bottom w:val="single" w:color="1F3A5C" w:sz="6"/>
        </w:pBdr>
        <w:spacing w:after="60"/>
      </w:pPr>
      <w:r>
        <w:rPr>
          <w:color w:val="555555"/>
          <w:sz w:val="18"/>
          <w:szCs w:val="18"/>
        </w:rPr>
        <w:t xml:space="preserve">Nedbank Marketing &amp; AGGPSA Ecosystem Business Architecture  ·  Modelware Systems  ·  accompanies pack v1.23.0</w:t>
      </w:r>
    </w:p>
    <w:p>
      <w:pPr>
        <w:pStyle w:val="Heading1"/>
        <w:spacing w:after="120" w:before="260"/>
      </w:pPr>
      <w:r>
        <w:rPr>
          <w:b/>
          <w:bCs/>
          <w:color w:val="1F3A5C"/>
        </w:rPr>
        <w:t xml:space="preserve">1.  Purpose and scope</w:t>
      </w:r>
    </w:p>
    <w:p>
      <w:pPr>
        <w:spacing w:after="120" w:line="276"/>
      </w:pPr>
      <w:r>
        <w:t xml:space="preserve">This document reviews the Process Step Architecture now built into the model, for risk, compliance, legal and data-governance stakeholders. It follows the assessment-and-redesign research which found the Business Process layer architecturally under-normalised: process steps were held as a pipe-separated task list inside a process row — a useful first inventory, but too coarse for best-practice BPM, decision management, information-lifecycle management, records and evidence generation, and data governance.</w:t>
      </w:r>
    </w:p>
    <w:p>
      <w:pPr>
        <w:spacing w:after="120" w:line="276"/>
      </w:pPr>
      <w:r>
        <w:t xml:space="preserve">The layer has been implemented for both organisations in the pack — Nedbank Marketing and Allan &amp; Gill Gray Philanthropy SA (AGGPSA) — because the same architectural gap and the same remedy apply to each. This review sets out what was added, why it is sound, how it is grounded in recognised standards, and the decisions that the accountable functions must still sign off.</w:t>
      </w:r>
    </w:p>
    <w:p>
      <w:pPr>
        <w:pStyle w:val="Heading1"/>
        <w:spacing w:after="120" w:before="260"/>
      </w:pPr>
      <w:r>
        <w:rPr>
          <w:b/>
          <w:bCs/>
          <w:color w:val="1F3A5C"/>
        </w:rPr>
        <w:t xml:space="preserve">2.  Overall verdict</w:t>
      </w:r>
    </w:p>
    <w:p>
      <w:pPr>
        <w:spacing w:after="120" w:line="276"/>
      </w:pPr>
      <w:r>
        <w:rPr>
          <w:b/>
          <w:bCs/>
        </w:rPr>
        <w:t xml:space="preserve">Sound, and a material uplift to auditability and defensibility. </w:t>
      </w:r>
      <w:r>
        <w:t xml:space="preserve">The redesign closes a real gap. The model was already strong as a business-architecture and AI/data traceability inventory, but traceability stopped above the real execution grain — the point where value delivery, decisioning, information-state change, control execution, record creation and evidence generation actually meet. Elevating ProcessStep to a first-class, governed object is where business architecture, BPM, information architecture, records management, decision management and data governance become one coherent operating model.</w:t>
      </w:r>
    </w:p>
    <w:p>
      <w:pPr>
        <w:pStyle w:val="Heading1"/>
        <w:spacing w:after="120" w:before="260"/>
      </w:pPr>
      <w:r>
        <w:rPr>
          <w:b/>
          <w:bCs/>
          <w:color w:val="1F3A5C"/>
        </w:rPr>
        <w:t xml:space="preserve">3.  What was added to the model</w:t>
      </w:r>
    </w:p>
    <w:p>
      <w:pPr>
        <w:spacing w:after="120" w:line="276"/>
      </w:pPr>
      <w:r>
        <w:t xml:space="preserve">The build adds the step-grain layer across the workbook, the interactive pack and the Navigator, for both organisations:</w:t>
      </w:r>
    </w:p>
    <w:p>
      <w:pPr>
        <w:pStyle w:val="ListParagraph"/>
        <w:numPr>
          <w:ilvl w:val="0"/>
          <w:numId w:val="1"/>
        </w:numPr>
        <w:spacing w:after="80" w:line="270"/>
      </w:pPr>
      <w:r>
        <w:rPr>
          <w:b/>
          <w:bCs/>
        </w:rPr>
        <w:t xml:space="preserve">17 new workbook sheets per organisation (125–141) </w:t>
      </w:r>
      <w:r>
        <w:t xml:space="preserve">— seven masters (ProcessStep, InformationConcept, InformationConceptLifecycle, RecordClass, DecisionRequirement, DecisionTable, EvidencePattern) and ten mapping sheets (Outcome, Process, Decision, InformationConcept, DataProduct, Record and Control to ProcessStep, plus Capability→InformationConcept, Record→Evidence and Evidence→Control assurance).</w:t>
      </w:r>
    </w:p>
    <w:p>
      <w:pPr>
        <w:pStyle w:val="ListParagraph"/>
        <w:numPr>
          <w:ilvl w:val="0"/>
          <w:numId w:val="1"/>
        </w:numPr>
        <w:spacing w:after="80" w:line="270"/>
      </w:pPr>
      <w:r>
        <w:rPr>
          <w:b/>
          <w:bCs/>
        </w:rPr>
        <w:t xml:space="preserve">Normalised process steps </w:t>
      </w:r>
      <w:r>
        <w:t xml:space="preserve">— 68 Nedbank steps and 54 AGGPSA steps were lifted out of the process task lists into first-class ProcessStep rows, each declaring its decision, information concept, CRUD/lifecycle transition, data-product impact, control, record and evidence.</w:t>
      </w:r>
    </w:p>
    <w:p>
      <w:pPr>
        <w:pStyle w:val="ListParagraph"/>
        <w:numPr>
          <w:ilvl w:val="0"/>
          <w:numId w:val="1"/>
        </w:numPr>
        <w:spacing w:after="80" w:line="270"/>
      </w:pPr>
      <w:r>
        <w:rPr>
          <w:b/>
          <w:bCs/>
        </w:rPr>
        <w:t xml:space="preserve">Extended end-to-end traceability </w:t>
      </w:r>
      <w:r>
        <w:t xml:space="preserve">— the traceability chain now reaches step grain, with StepID, ConceptID, CRUDAction, LifecycleState, RecordClass and EvidenceProducedAtStep added to the Extended End-to-End Traceability sheet.</w:t>
      </w:r>
    </w:p>
    <w:p>
      <w:pPr>
        <w:pStyle w:val="ListParagraph"/>
        <w:numPr>
          <w:ilvl w:val="0"/>
          <w:numId w:val="1"/>
        </w:numPr>
        <w:spacing w:after="80" w:line="270"/>
      </w:pPr>
      <w:r>
        <w:rPr>
          <w:b/>
          <w:bCs/>
        </w:rPr>
        <w:t xml:space="preserve">New app views </w:t>
      </w:r>
      <w:r>
        <w:t xml:space="preserve">— the Business Process tab now renders steps as first-class rows and adds an Information Concepts &amp; lifecycle view and a Records &amp; Evidence architecture view; the Architecture Navigator surfaces the step architecture whenever a process is selected.</w:t>
      </w:r>
    </w:p>
    <w:p>
      <w:pPr>
        <w:pStyle w:val="ListParagraph"/>
        <w:numPr>
          <w:ilvl w:val="0"/>
          <w:numId w:val="1"/>
        </w:numPr>
        <w:spacing w:after="80" w:line="270"/>
      </w:pPr>
      <w:r>
        <w:rPr>
          <w:b/>
          <w:bCs/>
        </w:rPr>
        <w:t xml:space="preserve">No change to Nedbank behaviour elsewhere </w:t>
      </w:r>
      <w:r>
        <w:t xml:space="preserve">— the layer is additive; every existing page and the whole Navigator/Graph chain behave exactly as before.</w:t>
      </w:r>
    </w:p>
    <w:p>
      <w:pPr>
        <w:pStyle w:val="Heading1"/>
        <w:spacing w:after="120" w:before="260"/>
      </w:pPr>
      <w:r>
        <w:rPr>
          <w:b/>
          <w:bCs/>
          <w:color w:val="1F3A5C"/>
        </w:rPr>
        <w:t xml:space="preserve">4.  Gap analysis and redesign</w:t>
      </w:r>
    </w:p>
    <w:p>
      <w:pPr>
        <w:spacing w:after="120" w:line="276"/>
      </w:pPr>
      <w:r>
        <w:t xml:space="preserve">The build responds directly to the gaps the research identified:</w:t>
      </w:r>
    </w:p>
    <w:tbl>
      <w:tblPr>
        <w:tblW w:type="dxa" w:w="9120"/>
        <w:tblBorders>
          <w:top w:val="single" w:color="D6DEE8" w:sz="4"/>
          <w:left w:val="single" w:color="D6DEE8" w:sz="4"/>
          <w:bottom w:val="single" w:color="D6DEE8" w:sz="4"/>
          <w:right w:val="single" w:color="D6DEE8" w:sz="4"/>
          <w:insideH w:val="single" w:color="D6DEE8" w:sz="4"/>
          <w:insideV w:val="single" w:color="D6DEE8" w:sz="4"/>
        </w:tblBorders>
      </w:tblPr>
      <w:tblGrid>
        <w:gridCol w:w="1500"/>
        <w:gridCol w:w="3000"/>
        <w:gridCol w:w="4620"/>
      </w:tblGrid>
      <w:tr>
        <w:trPr>
          <w:tblHeader/>
        </w:trPr>
        <w:tc>
          <w:tcPr>
            <w:tcW w:type="dxa" w:w="1500"/>
            <w:shd w:fill="1F3A5C" w:color="auto" w:val="clear"/>
            <w:tcMar>
              <w:top w:type="dxa" w:w="60"/>
              <w:left w:type="dxa" w:w="100"/>
              <w:bottom w:type="dxa" w:w="60"/>
              <w:right w:type="dxa" w:w="100"/>
            </w:tcMar>
          </w:tcPr>
          <w:p>
            <w:r>
              <w:rPr>
                <w:b/>
                <w:bCs/>
                <w:color w:val="FFFFFF"/>
                <w:sz w:val="18"/>
                <w:szCs w:val="18"/>
              </w:rPr>
              <w:t xml:space="preserve">Area</w:t>
            </w:r>
          </w:p>
        </w:tc>
        <w:tc>
          <w:tcPr>
            <w:tcW w:type="dxa" w:w="3000"/>
            <w:shd w:fill="1F3A5C" w:color="auto" w:val="clear"/>
            <w:tcMar>
              <w:top w:type="dxa" w:w="60"/>
              <w:left w:type="dxa" w:w="100"/>
              <w:bottom w:type="dxa" w:w="60"/>
              <w:right w:type="dxa" w:w="100"/>
            </w:tcMar>
          </w:tcPr>
          <w:p>
            <w:r>
              <w:rPr>
                <w:b/>
                <w:bCs/>
                <w:color w:val="FFFFFF"/>
                <w:sz w:val="18"/>
                <w:szCs w:val="18"/>
              </w:rPr>
              <w:t xml:space="preserve">Gap</w:t>
            </w:r>
          </w:p>
        </w:tc>
        <w:tc>
          <w:tcPr>
            <w:tcW w:type="dxa" w:w="4620"/>
            <w:shd w:fill="1F3A5C" w:color="auto" w:val="clear"/>
            <w:tcMar>
              <w:top w:type="dxa" w:w="60"/>
              <w:left w:type="dxa" w:w="100"/>
              <w:bottom w:type="dxa" w:w="60"/>
              <w:right w:type="dxa" w:w="100"/>
            </w:tcMar>
          </w:tcPr>
          <w:p>
            <w:r>
              <w:rPr>
                <w:b/>
                <w:bCs/>
                <w:color w:val="FFFFFF"/>
                <w:sz w:val="18"/>
                <w:szCs w:val="18"/>
              </w:rPr>
              <w:t xml:space="preserve">Redesign delivered</w:t>
            </w:r>
          </w:p>
        </w:tc>
      </w:tr>
      <w:tr>
        <w:tc>
          <w:tcPr>
            <w:tcW w:type="dxa" w:w="1500"/>
            <w:tcMar>
              <w:top w:type="dxa" w:w="60"/>
              <w:left w:type="dxa" w:w="100"/>
              <w:bottom w:type="dxa" w:w="60"/>
              <w:right w:type="dxa" w:w="100"/>
            </w:tcMar>
          </w:tcPr>
          <w:p>
            <w:r>
              <w:rPr>
                <w:b w:val="false"/>
                <w:bCs w:val="false"/>
                <w:color w:val="000000"/>
                <w:sz w:val="18"/>
                <w:szCs w:val="18"/>
              </w:rPr>
              <w:t xml:space="preserve">Business process modelling</w:t>
            </w:r>
          </w:p>
        </w:tc>
        <w:tc>
          <w:tcPr>
            <w:tcW w:type="dxa" w:w="3000"/>
            <w:tcMar>
              <w:top w:type="dxa" w:w="60"/>
              <w:left w:type="dxa" w:w="100"/>
              <w:bottom w:type="dxa" w:w="60"/>
              <w:right w:type="dxa" w:w="100"/>
            </w:tcMar>
          </w:tcPr>
          <w:p>
            <w:r>
              <w:rPr>
                <w:b w:val="false"/>
                <w:bCs w:val="false"/>
                <w:color w:val="000000"/>
                <w:sz w:val="18"/>
                <w:szCs w:val="18"/>
              </w:rPr>
              <w:t xml:space="preserve">Steps are not first-class objects</w:t>
            </w:r>
          </w:p>
        </w:tc>
        <w:tc>
          <w:tcPr>
            <w:tcW w:type="dxa" w:w="4620"/>
            <w:tcMar>
              <w:top w:type="dxa" w:w="60"/>
              <w:left w:type="dxa" w:w="100"/>
              <w:bottom w:type="dxa" w:w="60"/>
              <w:right w:type="dxa" w:w="100"/>
            </w:tcMar>
          </w:tcPr>
          <w:p>
            <w:r>
              <w:rPr>
                <w:b w:val="false"/>
                <w:bCs w:val="false"/>
                <w:color w:val="000000"/>
                <w:sz w:val="18"/>
                <w:szCs w:val="18"/>
              </w:rPr>
              <w:t xml:space="preserve">ProcessStep master — one row per atomic task, with BPMN, decision, CRUD, control, record and evidence fields</w:t>
            </w:r>
          </w:p>
        </w:tc>
      </w:tr>
      <w:tr>
        <w:tc>
          <w:tcPr>
            <w:tcW w:type="dxa" w:w="1500"/>
            <w:shd w:fill="F5F8FC" w:color="auto" w:val="clear"/>
            <w:tcMar>
              <w:top w:type="dxa" w:w="60"/>
              <w:left w:type="dxa" w:w="100"/>
              <w:bottom w:type="dxa" w:w="60"/>
              <w:right w:type="dxa" w:w="100"/>
            </w:tcMar>
          </w:tcPr>
          <w:p>
            <w:r>
              <w:rPr>
                <w:b w:val="false"/>
                <w:bCs w:val="false"/>
                <w:color w:val="000000"/>
                <w:sz w:val="18"/>
                <w:szCs w:val="18"/>
              </w:rPr>
              <w:t xml:space="preserve">Step-level decisions</w:t>
            </w:r>
          </w:p>
        </w:tc>
        <w:tc>
          <w:tcPr>
            <w:tcW w:type="dxa" w:w="3000"/>
            <w:shd w:fill="F5F8FC" w:color="auto" w:val="clear"/>
            <w:tcMar>
              <w:top w:type="dxa" w:w="60"/>
              <w:left w:type="dxa" w:w="100"/>
              <w:bottom w:type="dxa" w:w="60"/>
              <w:right w:type="dxa" w:w="100"/>
            </w:tcMar>
          </w:tcPr>
          <w:p>
            <w:r>
              <w:rPr>
                <w:b w:val="false"/>
                <w:bCs w:val="false"/>
                <w:color w:val="000000"/>
                <w:sz w:val="18"/>
                <w:szCs w:val="18"/>
              </w:rPr>
              <w:t xml:space="preserve">Decisions mapped at process, not step level</w:t>
            </w:r>
          </w:p>
        </w:tc>
        <w:tc>
          <w:tcPr>
            <w:tcW w:type="dxa" w:w="4620"/>
            <w:shd w:fill="F5F8FC" w:color="auto" w:val="clear"/>
            <w:tcMar>
              <w:top w:type="dxa" w:w="60"/>
              <w:left w:type="dxa" w:w="100"/>
              <w:bottom w:type="dxa" w:w="60"/>
              <w:right w:type="dxa" w:w="100"/>
            </w:tcMar>
          </w:tcPr>
          <w:p>
            <w:r>
              <w:rPr>
                <w:b w:val="false"/>
                <w:bCs w:val="false"/>
                <w:color w:val="000000"/>
                <w:sz w:val="18"/>
                <w:szCs w:val="18"/>
              </w:rPr>
              <w:t xml:space="preserve">ProcessStep_Decision map + DecisionRequirement / DecisionTable, split into process-level and step-level</w:t>
            </w:r>
          </w:p>
        </w:tc>
      </w:tr>
      <w:tr>
        <w:tc>
          <w:tcPr>
            <w:tcW w:type="dxa" w:w="1500"/>
            <w:tcMar>
              <w:top w:type="dxa" w:w="60"/>
              <w:left w:type="dxa" w:w="100"/>
              <w:bottom w:type="dxa" w:w="60"/>
              <w:right w:type="dxa" w:w="100"/>
            </w:tcMar>
          </w:tcPr>
          <w:p>
            <w:r>
              <w:rPr>
                <w:b w:val="false"/>
                <w:bCs w:val="false"/>
                <w:color w:val="000000"/>
                <w:sz w:val="18"/>
                <w:szCs w:val="18"/>
              </w:rPr>
              <w:t xml:space="preserve">Information lifecycle</w:t>
            </w:r>
          </w:p>
        </w:tc>
        <w:tc>
          <w:tcPr>
            <w:tcW w:type="dxa" w:w="3000"/>
            <w:tcMar>
              <w:top w:type="dxa" w:w="60"/>
              <w:left w:type="dxa" w:w="100"/>
              <w:bottom w:type="dxa" w:w="60"/>
              <w:right w:type="dxa" w:w="100"/>
            </w:tcMar>
          </w:tcPr>
          <w:p>
            <w:r>
              <w:rPr>
                <w:b w:val="false"/>
                <w:bCs w:val="false"/>
                <w:color w:val="000000"/>
                <w:sz w:val="18"/>
                <w:szCs w:val="18"/>
              </w:rPr>
              <w:t xml:space="preserve">Concepts had no explicit states or CRUD ownership</w:t>
            </w:r>
          </w:p>
        </w:tc>
        <w:tc>
          <w:tcPr>
            <w:tcW w:type="dxa" w:w="4620"/>
            <w:tcMar>
              <w:top w:type="dxa" w:w="60"/>
              <w:left w:type="dxa" w:w="100"/>
              <w:bottom w:type="dxa" w:w="60"/>
              <w:right w:type="dxa" w:w="100"/>
            </w:tcMar>
          </w:tcPr>
          <w:p>
            <w:r>
              <w:rPr>
                <w:b w:val="false"/>
                <w:bCs w:val="false"/>
                <w:color w:val="000000"/>
                <w:sz w:val="18"/>
                <w:szCs w:val="18"/>
              </w:rPr>
              <w:t xml:space="preserve">InformationConcept + InformationConceptLifecycle + Capability_InformationConcept ownership</w:t>
            </w:r>
          </w:p>
        </w:tc>
      </w:tr>
      <w:tr>
        <w:tc>
          <w:tcPr>
            <w:tcW w:type="dxa" w:w="1500"/>
            <w:shd w:fill="F5F8FC" w:color="auto" w:val="clear"/>
            <w:tcMar>
              <w:top w:type="dxa" w:w="60"/>
              <w:left w:type="dxa" w:w="100"/>
              <w:bottom w:type="dxa" w:w="60"/>
              <w:right w:type="dxa" w:w="100"/>
            </w:tcMar>
          </w:tcPr>
          <w:p>
            <w:r>
              <w:rPr>
                <w:b w:val="false"/>
                <w:bCs w:val="false"/>
                <w:color w:val="000000"/>
                <w:sz w:val="18"/>
                <w:szCs w:val="18"/>
              </w:rPr>
              <w:t xml:space="preserve">Records &amp; evidence</w:t>
            </w:r>
          </w:p>
        </w:tc>
        <w:tc>
          <w:tcPr>
            <w:tcW w:type="dxa" w:w="3000"/>
            <w:shd w:fill="F5F8FC" w:color="auto" w:val="clear"/>
            <w:tcMar>
              <w:top w:type="dxa" w:w="60"/>
              <w:left w:type="dxa" w:w="100"/>
              <w:bottom w:type="dxa" w:w="60"/>
              <w:right w:type="dxa" w:w="100"/>
            </w:tcMar>
          </w:tcPr>
          <w:p>
            <w:r>
              <w:rPr>
                <w:b w:val="false"/>
                <w:bCs w:val="false"/>
                <w:color w:val="000000"/>
                <w:sz w:val="18"/>
                <w:szCs w:val="18"/>
              </w:rPr>
              <w:t xml:space="preserve">Records not explicitly produced by steps</w:t>
            </w:r>
          </w:p>
        </w:tc>
        <w:tc>
          <w:tcPr>
            <w:tcW w:type="dxa" w:w="4620"/>
            <w:shd w:fill="F5F8FC" w:color="auto" w:val="clear"/>
            <w:tcMar>
              <w:top w:type="dxa" w:w="60"/>
              <w:left w:type="dxa" w:w="100"/>
              <w:bottom w:type="dxa" w:w="60"/>
              <w:right w:type="dxa" w:w="100"/>
            </w:tcMar>
          </w:tcPr>
          <w:p>
            <w:r>
              <w:rPr>
                <w:b w:val="false"/>
                <w:bCs w:val="false"/>
                <w:color w:val="000000"/>
                <w:sz w:val="18"/>
                <w:szCs w:val="18"/>
              </w:rPr>
              <w:t xml:space="preserve">ProcessStep_Record + RecordClass + Record_Evidence + EvidencePattern</w:t>
            </w:r>
          </w:p>
        </w:tc>
      </w:tr>
      <w:tr>
        <w:tc>
          <w:tcPr>
            <w:tcW w:type="dxa" w:w="1500"/>
            <w:tcMar>
              <w:top w:type="dxa" w:w="60"/>
              <w:left w:type="dxa" w:w="100"/>
              <w:bottom w:type="dxa" w:w="60"/>
              <w:right w:type="dxa" w:w="100"/>
            </w:tcMar>
          </w:tcPr>
          <w:p>
            <w:r>
              <w:rPr>
                <w:b w:val="false"/>
                <w:bCs w:val="false"/>
                <w:color w:val="000000"/>
                <w:sz w:val="18"/>
                <w:szCs w:val="18"/>
              </w:rPr>
              <w:t xml:space="preserve">Traceability</w:t>
            </w:r>
          </w:p>
        </w:tc>
        <w:tc>
          <w:tcPr>
            <w:tcW w:type="dxa" w:w="3000"/>
            <w:tcMar>
              <w:top w:type="dxa" w:w="60"/>
              <w:left w:type="dxa" w:w="100"/>
              <w:bottom w:type="dxa" w:w="60"/>
              <w:right w:type="dxa" w:w="100"/>
            </w:tcMar>
          </w:tcPr>
          <w:p>
            <w:r>
              <w:rPr>
                <w:b w:val="false"/>
                <w:bCs w:val="false"/>
                <w:color w:val="000000"/>
                <w:sz w:val="18"/>
                <w:szCs w:val="18"/>
              </w:rPr>
              <w:t xml:space="preserve">Stopped above the real execution grain</w:t>
            </w:r>
          </w:p>
        </w:tc>
        <w:tc>
          <w:tcPr>
            <w:tcW w:type="dxa" w:w="4620"/>
            <w:tcMar>
              <w:top w:type="dxa" w:w="60"/>
              <w:left w:type="dxa" w:w="100"/>
              <w:bottom w:type="dxa" w:w="60"/>
              <w:right w:type="dxa" w:w="100"/>
            </w:tcMar>
          </w:tcPr>
          <w:p>
            <w:r>
              <w:rPr>
                <w:b w:val="false"/>
                <w:bCs w:val="false"/>
                <w:color w:val="000000"/>
                <w:sz w:val="18"/>
                <w:szCs w:val="18"/>
              </w:rPr>
              <w:t xml:space="preserve">Outcome → Process → ProcessStep → Decision → Concept → DataProduct → Record → Evidence</w:t>
            </w:r>
          </w:p>
        </w:tc>
      </w:tr>
    </w:tbl>
    <w:p>
      <w:pPr>
        <w:pStyle w:val="Heading1"/>
        <w:spacing w:after="120" w:before="260"/>
      </w:pPr>
      <w:r>
        <w:rPr>
          <w:b/>
          <w:bCs/>
          <w:color w:val="1F3A5C"/>
        </w:rPr>
        <w:t xml:space="preserve">5.  The Process Step metamodel</w:t>
      </w:r>
    </w:p>
    <w:p>
      <w:pPr>
        <w:spacing w:after="120" w:line="276"/>
      </w:pPr>
      <w:r>
        <w:t xml:space="preserve">ProcessStep sits at the centre because that is where capability, value stream, process, information and systems meet. Each step carries enough metadata to satisfy BPM, decision, governance, records and data-management needs:</w:t>
      </w:r>
    </w:p>
    <w:tbl>
      <w:tblPr>
        <w:tblW w:type="dxa" w:w="9120"/>
        <w:tblBorders>
          <w:top w:val="single" w:color="D6DEE8" w:sz="4"/>
          <w:left w:val="single" w:color="D6DEE8" w:sz="4"/>
          <w:bottom w:val="single" w:color="D6DEE8" w:sz="4"/>
          <w:right w:val="single" w:color="D6DEE8" w:sz="4"/>
          <w:insideH w:val="single" w:color="D6DEE8" w:sz="4"/>
          <w:insideV w:val="single" w:color="D6DEE8" w:sz="4"/>
        </w:tblBorders>
      </w:tblPr>
      <w:tblGrid>
        <w:gridCol w:w="2400"/>
        <w:gridCol w:w="6720"/>
      </w:tblGrid>
      <w:tr>
        <w:trPr>
          <w:tblHeader/>
        </w:trPr>
        <w:tc>
          <w:tcPr>
            <w:tcW w:type="dxa" w:w="2400"/>
            <w:shd w:fill="1F3A5C" w:color="auto" w:val="clear"/>
            <w:tcMar>
              <w:top w:type="dxa" w:w="60"/>
              <w:left w:type="dxa" w:w="100"/>
              <w:bottom w:type="dxa" w:w="60"/>
              <w:right w:type="dxa" w:w="100"/>
            </w:tcMar>
          </w:tcPr>
          <w:p>
            <w:r>
              <w:rPr>
                <w:b/>
                <w:bCs/>
                <w:color w:val="FFFFFF"/>
                <w:sz w:val="18"/>
                <w:szCs w:val="18"/>
              </w:rPr>
              <w:t xml:space="preserve">Field group</w:t>
            </w:r>
          </w:p>
        </w:tc>
        <w:tc>
          <w:tcPr>
            <w:tcW w:type="dxa" w:w="6720"/>
            <w:shd w:fill="1F3A5C" w:color="auto" w:val="clear"/>
            <w:tcMar>
              <w:top w:type="dxa" w:w="60"/>
              <w:left w:type="dxa" w:w="100"/>
              <w:bottom w:type="dxa" w:w="60"/>
              <w:right w:type="dxa" w:w="100"/>
            </w:tcMar>
          </w:tcPr>
          <w:p>
            <w:r>
              <w:rPr>
                <w:b/>
                <w:bCs/>
                <w:color w:val="FFFFFF"/>
                <w:sz w:val="18"/>
                <w:szCs w:val="18"/>
              </w:rPr>
              <w:t xml:space="preserve">Fields</w:t>
            </w:r>
          </w:p>
        </w:tc>
      </w:tr>
      <w:tr>
        <w:tc>
          <w:tcPr>
            <w:tcW w:type="dxa" w:w="2400"/>
            <w:tcMar>
              <w:top w:type="dxa" w:w="60"/>
              <w:left w:type="dxa" w:w="100"/>
              <w:bottom w:type="dxa" w:w="60"/>
              <w:right w:type="dxa" w:w="100"/>
            </w:tcMar>
          </w:tcPr>
          <w:p>
            <w:r>
              <w:rPr>
                <w:b w:val="false"/>
                <w:bCs w:val="false"/>
                <w:color w:val="000000"/>
                <w:sz w:val="18"/>
                <w:szCs w:val="18"/>
              </w:rPr>
              <w:t xml:space="preserve">Identity</w:t>
            </w:r>
          </w:p>
        </w:tc>
        <w:tc>
          <w:tcPr>
            <w:tcW w:type="dxa" w:w="6720"/>
            <w:tcMar>
              <w:top w:type="dxa" w:w="60"/>
              <w:left w:type="dxa" w:w="100"/>
              <w:bottom w:type="dxa" w:w="60"/>
              <w:right w:type="dxa" w:w="100"/>
            </w:tcMar>
          </w:tcPr>
          <w:p>
            <w:r>
              <w:rPr>
                <w:b w:val="false"/>
                <w:bCs w:val="false"/>
                <w:color w:val="000000"/>
                <w:sz w:val="18"/>
                <w:szCs w:val="18"/>
              </w:rPr>
              <w:t xml:space="preserve">StepID, ProcessID, StepName, StepSequence, StepType</w:t>
            </w:r>
          </w:p>
        </w:tc>
      </w:tr>
      <w:tr>
        <w:tc>
          <w:tcPr>
            <w:tcW w:type="dxa" w:w="2400"/>
            <w:shd w:fill="F5F8FC" w:color="auto" w:val="clear"/>
            <w:tcMar>
              <w:top w:type="dxa" w:w="60"/>
              <w:left w:type="dxa" w:w="100"/>
              <w:bottom w:type="dxa" w:w="60"/>
              <w:right w:type="dxa" w:w="100"/>
            </w:tcMar>
          </w:tcPr>
          <w:p>
            <w:r>
              <w:rPr>
                <w:b w:val="false"/>
                <w:bCs w:val="false"/>
                <w:color w:val="000000"/>
                <w:sz w:val="18"/>
                <w:szCs w:val="18"/>
              </w:rPr>
              <w:t xml:space="preserve">BPMN</w:t>
            </w:r>
          </w:p>
        </w:tc>
        <w:tc>
          <w:tcPr>
            <w:tcW w:type="dxa" w:w="6720"/>
            <w:shd w:fill="F5F8FC" w:color="auto" w:val="clear"/>
            <w:tcMar>
              <w:top w:type="dxa" w:w="60"/>
              <w:left w:type="dxa" w:w="100"/>
              <w:bottom w:type="dxa" w:w="60"/>
              <w:right w:type="dxa" w:w="100"/>
            </w:tcMar>
          </w:tcPr>
          <w:p>
            <w:r>
              <w:rPr>
                <w:b w:val="false"/>
                <w:bCs w:val="false"/>
                <w:color w:val="000000"/>
                <w:sz w:val="18"/>
                <w:szCs w:val="18"/>
              </w:rPr>
              <w:t xml:space="preserve">TriggerEvent, TaskType, GatewayType, RoleLane, Pre/Postcondition</w:t>
            </w:r>
          </w:p>
        </w:tc>
      </w:tr>
      <w:tr>
        <w:tc>
          <w:tcPr>
            <w:tcW w:type="dxa" w:w="2400"/>
            <w:tcMar>
              <w:top w:type="dxa" w:w="60"/>
              <w:left w:type="dxa" w:w="100"/>
              <w:bottom w:type="dxa" w:w="60"/>
              <w:right w:type="dxa" w:w="100"/>
            </w:tcMar>
          </w:tcPr>
          <w:p>
            <w:r>
              <w:rPr>
                <w:b w:val="false"/>
                <w:bCs w:val="false"/>
                <w:color w:val="000000"/>
                <w:sz w:val="18"/>
                <w:szCs w:val="18"/>
              </w:rPr>
              <w:t xml:space="preserve">Inputs / outputs</w:t>
            </w:r>
          </w:p>
        </w:tc>
        <w:tc>
          <w:tcPr>
            <w:tcW w:type="dxa" w:w="6720"/>
            <w:tcMar>
              <w:top w:type="dxa" w:w="60"/>
              <w:left w:type="dxa" w:w="100"/>
              <w:bottom w:type="dxa" w:w="60"/>
              <w:right w:type="dxa" w:w="100"/>
            </w:tcMar>
          </w:tcPr>
          <w:p>
            <w:r>
              <w:rPr>
                <w:b w:val="false"/>
                <w:bCs w:val="false"/>
                <w:color w:val="000000"/>
                <w:sz w:val="18"/>
                <w:szCs w:val="18"/>
              </w:rPr>
              <w:t xml:space="preserve">Input/Output Information Concepts and Data Products</w:t>
            </w:r>
          </w:p>
        </w:tc>
      </w:tr>
      <w:tr>
        <w:tc>
          <w:tcPr>
            <w:tcW w:type="dxa" w:w="2400"/>
            <w:shd w:fill="F5F8FC" w:color="auto" w:val="clear"/>
            <w:tcMar>
              <w:top w:type="dxa" w:w="60"/>
              <w:left w:type="dxa" w:w="100"/>
              <w:bottom w:type="dxa" w:w="60"/>
              <w:right w:type="dxa" w:w="100"/>
            </w:tcMar>
          </w:tcPr>
          <w:p>
            <w:r>
              <w:rPr>
                <w:b w:val="false"/>
                <w:bCs w:val="false"/>
                <w:color w:val="000000"/>
                <w:sz w:val="18"/>
                <w:szCs w:val="18"/>
              </w:rPr>
              <w:t xml:space="preserve">Decision</w:t>
            </w:r>
          </w:p>
        </w:tc>
        <w:tc>
          <w:tcPr>
            <w:tcW w:type="dxa" w:w="6720"/>
            <w:shd w:fill="F5F8FC" w:color="auto" w:val="clear"/>
            <w:tcMar>
              <w:top w:type="dxa" w:w="60"/>
              <w:left w:type="dxa" w:w="100"/>
              <w:bottom w:type="dxa" w:w="60"/>
              <w:right w:type="dxa" w:w="100"/>
            </w:tcMar>
          </w:tcPr>
          <w:p>
            <w:r>
              <w:rPr>
                <w:b w:val="false"/>
                <w:bCs w:val="false"/>
                <w:color w:val="000000"/>
                <w:sz w:val="18"/>
                <w:szCs w:val="18"/>
              </w:rPr>
              <w:t xml:space="preserve">DecisionID, DecisionType, DecisionInput, RuleSet, HITLRequired, DecisionOutcome</w:t>
            </w:r>
          </w:p>
        </w:tc>
      </w:tr>
      <w:tr>
        <w:tc>
          <w:tcPr>
            <w:tcW w:type="dxa" w:w="2400"/>
            <w:tcMar>
              <w:top w:type="dxa" w:w="60"/>
              <w:left w:type="dxa" w:w="100"/>
              <w:bottom w:type="dxa" w:w="60"/>
              <w:right w:type="dxa" w:w="100"/>
            </w:tcMar>
          </w:tcPr>
          <w:p>
            <w:r>
              <w:rPr>
                <w:b w:val="false"/>
                <w:bCs w:val="false"/>
                <w:color w:val="000000"/>
                <w:sz w:val="18"/>
                <w:szCs w:val="18"/>
              </w:rPr>
              <w:t xml:space="preserve">Information lifecycle</w:t>
            </w:r>
          </w:p>
        </w:tc>
        <w:tc>
          <w:tcPr>
            <w:tcW w:type="dxa" w:w="6720"/>
            <w:tcMar>
              <w:top w:type="dxa" w:w="60"/>
              <w:left w:type="dxa" w:w="100"/>
              <w:bottom w:type="dxa" w:w="60"/>
              <w:right w:type="dxa" w:w="100"/>
            </w:tcMar>
          </w:tcPr>
          <w:p>
            <w:r>
              <w:rPr>
                <w:b w:val="false"/>
                <w:bCs w:val="false"/>
                <w:color w:val="000000"/>
                <w:sz w:val="18"/>
                <w:szCs w:val="18"/>
              </w:rPr>
              <w:t xml:space="preserve">ConceptID, CRUDAction, FromState, ToState, LifecycleRule</w:t>
            </w:r>
          </w:p>
        </w:tc>
      </w:tr>
      <w:tr>
        <w:tc>
          <w:tcPr>
            <w:tcW w:type="dxa" w:w="2400"/>
            <w:shd w:fill="F5F8FC" w:color="auto" w:val="clear"/>
            <w:tcMar>
              <w:top w:type="dxa" w:w="60"/>
              <w:left w:type="dxa" w:w="100"/>
              <w:bottom w:type="dxa" w:w="60"/>
              <w:right w:type="dxa" w:w="100"/>
            </w:tcMar>
          </w:tcPr>
          <w:p>
            <w:r>
              <w:rPr>
                <w:b w:val="false"/>
                <w:bCs w:val="false"/>
                <w:color w:val="000000"/>
                <w:sz w:val="18"/>
                <w:szCs w:val="18"/>
              </w:rPr>
              <w:t xml:space="preserve">Governance</w:t>
            </w:r>
          </w:p>
        </w:tc>
        <w:tc>
          <w:tcPr>
            <w:tcW w:type="dxa" w:w="6720"/>
            <w:shd w:fill="F5F8FC" w:color="auto" w:val="clear"/>
            <w:tcMar>
              <w:top w:type="dxa" w:w="60"/>
              <w:left w:type="dxa" w:w="100"/>
              <w:bottom w:type="dxa" w:w="60"/>
              <w:right w:type="dxa" w:w="100"/>
            </w:tcMar>
          </w:tcPr>
          <w:p>
            <w:r>
              <w:rPr>
                <w:b w:val="false"/>
                <w:bCs w:val="false"/>
                <w:color w:val="000000"/>
                <w:sz w:val="18"/>
                <w:szCs w:val="18"/>
              </w:rPr>
              <w:t xml:space="preserve">PolicyID, ControlID, RiskID, ObligationID, SegregationOfDutiesFlag</w:t>
            </w:r>
          </w:p>
        </w:tc>
      </w:tr>
      <w:tr>
        <w:tc>
          <w:tcPr>
            <w:tcW w:type="dxa" w:w="2400"/>
            <w:tcMar>
              <w:top w:type="dxa" w:w="60"/>
              <w:left w:type="dxa" w:w="100"/>
              <w:bottom w:type="dxa" w:w="60"/>
              <w:right w:type="dxa" w:w="100"/>
            </w:tcMar>
          </w:tcPr>
          <w:p>
            <w:r>
              <w:rPr>
                <w:b w:val="false"/>
                <w:bCs w:val="false"/>
                <w:color w:val="000000"/>
                <w:sz w:val="18"/>
                <w:szCs w:val="18"/>
              </w:rPr>
              <w:t xml:space="preserve">AI / automation</w:t>
            </w:r>
          </w:p>
        </w:tc>
        <w:tc>
          <w:tcPr>
            <w:tcW w:type="dxa" w:w="6720"/>
            <w:tcMar>
              <w:top w:type="dxa" w:w="60"/>
              <w:left w:type="dxa" w:w="100"/>
              <w:bottom w:type="dxa" w:w="60"/>
              <w:right w:type="dxa" w:w="100"/>
            </w:tcMar>
          </w:tcPr>
          <w:p>
            <w:r>
              <w:rPr>
                <w:b w:val="false"/>
                <w:bCs w:val="false"/>
                <w:color w:val="000000"/>
                <w:sz w:val="18"/>
                <w:szCs w:val="18"/>
              </w:rPr>
              <w:t xml:space="preserve">AIUseCaseID, AIAgentID, AutomationRole, ModelID, ConfidenceThreshold</w:t>
            </w:r>
          </w:p>
        </w:tc>
      </w:tr>
      <w:tr>
        <w:tc>
          <w:tcPr>
            <w:tcW w:type="dxa" w:w="2400"/>
            <w:shd w:fill="F5F8FC" w:color="auto" w:val="clear"/>
            <w:tcMar>
              <w:top w:type="dxa" w:w="60"/>
              <w:left w:type="dxa" w:w="100"/>
              <w:bottom w:type="dxa" w:w="60"/>
              <w:right w:type="dxa" w:w="100"/>
            </w:tcMar>
          </w:tcPr>
          <w:p>
            <w:r>
              <w:rPr>
                <w:b w:val="false"/>
                <w:bCs w:val="false"/>
                <w:color w:val="000000"/>
                <w:sz w:val="18"/>
                <w:szCs w:val="18"/>
              </w:rPr>
              <w:t xml:space="preserve">Records</w:t>
            </w:r>
          </w:p>
        </w:tc>
        <w:tc>
          <w:tcPr>
            <w:tcW w:type="dxa" w:w="6720"/>
            <w:shd w:fill="F5F8FC" w:color="auto" w:val="clear"/>
            <w:tcMar>
              <w:top w:type="dxa" w:w="60"/>
              <w:left w:type="dxa" w:w="100"/>
              <w:bottom w:type="dxa" w:w="60"/>
              <w:right w:type="dxa" w:w="100"/>
            </w:tcMar>
          </w:tcPr>
          <w:p>
            <w:r>
              <w:rPr>
                <w:b w:val="false"/>
                <w:bCs w:val="false"/>
                <w:color w:val="000000"/>
                <w:sz w:val="18"/>
                <w:szCs w:val="18"/>
              </w:rPr>
              <w:t xml:space="preserve">RecordClassID, RecordProduced, EvidenceID, RetentionRule, Repository</w:t>
            </w:r>
          </w:p>
        </w:tc>
      </w:tr>
      <w:tr>
        <w:tc>
          <w:tcPr>
            <w:tcW w:type="dxa" w:w="2400"/>
            <w:tcMar>
              <w:top w:type="dxa" w:w="60"/>
              <w:left w:type="dxa" w:w="100"/>
              <w:bottom w:type="dxa" w:w="60"/>
              <w:right w:type="dxa" w:w="100"/>
            </w:tcMar>
          </w:tcPr>
          <w:p>
            <w:r>
              <w:rPr>
                <w:b w:val="false"/>
                <w:bCs w:val="false"/>
                <w:color w:val="000000"/>
                <w:sz w:val="18"/>
                <w:szCs w:val="18"/>
              </w:rPr>
              <w:t xml:space="preserve">Measures</w:t>
            </w:r>
          </w:p>
        </w:tc>
        <w:tc>
          <w:tcPr>
            <w:tcW w:type="dxa" w:w="6720"/>
            <w:tcMar>
              <w:top w:type="dxa" w:w="60"/>
              <w:left w:type="dxa" w:w="100"/>
              <w:bottom w:type="dxa" w:w="60"/>
              <w:right w:type="dxa" w:w="100"/>
            </w:tcMar>
          </w:tcPr>
          <w:p>
            <w:r>
              <w:rPr>
                <w:b w:val="false"/>
                <w:bCs w:val="false"/>
                <w:color w:val="000000"/>
                <w:sz w:val="18"/>
                <w:szCs w:val="18"/>
              </w:rPr>
              <w:t xml:space="preserve">KPIID, OutcomeID, QualityMetric, CycleTimeMetric, ErrorMetric</w:t>
            </w:r>
          </w:p>
        </w:tc>
      </w:tr>
    </w:tbl>
    <w:p>
      <w:pPr>
        <w:spacing w:after="120" w:line="276"/>
      </w:pPr>
      <w:r>
        <w:rPr>
          <w:i/>
          <w:iCs/>
          <w:color w:val="555555"/>
        </w:rPr>
        <w:t xml:space="preserve">This mirrors the existing policy/control structure — policies already require traceability to a business process step, named decision, explainability, consent enforcement, data-quality gates, retention and record disposal. The step is the object those policies can now attach to directly.</w:t>
      </w:r>
    </w:p>
    <w:p>
      <w:pPr>
        <w:pStyle w:val="Heading1"/>
        <w:spacing w:after="120" w:before="260"/>
      </w:pPr>
      <w:r>
        <w:rPr>
          <w:b/>
          <w:bCs/>
          <w:color w:val="1F3A5C"/>
        </w:rPr>
        <w:t xml:space="preserve">6.  Information Concept lifecycle and CRUD ownership</w:t>
      </w:r>
    </w:p>
    <w:p>
      <w:pPr>
        <w:spacing w:after="120" w:line="276"/>
      </w:pPr>
      <w:r>
        <w:t xml:space="preserve">Capabilities no longer merely “enable” value stages; they own and steward the business meaning, lifecycle quality and evidence obligations of the information concepts they use. Each concept has an explicit state lifecycle, a CRUD responsibility per step, a stewarding capability, a realising data product and an evidence pattern. Examples from each organisation:</w:t>
      </w:r>
    </w:p>
    <w:tbl>
      <w:tblPr>
        <w:tblW w:type="dxa" w:w="9120"/>
        <w:tblBorders>
          <w:top w:val="single" w:color="D6DEE8" w:sz="4"/>
          <w:left w:val="single" w:color="D6DEE8" w:sz="4"/>
          <w:bottom w:val="single" w:color="D6DEE8" w:sz="4"/>
          <w:right w:val="single" w:color="D6DEE8" w:sz="4"/>
          <w:insideH w:val="single" w:color="D6DEE8" w:sz="4"/>
          <w:insideV w:val="single" w:color="D6DEE8" w:sz="4"/>
        </w:tblBorders>
      </w:tblPr>
      <w:tblGrid>
        <w:gridCol w:w="1900"/>
        <w:gridCol w:w="3600"/>
        <w:gridCol w:w="2100"/>
        <w:gridCol w:w="1520"/>
      </w:tblGrid>
      <w:tr>
        <w:trPr>
          <w:tblHeader/>
        </w:trPr>
        <w:tc>
          <w:tcPr>
            <w:tcW w:type="dxa" w:w="1900"/>
            <w:shd w:fill="1F3A5C" w:color="auto" w:val="clear"/>
            <w:tcMar>
              <w:top w:type="dxa" w:w="60"/>
              <w:left w:type="dxa" w:w="100"/>
              <w:bottom w:type="dxa" w:w="60"/>
              <w:right w:type="dxa" w:w="100"/>
            </w:tcMar>
          </w:tcPr>
          <w:p>
            <w:r>
              <w:rPr>
                <w:b/>
                <w:bCs/>
                <w:color w:val="FFFFFF"/>
                <w:sz w:val="18"/>
                <w:szCs w:val="18"/>
              </w:rPr>
              <w:t xml:space="preserve">Concept</w:t>
            </w:r>
          </w:p>
        </w:tc>
        <w:tc>
          <w:tcPr>
            <w:tcW w:type="dxa" w:w="3600"/>
            <w:shd w:fill="1F3A5C" w:color="auto" w:val="clear"/>
            <w:tcMar>
              <w:top w:type="dxa" w:w="60"/>
              <w:left w:type="dxa" w:w="100"/>
              <w:bottom w:type="dxa" w:w="60"/>
              <w:right w:type="dxa" w:w="100"/>
            </w:tcMar>
          </w:tcPr>
          <w:p>
            <w:r>
              <w:rPr>
                <w:b/>
                <w:bCs/>
                <w:color w:val="FFFFFF"/>
                <w:sz w:val="18"/>
                <w:szCs w:val="18"/>
              </w:rPr>
              <w:t xml:space="preserve">Lifecycle states</w:t>
            </w:r>
          </w:p>
        </w:tc>
        <w:tc>
          <w:tcPr>
            <w:tcW w:type="dxa" w:w="2100"/>
            <w:shd w:fill="1F3A5C" w:color="auto" w:val="clear"/>
            <w:tcMar>
              <w:top w:type="dxa" w:w="60"/>
              <w:left w:type="dxa" w:w="100"/>
              <w:bottom w:type="dxa" w:w="60"/>
              <w:right w:type="dxa" w:w="100"/>
            </w:tcMar>
          </w:tcPr>
          <w:p>
            <w:r>
              <w:rPr>
                <w:b/>
                <w:bCs/>
                <w:color w:val="FFFFFF"/>
                <w:sz w:val="18"/>
                <w:szCs w:val="18"/>
              </w:rPr>
              <w:t xml:space="preserve">Stewarding capability</w:t>
            </w:r>
          </w:p>
        </w:tc>
        <w:tc>
          <w:tcPr>
            <w:tcW w:type="dxa" w:w="1520"/>
            <w:shd w:fill="1F3A5C" w:color="auto" w:val="clear"/>
            <w:tcMar>
              <w:top w:type="dxa" w:w="60"/>
              <w:left w:type="dxa" w:w="100"/>
              <w:bottom w:type="dxa" w:w="60"/>
              <w:right w:type="dxa" w:w="100"/>
            </w:tcMar>
          </w:tcPr>
          <w:p>
            <w:r>
              <w:rPr>
                <w:b/>
                <w:bCs/>
                <w:color w:val="FFFFFF"/>
                <w:sz w:val="18"/>
                <w:szCs w:val="18"/>
              </w:rPr>
              <w:t xml:space="preserve">Evidence</w:t>
            </w:r>
          </w:p>
        </w:tc>
      </w:tr>
      <w:tr>
        <w:tc>
          <w:tcPr>
            <w:tcW w:type="dxa" w:w="1900"/>
            <w:tcMar>
              <w:top w:type="dxa" w:w="60"/>
              <w:left w:type="dxa" w:w="100"/>
              <w:bottom w:type="dxa" w:w="60"/>
              <w:right w:type="dxa" w:w="100"/>
            </w:tcMar>
          </w:tcPr>
          <w:p>
            <w:r>
              <w:rPr>
                <w:b w:val="false"/>
                <w:bCs w:val="false"/>
                <w:color w:val="000000"/>
                <w:sz w:val="18"/>
                <w:szCs w:val="18"/>
              </w:rPr>
              <w:t xml:space="preserve">Consent (both)</w:t>
            </w:r>
          </w:p>
        </w:tc>
        <w:tc>
          <w:tcPr>
            <w:tcW w:type="dxa" w:w="3600"/>
            <w:tcMar>
              <w:top w:type="dxa" w:w="60"/>
              <w:left w:type="dxa" w:w="100"/>
              <w:bottom w:type="dxa" w:w="60"/>
              <w:right w:type="dxa" w:w="100"/>
            </w:tcMar>
          </w:tcPr>
          <w:p>
            <w:r>
              <w:rPr>
                <w:b w:val="false"/>
                <w:bCs w:val="false"/>
                <w:color w:val="000000"/>
                <w:sz w:val="18"/>
                <w:szCs w:val="18"/>
              </w:rPr>
              <w:t xml:space="preserve">Requested → Granted → Withdrawn → Expired → Suppressed/Restricted</w:t>
            </w:r>
          </w:p>
        </w:tc>
        <w:tc>
          <w:tcPr>
            <w:tcW w:type="dxa" w:w="2100"/>
            <w:tcMar>
              <w:top w:type="dxa" w:w="60"/>
              <w:left w:type="dxa" w:w="100"/>
              <w:bottom w:type="dxa" w:w="60"/>
              <w:right w:type="dxa" w:w="100"/>
            </w:tcMar>
          </w:tcPr>
          <w:p>
            <w:r>
              <w:rPr>
                <w:b w:val="false"/>
                <w:bCs w:val="false"/>
                <w:color w:val="000000"/>
                <w:sz w:val="18"/>
                <w:szCs w:val="18"/>
              </w:rPr>
              <w:t xml:space="preserve">Risk &amp; Compliance / Governance</w:t>
            </w:r>
          </w:p>
        </w:tc>
        <w:tc>
          <w:tcPr>
            <w:tcW w:type="dxa" w:w="1520"/>
            <w:tcMar>
              <w:top w:type="dxa" w:w="60"/>
              <w:left w:type="dxa" w:w="100"/>
              <w:bottom w:type="dxa" w:w="60"/>
              <w:right w:type="dxa" w:w="100"/>
            </w:tcMar>
          </w:tcPr>
          <w:p>
            <w:r>
              <w:rPr>
                <w:b w:val="false"/>
                <w:bCs w:val="false"/>
                <w:color w:val="000000"/>
                <w:sz w:val="18"/>
                <w:szCs w:val="18"/>
              </w:rPr>
              <w:t xml:space="preserve">Consent decision log</w:t>
            </w:r>
          </w:p>
        </w:tc>
      </w:tr>
      <w:tr>
        <w:tc>
          <w:tcPr>
            <w:tcW w:type="dxa" w:w="1900"/>
            <w:shd w:fill="F5F8FC" w:color="auto" w:val="clear"/>
            <w:tcMar>
              <w:top w:type="dxa" w:w="60"/>
              <w:left w:type="dxa" w:w="100"/>
              <w:bottom w:type="dxa" w:w="60"/>
              <w:right w:type="dxa" w:w="100"/>
            </w:tcMar>
          </w:tcPr>
          <w:p>
            <w:r>
              <w:rPr>
                <w:b w:val="false"/>
                <w:bCs w:val="false"/>
                <w:color w:val="000000"/>
                <w:sz w:val="18"/>
                <w:szCs w:val="18"/>
              </w:rPr>
              <w:t xml:space="preserve">Customer (Nedbank)</w:t>
            </w:r>
          </w:p>
        </w:tc>
        <w:tc>
          <w:tcPr>
            <w:tcW w:type="dxa" w:w="3600"/>
            <w:shd w:fill="F5F8FC" w:color="auto" w:val="clear"/>
            <w:tcMar>
              <w:top w:type="dxa" w:w="60"/>
              <w:left w:type="dxa" w:w="100"/>
              <w:bottom w:type="dxa" w:w="60"/>
              <w:right w:type="dxa" w:w="100"/>
            </w:tcMar>
          </w:tcPr>
          <w:p>
            <w:r>
              <w:rPr>
                <w:b w:val="false"/>
                <w:bCs w:val="false"/>
                <w:color w:val="000000"/>
                <w:sz w:val="18"/>
                <w:szCs w:val="18"/>
              </w:rPr>
              <w:t xml:space="preserve">Prospect → Lead → Customer → Active → Dormant → Closed</w:t>
            </w:r>
          </w:p>
        </w:tc>
        <w:tc>
          <w:tcPr>
            <w:tcW w:type="dxa" w:w="2100"/>
            <w:shd w:fill="F5F8FC" w:color="auto" w:val="clear"/>
            <w:tcMar>
              <w:top w:type="dxa" w:w="60"/>
              <w:left w:type="dxa" w:w="100"/>
              <w:bottom w:type="dxa" w:w="60"/>
              <w:right w:type="dxa" w:w="100"/>
            </w:tcMar>
          </w:tcPr>
          <w:p>
            <w:r>
              <w:rPr>
                <w:b w:val="false"/>
                <w:bCs w:val="false"/>
                <w:color w:val="000000"/>
                <w:sz w:val="18"/>
                <w:szCs w:val="18"/>
              </w:rPr>
              <w:t xml:space="preserve">Customer Intelligence</w:t>
            </w:r>
          </w:p>
        </w:tc>
        <w:tc>
          <w:tcPr>
            <w:tcW w:type="dxa" w:w="1520"/>
            <w:shd w:fill="F5F8FC" w:color="auto" w:val="clear"/>
            <w:tcMar>
              <w:top w:type="dxa" w:w="60"/>
              <w:left w:type="dxa" w:w="100"/>
              <w:bottom w:type="dxa" w:w="60"/>
              <w:right w:type="dxa" w:w="100"/>
            </w:tcMar>
          </w:tcPr>
          <w:p>
            <w:r>
              <w:rPr>
                <w:b w:val="false"/>
                <w:bCs w:val="false"/>
                <w:color w:val="000000"/>
                <w:sz w:val="18"/>
                <w:szCs w:val="18"/>
              </w:rPr>
              <w:t xml:space="preserve">Identity / onboarding record</w:t>
            </w:r>
          </w:p>
        </w:tc>
      </w:tr>
      <w:tr>
        <w:tc>
          <w:tcPr>
            <w:tcW w:type="dxa" w:w="1900"/>
            <w:tcMar>
              <w:top w:type="dxa" w:w="60"/>
              <w:left w:type="dxa" w:w="100"/>
              <w:bottom w:type="dxa" w:w="60"/>
              <w:right w:type="dxa" w:w="100"/>
            </w:tcMar>
          </w:tcPr>
          <w:p>
            <w:r>
              <w:rPr>
                <w:b w:val="false"/>
                <w:bCs w:val="false"/>
                <w:color w:val="000000"/>
                <w:sz w:val="18"/>
                <w:szCs w:val="18"/>
              </w:rPr>
              <w:t xml:space="preserve">CLV (Nedbank)</w:t>
            </w:r>
          </w:p>
        </w:tc>
        <w:tc>
          <w:tcPr>
            <w:tcW w:type="dxa" w:w="3600"/>
            <w:tcMar>
              <w:top w:type="dxa" w:w="60"/>
              <w:left w:type="dxa" w:w="100"/>
              <w:bottom w:type="dxa" w:w="60"/>
              <w:right w:type="dxa" w:w="100"/>
            </w:tcMar>
          </w:tcPr>
          <w:p>
            <w:r>
              <w:rPr>
                <w:b w:val="false"/>
                <w:bCs w:val="false"/>
                <w:color w:val="000000"/>
                <w:sz w:val="18"/>
                <w:szCs w:val="18"/>
              </w:rPr>
              <w:t xml:space="preserve">Estimated → Approved → Published → Monitored → Revalidated</w:t>
            </w:r>
          </w:p>
        </w:tc>
        <w:tc>
          <w:tcPr>
            <w:tcW w:type="dxa" w:w="2100"/>
            <w:tcMar>
              <w:top w:type="dxa" w:w="60"/>
              <w:left w:type="dxa" w:w="100"/>
              <w:bottom w:type="dxa" w:w="60"/>
              <w:right w:type="dxa" w:w="100"/>
            </w:tcMar>
          </w:tcPr>
          <w:p>
            <w:r>
              <w:rPr>
                <w:b w:val="false"/>
                <w:bCs w:val="false"/>
                <w:color w:val="000000"/>
                <w:sz w:val="18"/>
                <w:szCs w:val="18"/>
              </w:rPr>
              <w:t xml:space="preserve">CLV Management</w:t>
            </w:r>
          </w:p>
        </w:tc>
        <w:tc>
          <w:tcPr>
            <w:tcW w:type="dxa" w:w="1520"/>
            <w:tcMar>
              <w:top w:type="dxa" w:w="60"/>
              <w:left w:type="dxa" w:w="100"/>
              <w:bottom w:type="dxa" w:w="60"/>
              <w:right w:type="dxa" w:w="100"/>
            </w:tcMar>
          </w:tcPr>
          <w:p>
            <w:r>
              <w:rPr>
                <w:b w:val="false"/>
                <w:bCs w:val="false"/>
                <w:color w:val="000000"/>
                <w:sz w:val="18"/>
                <w:szCs w:val="18"/>
              </w:rPr>
              <w:t xml:space="preserve">Model card</w:t>
            </w:r>
          </w:p>
        </w:tc>
      </w:tr>
      <w:tr>
        <w:tc>
          <w:tcPr>
            <w:tcW w:type="dxa" w:w="1900"/>
            <w:shd w:fill="F5F8FC" w:color="auto" w:val="clear"/>
            <w:tcMar>
              <w:top w:type="dxa" w:w="60"/>
              <w:left w:type="dxa" w:w="100"/>
              <w:bottom w:type="dxa" w:w="60"/>
              <w:right w:type="dxa" w:w="100"/>
            </w:tcMar>
          </w:tcPr>
          <w:p>
            <w:r>
              <w:rPr>
                <w:b w:val="false"/>
                <w:bCs w:val="false"/>
                <w:color w:val="000000"/>
                <w:sz w:val="18"/>
                <w:szCs w:val="18"/>
              </w:rPr>
              <w:t xml:space="preserve">Grant (AGGPSA)</w:t>
            </w:r>
          </w:p>
        </w:tc>
        <w:tc>
          <w:tcPr>
            <w:tcW w:type="dxa" w:w="3600"/>
            <w:shd w:fill="F5F8FC" w:color="auto" w:val="clear"/>
            <w:tcMar>
              <w:top w:type="dxa" w:w="60"/>
              <w:left w:type="dxa" w:w="100"/>
              <w:bottom w:type="dxa" w:w="60"/>
              <w:right w:type="dxa" w:w="100"/>
            </w:tcMar>
          </w:tcPr>
          <w:p>
            <w:r>
              <w:rPr>
                <w:b w:val="false"/>
                <w:bCs w:val="false"/>
                <w:color w:val="000000"/>
                <w:sz w:val="18"/>
                <w:szCs w:val="18"/>
              </w:rPr>
              <w:t xml:space="preserve">Inquiry → Due-diligence → Approved → Active → Milestone → Closed</w:t>
            </w:r>
          </w:p>
        </w:tc>
        <w:tc>
          <w:tcPr>
            <w:tcW w:type="dxa" w:w="2100"/>
            <w:shd w:fill="F5F8FC" w:color="auto" w:val="clear"/>
            <w:tcMar>
              <w:top w:type="dxa" w:w="60"/>
              <w:left w:type="dxa" w:w="100"/>
              <w:bottom w:type="dxa" w:w="60"/>
              <w:right w:type="dxa" w:w="100"/>
            </w:tcMar>
          </w:tcPr>
          <w:p>
            <w:r>
              <w:rPr>
                <w:b w:val="false"/>
                <w:bCs w:val="false"/>
                <w:color w:val="000000"/>
                <w:sz w:val="18"/>
                <w:szCs w:val="18"/>
              </w:rPr>
              <w:t xml:space="preserve">Grant-Making</w:t>
            </w:r>
          </w:p>
        </w:tc>
        <w:tc>
          <w:tcPr>
            <w:tcW w:type="dxa" w:w="1520"/>
            <w:shd w:fill="F5F8FC" w:color="auto" w:val="clear"/>
            <w:tcMar>
              <w:top w:type="dxa" w:w="60"/>
              <w:left w:type="dxa" w:w="100"/>
              <w:bottom w:type="dxa" w:w="60"/>
              <w:right w:type="dxa" w:w="100"/>
            </w:tcMar>
          </w:tcPr>
          <w:p>
            <w:r>
              <w:rPr>
                <w:b w:val="false"/>
                <w:bCs w:val="false"/>
                <w:color w:val="000000"/>
                <w:sz w:val="18"/>
                <w:szCs w:val="18"/>
              </w:rPr>
              <w:t xml:space="preserve">Grant approval record</w:t>
            </w:r>
          </w:p>
        </w:tc>
      </w:tr>
      <w:tr>
        <w:tc>
          <w:tcPr>
            <w:tcW w:type="dxa" w:w="1900"/>
            <w:tcMar>
              <w:top w:type="dxa" w:w="60"/>
              <w:left w:type="dxa" w:w="100"/>
              <w:bottom w:type="dxa" w:w="60"/>
              <w:right w:type="dxa" w:w="100"/>
            </w:tcMar>
          </w:tcPr>
          <w:p>
            <w:r>
              <w:rPr>
                <w:b w:val="false"/>
                <w:bCs w:val="false"/>
                <w:color w:val="000000"/>
                <w:sz w:val="18"/>
                <w:szCs w:val="18"/>
              </w:rPr>
              <w:t xml:space="preserve">Impact Evidence (AGGPSA)</w:t>
            </w:r>
          </w:p>
        </w:tc>
        <w:tc>
          <w:tcPr>
            <w:tcW w:type="dxa" w:w="3600"/>
            <w:tcMar>
              <w:top w:type="dxa" w:w="60"/>
              <w:left w:type="dxa" w:w="100"/>
              <w:bottom w:type="dxa" w:w="60"/>
              <w:right w:type="dxa" w:w="100"/>
            </w:tcMar>
          </w:tcPr>
          <w:p>
            <w:r>
              <w:rPr>
                <w:b w:val="false"/>
                <w:bCs w:val="false"/>
                <w:color w:val="000000"/>
                <w:sz w:val="18"/>
                <w:szCs w:val="18"/>
              </w:rPr>
              <w:t xml:space="preserve">Collected → Analysed → Attributed → Reported → Audited</w:t>
            </w:r>
          </w:p>
        </w:tc>
        <w:tc>
          <w:tcPr>
            <w:tcW w:type="dxa" w:w="2100"/>
            <w:tcMar>
              <w:top w:type="dxa" w:w="60"/>
              <w:left w:type="dxa" w:w="100"/>
              <w:bottom w:type="dxa" w:w="60"/>
              <w:right w:type="dxa" w:w="100"/>
            </w:tcMar>
          </w:tcPr>
          <w:p>
            <w:r>
              <w:rPr>
                <w:b w:val="false"/>
                <w:bCs w:val="false"/>
                <w:color w:val="000000"/>
                <w:sz w:val="18"/>
                <w:szCs w:val="18"/>
              </w:rPr>
              <w:t xml:space="preserve">Strategy &amp; IMM</w:t>
            </w:r>
          </w:p>
        </w:tc>
        <w:tc>
          <w:tcPr>
            <w:tcW w:type="dxa" w:w="1520"/>
            <w:tcMar>
              <w:top w:type="dxa" w:w="60"/>
              <w:left w:type="dxa" w:w="100"/>
              <w:bottom w:type="dxa" w:w="60"/>
              <w:right w:type="dxa" w:w="100"/>
            </w:tcMar>
          </w:tcPr>
          <w:p>
            <w:r>
              <w:rPr>
                <w:b w:val="false"/>
                <w:bCs w:val="false"/>
                <w:color w:val="000000"/>
                <w:sz w:val="18"/>
                <w:szCs w:val="18"/>
              </w:rPr>
              <w:t xml:space="preserve">Impact evidence record</w:t>
            </w:r>
          </w:p>
        </w:tc>
      </w:tr>
    </w:tbl>
    <w:p>
      <w:pPr>
        <w:pStyle w:val="Heading1"/>
        <w:spacing w:after="120" w:before="260"/>
      </w:pPr>
      <w:r>
        <w:rPr>
          <w:b/>
          <w:bCs/>
          <w:color w:val="1F3A5C"/>
        </w:rPr>
        <w:t xml:space="preserve">7.  Record and Evidence architecture</w:t>
      </w:r>
    </w:p>
    <w:p>
      <w:pPr>
        <w:spacing w:after="120" w:line="276"/>
      </w:pPr>
      <w:r>
        <w:t xml:space="preserve">Records are not storage artefacts; they are evidence that a step occurred, a decision was made, a control operated or an obligation was fulfilled. Each step now names the record class it produces, its retention and disposal rule, a legal-hold flag and the evidence it generates. Seven standard evidence-generation patterns are defined: transaction, decision, approval, control, model, lineage and retention/disposal evidence. This connects directly to the existing Evidence Register, Records Retention and Control–Evidence sheets.</w:t>
      </w:r>
    </w:p>
    <w:p>
      <w:pPr>
        <w:pStyle w:val="Heading1"/>
        <w:spacing w:after="120" w:before="260"/>
      </w:pPr>
      <w:r>
        <w:rPr>
          <w:b/>
          <w:bCs/>
          <w:color w:val="1F3A5C"/>
        </w:rPr>
        <w:t xml:space="preserve">8.  Decision architecture: process-level and step-level</w:t>
      </w:r>
    </w:p>
    <w:p>
      <w:pPr>
        <w:spacing w:after="120" w:line="276"/>
      </w:pPr>
      <w:r>
        <w:t xml:space="preserve">The DecisionModel now separates two levels. Process-level decisions are orchestration decisions (campaign go/no-go, journey prioritisation, budget allocation, scale/stop; for AGGPSA, grant go/no-go, capital allocation, institutionalise). Step-level decisions are operational decisions embedded in task execution (is consent valid for this purpose; is the offer eligible; which segment; which next-best-action; does this require human review; for AGGPSA, beneficiary targeting, data-sharing, milestone disbursement). Consistent with DMN guidance, decisions are modelled separately from process to avoid clutter, but linked to the step where the decision is actually made — realised as the ProcessStep_Decision map rather than by replacing the existing process-level map.</w:t>
      </w:r>
    </w:p>
    <w:p>
      <w:pPr>
        <w:pStyle w:val="Heading1"/>
        <w:spacing w:after="120" w:before="260"/>
      </w:pPr>
      <w:r>
        <w:rPr>
          <w:b/>
          <w:bCs/>
          <w:color w:val="1F3A5C"/>
        </w:rPr>
        <w:t xml:space="preserve">9.  Regulatory and standards grounding</w:t>
      </w:r>
    </w:p>
    <w:p>
      <w:pPr>
        <w:spacing w:after="120" w:line="276"/>
      </w:pPr>
      <w:r>
        <w:t xml:space="preserve">The layer is consistent with, and strengthens the demonstrability of, recognised frameworks:</w:t>
      </w:r>
    </w:p>
    <w:p>
      <w:pPr>
        <w:pStyle w:val="ListParagraph"/>
        <w:numPr>
          <w:ilvl w:val="0"/>
          <w:numId w:val="1"/>
        </w:numPr>
        <w:spacing w:after="80" w:line="270"/>
      </w:pPr>
      <w:r>
        <w:rPr>
          <w:b/>
          <w:bCs/>
        </w:rPr>
        <w:t xml:space="preserve">BPMN </w:t>
      </w:r>
      <w:r>
        <w:t xml:space="preserve">— its core objects (events, tasks, gateways, lanes, flows) support first-class steps that distinguish triggers, work, decisions/branching and responsibility boundaries.</w:t>
      </w:r>
    </w:p>
    <w:p>
      <w:pPr>
        <w:pStyle w:val="ListParagraph"/>
        <w:numPr>
          <w:ilvl w:val="0"/>
          <w:numId w:val="1"/>
        </w:numPr>
        <w:spacing w:after="80" w:line="270"/>
      </w:pPr>
      <w:r>
        <w:rPr>
          <w:b/>
          <w:bCs/>
        </w:rPr>
        <w:t xml:space="preserve">DMN </w:t>
      </w:r>
      <w:r>
        <w:t xml:space="preserve">— separates decision requirements, input data, knowledge sources and decision logic from procedural flow; the DecisionRequirement and DecisionTable sheets follow this.</w:t>
      </w:r>
    </w:p>
    <w:p>
      <w:pPr>
        <w:pStyle w:val="ListParagraph"/>
        <w:numPr>
          <w:ilvl w:val="0"/>
          <w:numId w:val="1"/>
        </w:numPr>
        <w:spacing w:after="80" w:line="270"/>
      </w:pPr>
      <w:r>
        <w:rPr>
          <w:b/>
          <w:bCs/>
        </w:rPr>
        <w:t xml:space="preserve">ISO 15489 / ARMA </w:t>
      </w:r>
      <w:r>
        <w:t xml:space="preserve">— records, metadata, assigned responsibilities, controls and the create–capture–manage–retain–dispose lifecycle are now explicit at the step that produces each record.</w:t>
      </w:r>
    </w:p>
    <w:p>
      <w:pPr>
        <w:pStyle w:val="ListParagraph"/>
        <w:numPr>
          <w:ilvl w:val="0"/>
          <w:numId w:val="1"/>
        </w:numPr>
        <w:spacing w:after="80" w:line="270"/>
      </w:pPr>
      <w:r>
        <w:rPr>
          <w:b/>
          <w:bCs/>
        </w:rPr>
        <w:t xml:space="preserve">DAMA-DMBOK </w:t>
      </w:r>
      <w:r>
        <w:t xml:space="preserve">— data management as governed functions aligning data assets to strategy, compliance and accountability; CRUD ownership and stewardship per concept operationalise this.</w:t>
      </w:r>
    </w:p>
    <w:p>
      <w:pPr>
        <w:pStyle w:val="ListParagraph"/>
        <w:numPr>
          <w:ilvl w:val="0"/>
          <w:numId w:val="1"/>
        </w:numPr>
        <w:spacing w:after="80" w:line="270"/>
      </w:pPr>
      <w:r>
        <w:rPr>
          <w:b/>
          <w:bCs/>
        </w:rPr>
        <w:t xml:space="preserve">POPIA / consent </w:t>
      </w:r>
      <w:r>
        <w:t xml:space="preserve">— lawful-purpose, consent and data-sharing checks are now bound to the exact step that reads or enforces them, with a linked control and evidence record — materially improving demonstrability of compliance.</w:t>
      </w:r>
    </w:p>
    <w:p>
      <w:pPr>
        <w:pStyle w:val="Heading1"/>
        <w:spacing w:after="120" w:before="260"/>
      </w:pPr>
      <w:r>
        <w:rPr>
          <w:b/>
          <w:bCs/>
          <w:color w:val="1F3A5C"/>
        </w:rPr>
        <w:t xml:space="preserve">10.  Open decisions requiring sign-off</w:t>
      </w:r>
    </w:p>
    <w:p>
      <w:pPr>
        <w:spacing w:after="120" w:line="276"/>
      </w:pPr>
      <w:r>
        <w:t xml:space="preserve">The architecture is sound; these operational parameters must be set by the accountable functions before the layer is treated as authoritative rather than illustrative:</w:t>
      </w:r>
    </w:p>
    <w:p>
      <w:pPr>
        <w:pStyle w:val="ListParagraph"/>
        <w:numPr>
          <w:ilvl w:val="0"/>
          <w:numId w:val="1"/>
        </w:numPr>
        <w:spacing w:after="80" w:line="270"/>
      </w:pPr>
      <w:r>
        <w:t xml:space="preserve">Retention and disposal rules and legal-hold defaults per record class must be confirmed by Legal and Records Management (illustrative values are seeded).</w:t>
      </w:r>
    </w:p>
    <w:p>
      <w:pPr>
        <w:pStyle w:val="ListParagraph"/>
        <w:numPr>
          <w:ilvl w:val="0"/>
          <w:numId w:val="1"/>
        </w:numPr>
        <w:spacing w:after="80" w:line="270"/>
      </w:pPr>
      <w:r>
        <w:t xml:space="preserve">Segregation-of-duties requirements per step — which steps may not be executed and approved by the same role — must be set by Risk and internal audit.</w:t>
      </w:r>
    </w:p>
    <w:p>
      <w:pPr>
        <w:pStyle w:val="ListParagraph"/>
        <w:numPr>
          <w:ilvl w:val="0"/>
          <w:numId w:val="1"/>
        </w:numPr>
        <w:spacing w:after="80" w:line="270"/>
      </w:pPr>
      <w:r>
        <w:t xml:space="preserve">HITL thresholds and confidence thresholds for step-level automated decisions must be set by Model Risk and the relevant business owner.</w:t>
      </w:r>
    </w:p>
    <w:p>
      <w:pPr>
        <w:pStyle w:val="ListParagraph"/>
        <w:numPr>
          <w:ilvl w:val="0"/>
          <w:numId w:val="1"/>
        </w:numPr>
        <w:spacing w:after="80" w:line="270"/>
      </w:pPr>
      <w:r>
        <w:t xml:space="preserve">Data-owner, data-steward and policy-owner role assignments per information concept must be ratified by the Data Governance Council (and, for AGGPSA, the Governance &amp; Assurance function).</w:t>
      </w:r>
    </w:p>
    <w:p>
      <w:pPr>
        <w:pStyle w:val="Heading1"/>
        <w:spacing w:after="120" w:before="260"/>
      </w:pPr>
      <w:r>
        <w:rPr>
          <w:b/>
          <w:bCs/>
          <w:color w:val="1F3A5C"/>
        </w:rPr>
        <w:t xml:space="preserve">11.  Residual risks and mitigations</w:t>
      </w:r>
    </w:p>
    <w:p>
      <w:pPr>
        <w:pStyle w:val="ListParagraph"/>
        <w:numPr>
          <w:ilvl w:val="0"/>
          <w:numId w:val="1"/>
        </w:numPr>
        <w:spacing w:after="80" w:line="270"/>
      </w:pPr>
      <w:r>
        <w:rPr>
          <w:b/>
          <w:bCs/>
        </w:rPr>
        <w:t xml:space="preserve">Illustrative population. </w:t>
      </w:r>
      <w:r>
        <w:t xml:space="preserve">Step metadata was generated by rule from the existing process task lists and is a workshop starting point. Mitigation: treat the seeded CRUD, control, record and evidence mappings as a first pass to be confirmed step-by-step with process and data owners.</w:t>
      </w:r>
    </w:p>
    <w:p>
      <w:pPr>
        <w:pStyle w:val="ListParagraph"/>
        <w:numPr>
          <w:ilvl w:val="0"/>
          <w:numId w:val="1"/>
        </w:numPr>
        <w:spacing w:after="80" w:line="270"/>
      </w:pPr>
      <w:r>
        <w:rPr>
          <w:b/>
          <w:bCs/>
        </w:rPr>
        <w:t xml:space="preserve">Over-modelling. </w:t>
      </w:r>
      <w:r>
        <w:t xml:space="preserve">Step-grain governance can add overhead. Mitigation: apply the full field set to high-value, high-risk chains first (the real-time next-best-action engine for Nedbank; the grant lifecycle and IMM chain for AGGPSA); keep lower-risk steps lighter.</w:t>
      </w:r>
    </w:p>
    <w:p>
      <w:pPr>
        <w:pStyle w:val="ListParagraph"/>
        <w:numPr>
          <w:ilvl w:val="0"/>
          <w:numId w:val="1"/>
        </w:numPr>
        <w:spacing w:after="80" w:line="270"/>
      </w:pPr>
      <w:r>
        <w:rPr>
          <w:b/>
          <w:bCs/>
        </w:rPr>
        <w:t xml:space="preserve">Record proliferation without disposal. </w:t>
      </w:r>
      <w:r>
        <w:t xml:space="preserve">Naming a record at every step raises retention volume. Mitigation: the RecordClass sheet carries retention and disposal rules; enforce disposal, not just creation.</w:t>
      </w:r>
    </w:p>
    <w:p>
      <w:pPr>
        <w:pStyle w:val="ListParagraph"/>
        <w:numPr>
          <w:ilvl w:val="0"/>
          <w:numId w:val="1"/>
        </w:numPr>
        <w:spacing w:after="80" w:line="270"/>
      </w:pPr>
      <w:r>
        <w:rPr>
          <w:b/>
          <w:bCs/>
        </w:rPr>
        <w:t xml:space="preserve">Decision drift. </w:t>
      </w:r>
      <w:r>
        <w:t xml:space="preserve">Step-level rules embedded in tasks can diverge from the governed DecisionTable. Mitigation: the ProcessStep_Decision map ties each step to a named decision requirement; review on change.</w:t>
      </w:r>
    </w:p>
    <w:p>
      <w:pPr>
        <w:spacing w:after="120" w:line="276"/>
      </w:pPr>
      <w:r>
        <w:rPr>
          <w:i/>
          <w:iCs/>
          <w:color w:val="555555"/>
          <w:sz w:val="18"/>
          <w:szCs w:val="18"/>
        </w:rPr>
        <w:t xml:space="preserve">Prepared by Modelware Systems to accompany pack v1.23.0. This review covers the architecture of the Process Step layer; it is not legal advice, and the retention, segregation-of-duties and consent parameters noted above require sign-off by the accountable Legal, Risk and Data Governance functions.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2026-08-08T16:02:33.958Z</dcterms:created>
  <dcterms:modified xsi:type="dcterms:W3CDTF">2026-08-08T16:02:33.968Z</dcterms:modified>
</cp:coreProperties>
</file>

<file path=docProps/custom.xml><?xml version="1.0" encoding="utf-8"?>
<Properties xmlns="http://schemas.openxmlformats.org/officeDocument/2006/custom-properties" xmlns:vt="http://schemas.openxmlformats.org/officeDocument/2006/docPropsVTypes"/>
</file>