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OpenSourceRail Station Powered Ferrite Maglev</w:t>
      </w:r>
    </w:p>
    <w:p>
      <w:pPr>
        <w:pStyle w:val="Subtitle"/>
      </w:pPr>
      <w:r>
        <w:t>Consolidated design specification and development plan</w:t>
      </w:r>
    </w:p>
    <w:p>
      <w:pPr/>
      <w:r>
        <w:rPr>
          <w:b w:val="0"/>
        </w:rPr>
        <w:t>21 October 2026</w:t>
      </w:r>
    </w:p>
    <w:p>
      <w:pPr/>
      <w:r>
        <w:rPr>
          <w:b w:val="0"/>
        </w:rPr>
        <w:t>This specification develops the requested Baghdad architecture into a coherent engineering programme: six 17 m cars, ferrite permanent-magnet support, propulsion supplied from station zones, unpowered interstation coasting, narrow elevated guidebeams and simple station-to-station traffic control. It is a proposed input for repository rework. It does not claim that these changes, dimensions or performance have already been implemented or demonstrated.</w:t>
      </w:r>
    </w:p>
    <w:p>
      <w:pPr/>
      <w:r>
        <w:rPr>
          <w:b w:val="0"/>
        </w:rPr>
        <w:t>This revision makes a structurally participating GFRP sandwich body the leading construction study and adds finite-magnet orientation optimization informed by Ingo Rehberg and Peter Blümler. The central mass target is 14.2 t/car with the original 3.0 t ferrite allocation and full 1.8 t growth reserve. A 13.4 t/car stretch case and conditional magnet-resizing cases are retained. These are preliminary design budgets; savings are released through component sizing, measured magnetic maps and updated purchasing quantities.</w:t>
      </w:r>
    </w:p>
    <w:p>
      <w:pPr/>
      <w:r>
        <w:rPr>
          <w:b w:val="0"/>
        </w:rPr>
        <w:t>This civil revision turns the lighter train into a coordinated foundation, pier, beam and production study. It targets USD 3.31 million per two-direction route-km for the existing incomplete priced guideway scope, about 22% below its USD 4.255 million comparator, and 56.25 route-m per planned working day per balanced erection front. The civil/assembly portion excluding unchanged magnetic rail targets a 31% reduction. Conditional magnetic-rail optimization extends the priced-scope objective to 28–31%. These are calculated design, procurement and delivery targets; the proposed geometry, supplier prices and output rates still require demonstration. The current comparator already uses narrow beams, so removal of a full running deck is not counted again.</w:t>
      </w:r>
    </w:p>
    <w:p>
      <w:pPr/>
      <w:r>
        <w:rPr>
          <w:b w:val="0"/>
        </w:rPr>
        <w:t>This launch revision adds a jerk-limited operating and purchasing study. The reference is a 90 s trip over a flat 1 km span, 0.8 m/s² acceleration/deceleration and 0.6 m/s³ jerk, requiring a calculated 2.35 MW peak traction input at an assumed 85% efficiency. Partial overlap suggests about 186 m minimum winding per direction at the stated unvalidated force density; 200–225 m becomes the initial geometry comparison. Price simple fixed winding groups before adopting output selectors. Use 190 s as the present headway study baseline; a 180 s service needs additional dwell or resource-boundary evidence. The new station power/charging cost sensitivities are explicitly additional to the incomplete guideway scope.</w:t>
      </w:r>
    </w:p>
    <w:p>
      <w:pPr/>
      <w:r>
        <w:rPr>
          <w:b w:val="0"/>
        </w:rPr>
        <w:t>Repository observations refer to OpenSourceRail commit 2617b04e722ca24b7ad9120f94610fe869f27053. Numerical results below are reproducible screening calculations under stated assumptions. Material references are candidate procurement specifications; manufacturer precedents establish useful design approaches, not qualification of this train.</w:t>
      </w:r>
    </w:p>
    <w:p>
      <w:pPr>
        <w:pStyle w:val="Heading1"/>
        <w:pageBreakBefore w:val="0"/>
      </w:pPr>
      <w:r>
        <w:t>Consolidated specification</w:t>
      </w:r>
    </w:p>
    <w:p>
      <w:pPr>
        <w:pStyle w:val="SpecItem"/>
      </w:pPr>
      <w:r>
        <w:rPr>
          <w:b w:val="0"/>
        </w:rPr>
        <w:t xml:space="preserve">1. </w:t>
      </w:r>
      <w:r>
        <w:rPr>
          <w:b/>
        </w:rPr>
        <w:t>Adopt one clear leading architecture.</w:t>
      </w:r>
      <w:r>
        <w:rPr>
          <w:b w:val="0"/>
        </w:rPr>
        <w:t xml:space="preserve"> Develop a station-powered, ferrite-PM-biased maglev with onboard suspension stabilization and guidance, station-mounted linear synchronous motors, and unpowered coasting between station zones. Keep train propulsion, magnetic support and passenger services as separate subsystems in the configuration. This preserves the requested removal of onboard main traction equipment while retaining a physically credible route to stationary hover.</w:t>
      </w:r>
    </w:p>
    <w:p>
      <w:pPr>
        <w:pStyle w:val="SpecItem"/>
      </w:pPr>
      <w:r>
        <w:rPr>
          <w:b w:val="0"/>
        </w:rPr>
        <w:t xml:space="preserve">2. </w:t>
      </w:r>
      <w:r>
        <w:rPr>
          <w:b/>
        </w:rPr>
        <w:t>Label the maturity of every parameter.</w:t>
      </w:r>
      <w:r>
        <w:rPr>
          <w:b w:val="0"/>
        </w:rPr>
        <w:t xml:space="preserve"> Distinguish project objectives, study assumptions, candidate designs and verified requirements. Six cars and station-sourced traction are project choices; 14.2 t tare, 3 t ferrite and 8 mm clearance remain study targets. Rehberg–Blümler informs an optimization method, not validated suspension gains. The civil section now defines a 25 m repeated product, hollow support candidates, a USD 22,000 ordinary-support procurement target and a two-shift production model. Keep the 15.4 t preceding train case, 13.4 t stretch case and old civil quantities for comparison. Do not mark target geometry, cost or throughput as accepted until its evidence is attached.</w:t>
      </w:r>
    </w:p>
    <w:p>
      <w:pPr>
        <w:pStyle w:val="SpecItem"/>
      </w:pPr>
      <w:r>
        <w:rPr>
          <w:b w:val="0"/>
        </w:rPr>
        <w:t xml:space="preserve">3. </w:t>
      </w:r>
      <w:r>
        <w:rPr>
          <w:b/>
        </w:rPr>
        <w:t>Fix the Baghdad train envelope.</w:t>
      </w:r>
      <w:r>
        <w:rPr>
          <w:b w:val="0"/>
        </w:rPr>
        <w:t xml:space="preserve"> Use six 17 m bodies, 2.65 m study width and 102 m total body length. Use 104.5 m only as an illustrative coupled footprint until couplers and gangways are resolved. Retain 120 passengers/car as the normal study loading and 160/car as the maximum study loading: 720 and 960 passengers/train, respectively, at the current 75 kg/person assumption. [R1]</w:t>
      </w:r>
    </w:p>
    <w:p>
      <w:pPr>
        <w:pStyle w:val="SpecItem"/>
      </w:pPr>
      <w:r>
        <w:rPr>
          <w:b w:val="0"/>
        </w:rPr>
        <w:t xml:space="preserve">4. </w:t>
      </w:r>
      <w:r>
        <w:rPr>
          <w:b/>
        </w:rPr>
        <w:t>Keep the operating envelope explicit.</w:t>
      </w:r>
      <w:r>
        <w:rPr>
          <w:b w:val="0"/>
        </w:rPr>
        <w:t xml:space="preserve"> Use an 80 km/h study limit. The new launch reference uses 0.8 m/s² net acceleration and service deceleration with 0.6 m/s³ jerk, a 90 s flat 1 km run and 190 s scheduled headway. Retain 0.6 and 1.0 m/s² acceleration and 100 s runtime as cost/performance alternatives. The earlier no-jerk calculations remain labelled comparisons. Route gradients, crosswinds, resistance, temperature, construction tolerances and degraded equipment remain required configuration inputs.</w:t>
      </w:r>
    </w:p>
    <w:p>
      <w:pPr>
        <w:pStyle w:val="SpecItem"/>
      </w:pPr>
      <w:r>
        <w:rPr>
          <w:b w:val="0"/>
        </w:rPr>
        <w:t xml:space="preserve">5. </w:t>
      </w:r>
      <w:r>
        <w:rPr>
          <w:b/>
        </w:rPr>
        <w:t>Remove the intended equipment from the train BOM.</w:t>
      </w:r>
      <w:r>
        <w:rPr>
          <w:b w:val="0"/>
        </w:rPr>
        <w:t xml:space="preserve"> Delete the onboard main traction motor/windings, main traction inverter, associated traction cooling and large traction-energy battery in this variant. Retain the magnetic support/guidance hardware, its power electronics, sensors, small services battery, doors, HVAC, lighting, communications, emergency stopping/capture provision and couplers. Record the removal explicitly so that later software or mass models do not quietly restore the old propulsion arrangement.</w:t>
      </w:r>
    </w:p>
    <w:p>
      <w:pPr>
        <w:pStyle w:val="SpecItem"/>
      </w:pPr>
      <w:r>
        <w:rPr>
          <w:b w:val="0"/>
        </w:rPr>
        <w:t xml:space="preserve">6. </w:t>
      </w:r>
      <w:r>
        <w:rPr>
          <w:b/>
        </w:rPr>
        <w:t>Use magnets as the field source, not the energy source.</w:t>
      </w:r>
      <w:r>
        <w:rPr>
          <w:b w:val="0"/>
        </w:rPr>
        <w:t xml:space="preserve"> Permanent magnets can provide magnetic bias and the field against which a station motor acts. The station electrical supply provides the train’s launch energy. Once outside a powered zone, gravity, aerodynamic resistance and magnetic losses determine the coast. A station cannot exert useful propulsion several kilometres away without powered equipment along that intervening route.</w:t>
      </w:r>
    </w:p>
    <w:p>
      <w:pPr>
        <w:pStyle w:val="SpecItem"/>
      </w:pPr>
      <w:r>
        <w:rPr>
          <w:b w:val="0"/>
        </w:rPr>
        <w:t xml:space="preserve">7. </w:t>
      </w:r>
      <w:r>
        <w:rPr>
          <w:b/>
        </w:rPr>
        <w:t>Retain active stabilization for always-hovering operation.</w:t>
      </w:r>
      <w:r>
        <w:rPr>
          <w:b w:val="0"/>
        </w:rPr>
        <w:t xml:space="preserve"> The leading design uses attractive PM-biased suspension with corrective coils and feedback, targeting low continuous control power. More ferrite alone does not establish stable, contactless support in every direction at rest. A moving-field electrodynamic Halbach system is a different branch: its speed-dependent lift cannot simply be assumed to remain available when stopped. Normal stationary hover and an orderly support-loss response must both be demonstrated. [R2, R33]</w:t>
      </w:r>
    </w:p>
    <w:p>
      <w:pPr>
        <w:pStyle w:val="SpecItem"/>
      </w:pPr>
      <w:r>
        <w:rPr>
          <w:b w:val="0"/>
        </w:rPr>
        <w:t xml:space="preserve">8. </w:t>
      </w:r>
      <w:r>
        <w:rPr>
          <w:b/>
        </w:rPr>
        <w:t>Use MagneMotion M3 as the closest architectural reference.</w:t>
      </w:r>
      <w:r>
        <w:rPr>
          <w:b w:val="0"/>
        </w:rPr>
        <w:t xml:space="preserve"> Its developer report combines vehicle PM support/guidance fields, stabilization coils and wayside LSM windings. Reuse that functional arrangement as a starting point for an independent ferrite design. Its articulated pods, vehicle size, powered-guideway coverage and performance are not the OSR specification. No qualified, openly licensed six-car ferrite passenger-maglev design was identified that can simply be copied. [R2]</w:t>
      </w:r>
    </w:p>
    <w:p>
      <w:pPr>
        <w:pStyle w:val="SpecItem"/>
      </w:pPr>
      <w:r>
        <w:rPr>
          <w:b w:val="0"/>
        </w:rPr>
        <w:t xml:space="preserve">9. </w:t>
      </w:r>
      <w:r>
        <w:rPr>
          <w:b/>
        </w:rPr>
        <w:t>Design a physically correct single-beam magnetic interface.</w:t>
      </w:r>
      <w:r>
        <w:rPr>
          <w:b w:val="0"/>
        </w:rPr>
        <w:t xml:space="preserve"> Arrange two symmetric support interfaces around one structural beam. In the attractive configuration, vehicle pole faces must sit below the iron faces toward which they are pulled upward; a magnet above a top-mounted iron face would attract the vehicle downward. Develop the wraparound carrier, guidance faces, capture clearances and load path together. Record support and propulsion gaps explicitly, including their geometric relationship where they share a magnetic face.</w:t>
      </w:r>
    </w:p>
    <w:p>
      <w:pPr>
        <w:pStyle w:val="SpecItem"/>
      </w:pPr>
      <w:r>
        <w:rPr>
          <w:b w:val="0"/>
        </w:rPr>
        <w:t xml:space="preserve">10. </w:t>
      </w:r>
      <w:r>
        <w:rPr>
          <w:b/>
        </w:rPr>
        <w:t>Optimize finite ferrite blocks using the Rehberg–Blümler approach.</w:t>
      </w:r>
      <w:r>
        <w:rPr>
          <w:b w:val="0"/>
        </w:rPr>
        <w:t xml:space="preserve"> Compare a conventional linear Halbach pattern with finite-block orientation optimization, an alternating-pole iron-backed circuit and a flux-concentrating ferrite/pole-piece circuit. Use the finite-dipole orientation method as an initial estimate, then optimize the actual cartridge, steel and coils in three dimensions. Preserve a useful alternating longitudinal field for propulsion as well as support force, gap tolerance and thermal/demagnetization margin. A static lift optimum need not be a useful LSM secondary. The paper’s circular-ring homogeneity gains do not establish railway lift or magnet-mass gains. [R34, R48]</w:t>
      </w:r>
    </w:p>
    <w:p>
      <w:pPr>
        <w:pStyle w:val="SpecItem"/>
      </w:pPr>
      <w:r>
        <w:rPr>
          <w:b w:val="0"/>
        </w:rPr>
        <w:t xml:space="preserve">11. </w:t>
      </w:r>
      <w:r>
        <w:rPr>
          <w:b/>
        </w:rPr>
        <w:t>Use specific ferrite grades as comparison materials.</w:t>
      </w:r>
      <w:r>
        <w:rPr>
          <w:b w:val="0"/>
        </w:rPr>
        <w:t xml:space="preserve"> TDK FB9B, FB9H and FB12H provide current, documented reference properties. Compare those against locally obtainable equivalents with complete demagnetization curves, dimensional tolerances and quotations. Premium performance must not be combined with an unverified commodity price. Some high-performance ferrites use lanthanum/cobalt additions; specify composition if avoiding these constituents is a procurement objective. [R3, R4]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2448"/>
        <w:gridCol w:w="2664"/>
      </w:tblGrid>
      <w:tr>
        <w:trPr>
          <w:cantSplit/>
          <w:tblHeader/>
        </w:trPr>
        <w:tc>
          <w:tcPr>
            <w:tcW w:type="dxa" w:w="2232"/>
            <w:vAlign w:val="center"/>
            <w:tcMar>
              <w:top w:w="85" w:type="dxa"/>
              <w:bottom w:w="85" w:type="dxa"/>
              <w:left w:w="90" w:type="dxa"/>
              <w:right w:w="90" w:type="dxa"/>
            </w:tcMar>
            <w:shd w:fill="F2F2F2"/>
          </w:tcPr>
          <w:p>
            <w:pPr>
              <w:keepNext/>
              <w:keepLines/>
              <w:spacing w:after="0" w:line="252" w:lineRule="auto"/>
            </w:pPr>
            <w:r>
              <w:rPr>
                <w:b/>
                <w:sz w:val="20"/>
              </w:rPr>
              <w:t>Reference grade</w:t>
            </w:r>
          </w:p>
        </w:tc>
        <w:tc>
          <w:tcPr>
            <w:tcW w:type="dxa" w:w="2448"/>
            <w:vAlign w:val="center"/>
            <w:tcMar>
              <w:top w:w="85" w:type="dxa"/>
              <w:bottom w:w="85" w:type="dxa"/>
              <w:left w:w="90" w:type="dxa"/>
              <w:right w:w="90" w:type="dxa"/>
            </w:tcMar>
            <w:shd w:fill="F2F2F2"/>
          </w:tcPr>
          <w:p>
            <w:pPr>
              <w:keepNext/>
              <w:keepLines/>
              <w:spacing w:after="0" w:line="252" w:lineRule="auto"/>
            </w:pPr>
            <w:r>
              <w:rPr>
                <w:b/>
                <w:sz w:val="20"/>
              </w:rPr>
              <w:t>Remanence at catalogue conditions</w:t>
            </w:r>
          </w:p>
        </w:tc>
        <w:tc>
          <w:tcPr>
            <w:tcW w:type="dxa" w:w="2448"/>
            <w:vAlign w:val="center"/>
            <w:tcMar>
              <w:top w:w="85" w:type="dxa"/>
              <w:bottom w:w="85" w:type="dxa"/>
              <w:left w:w="90" w:type="dxa"/>
              <w:right w:w="90" w:type="dxa"/>
            </w:tcMar>
            <w:shd w:fill="F2F2F2"/>
          </w:tcPr>
          <w:p>
            <w:pPr>
              <w:keepNext/>
              <w:keepLines/>
              <w:spacing w:after="0" w:line="252" w:lineRule="auto"/>
            </w:pPr>
            <w:r>
              <w:rPr>
                <w:b/>
                <w:sz w:val="20"/>
              </w:rPr>
              <w:t>Intrinsic coercivity</w:t>
            </w:r>
          </w:p>
        </w:tc>
        <w:tc>
          <w:tcPr>
            <w:tcW w:type="dxa" w:w="2664"/>
            <w:vAlign w:val="center"/>
            <w:tcMar>
              <w:top w:w="85" w:type="dxa"/>
              <w:bottom w:w="85" w:type="dxa"/>
              <w:left w:w="90" w:type="dxa"/>
              <w:right w:w="90" w:type="dxa"/>
            </w:tcMar>
            <w:shd w:fill="F2F2F2"/>
          </w:tcPr>
          <w:p>
            <w:pPr>
              <w:keepNext/>
              <w:keepLines/>
              <w:spacing w:after="0" w:line="252" w:lineRule="auto"/>
            </w:pPr>
            <w:r>
              <w:rPr>
                <w:b/>
                <w:sz w:val="20"/>
              </w:rPr>
              <w:t>Study purpose</w:t>
            </w:r>
          </w:p>
        </w:tc>
      </w:tr>
      <w:tr>
        <w:trPr>
          <w:cantSplit/>
        </w:trPr>
        <w:tc>
          <w:tcPr>
            <w:tcW w:type="dxa" w:w="2232"/>
            <w:vAlign w:val="center"/>
            <w:tcMar>
              <w:top w:w="85" w:type="dxa"/>
              <w:bottom w:w="85" w:type="dxa"/>
              <w:left w:w="90" w:type="dxa"/>
              <w:right w:w="90" w:type="dxa"/>
            </w:tcMar>
          </w:tcPr>
          <w:p>
            <w:pPr>
              <w:keepLines/>
              <w:spacing w:after="0" w:line="252" w:lineRule="auto"/>
            </w:pPr>
            <w:r>
              <w:rPr>
                <w:b w:val="0"/>
                <w:sz w:val="20"/>
              </w:rPr>
              <w:t>TDK FB9B</w:t>
            </w:r>
          </w:p>
        </w:tc>
        <w:tc>
          <w:tcPr>
            <w:tcW w:type="dxa" w:w="2448"/>
            <w:vAlign w:val="center"/>
            <w:tcMar>
              <w:top w:w="85" w:type="dxa"/>
              <w:bottom w:w="85" w:type="dxa"/>
              <w:left w:w="90" w:type="dxa"/>
              <w:right w:w="90" w:type="dxa"/>
            </w:tcMar>
          </w:tcPr>
          <w:p>
            <w:pPr>
              <w:keepLines/>
              <w:spacing w:after="0" w:line="252" w:lineRule="auto"/>
            </w:pPr>
            <w:r>
              <w:rPr>
                <w:b w:val="0"/>
                <w:sz w:val="20"/>
              </w:rPr>
              <w:t>450 ± 10 mT</w:t>
            </w:r>
          </w:p>
        </w:tc>
        <w:tc>
          <w:tcPr>
            <w:tcW w:type="dxa" w:w="2448"/>
            <w:vAlign w:val="center"/>
            <w:tcMar>
              <w:top w:w="85" w:type="dxa"/>
              <w:bottom w:w="85" w:type="dxa"/>
              <w:left w:w="90" w:type="dxa"/>
              <w:right w:w="90" w:type="dxa"/>
            </w:tcMar>
          </w:tcPr>
          <w:p>
            <w:pPr>
              <w:keepLines/>
              <w:spacing w:after="0" w:line="252" w:lineRule="auto"/>
            </w:pPr>
            <w:r>
              <w:rPr>
                <w:b w:val="0"/>
                <w:sz w:val="20"/>
              </w:rPr>
              <w:t>358.1 ± 12 kA/m</w:t>
            </w:r>
          </w:p>
        </w:tc>
        <w:tc>
          <w:tcPr>
            <w:tcW w:type="dxa" w:w="2664"/>
            <w:vAlign w:val="center"/>
            <w:tcMar>
              <w:top w:w="85" w:type="dxa"/>
              <w:bottom w:w="85" w:type="dxa"/>
              <w:left w:w="90" w:type="dxa"/>
              <w:right w:w="90" w:type="dxa"/>
            </w:tcMar>
          </w:tcPr>
          <w:p>
            <w:pPr>
              <w:keepLines/>
              <w:spacing w:after="0" w:line="252" w:lineRule="auto"/>
            </w:pPr>
            <w:r>
              <w:rPr>
                <w:b w:val="0"/>
                <w:sz w:val="20"/>
              </w:rPr>
              <w:t>Higher remanence reference</w:t>
            </w:r>
          </w:p>
        </w:tc>
      </w:tr>
      <w:tr>
        <w:trPr>
          <w:cantSplit/>
        </w:trPr>
        <w:tc>
          <w:tcPr>
            <w:tcW w:type="dxa" w:w="2232"/>
            <w:vAlign w:val="center"/>
            <w:tcMar>
              <w:top w:w="85" w:type="dxa"/>
              <w:bottom w:w="85" w:type="dxa"/>
              <w:left w:w="90" w:type="dxa"/>
              <w:right w:w="90" w:type="dxa"/>
            </w:tcMar>
          </w:tcPr>
          <w:p>
            <w:pPr>
              <w:keepLines/>
              <w:spacing w:after="0" w:line="252" w:lineRule="auto"/>
            </w:pPr>
            <w:r>
              <w:rPr>
                <w:b w:val="0"/>
                <w:sz w:val="20"/>
              </w:rPr>
              <w:t>TDK FB9H</w:t>
            </w:r>
          </w:p>
        </w:tc>
        <w:tc>
          <w:tcPr>
            <w:tcW w:type="dxa" w:w="2448"/>
            <w:vAlign w:val="center"/>
            <w:tcMar>
              <w:top w:w="85" w:type="dxa"/>
              <w:bottom w:w="85" w:type="dxa"/>
              <w:left w:w="90" w:type="dxa"/>
              <w:right w:w="90" w:type="dxa"/>
            </w:tcMar>
          </w:tcPr>
          <w:p>
            <w:pPr>
              <w:keepLines/>
              <w:spacing w:after="0" w:line="252" w:lineRule="auto"/>
            </w:pPr>
            <w:r>
              <w:rPr>
                <w:b w:val="0"/>
                <w:sz w:val="20"/>
              </w:rPr>
              <w:t>430 ± 10 mT</w:t>
            </w:r>
          </w:p>
        </w:tc>
        <w:tc>
          <w:tcPr>
            <w:tcW w:type="dxa" w:w="2448"/>
            <w:vAlign w:val="center"/>
            <w:tcMar>
              <w:top w:w="85" w:type="dxa"/>
              <w:bottom w:w="85" w:type="dxa"/>
              <w:left w:w="90" w:type="dxa"/>
              <w:right w:w="90" w:type="dxa"/>
            </w:tcMar>
          </w:tcPr>
          <w:p>
            <w:pPr>
              <w:keepLines/>
              <w:spacing w:after="0" w:line="252" w:lineRule="auto"/>
            </w:pPr>
            <w:r>
              <w:rPr>
                <w:b w:val="0"/>
                <w:sz w:val="20"/>
              </w:rPr>
              <w:t>397.9 ± 12 kA/m</w:t>
            </w:r>
          </w:p>
        </w:tc>
        <w:tc>
          <w:tcPr>
            <w:tcW w:type="dxa" w:w="2664"/>
            <w:vAlign w:val="center"/>
            <w:tcMar>
              <w:top w:w="85" w:type="dxa"/>
              <w:bottom w:w="85" w:type="dxa"/>
              <w:left w:w="90" w:type="dxa"/>
              <w:right w:w="90" w:type="dxa"/>
            </w:tcMar>
          </w:tcPr>
          <w:p>
            <w:pPr>
              <w:keepLines/>
              <w:spacing w:after="0" w:line="252" w:lineRule="auto"/>
            </w:pPr>
            <w:r>
              <w:rPr>
                <w:b w:val="0"/>
                <w:sz w:val="20"/>
              </w:rPr>
              <w:t>Higher coercivity comparison</w:t>
            </w:r>
          </w:p>
        </w:tc>
      </w:tr>
      <w:tr>
        <w:trPr>
          <w:cantSplit/>
        </w:trPr>
        <w:tc>
          <w:tcPr>
            <w:tcW w:type="dxa" w:w="2232"/>
            <w:vAlign w:val="center"/>
            <w:tcMar>
              <w:top w:w="85" w:type="dxa"/>
              <w:bottom w:w="85" w:type="dxa"/>
              <w:left w:w="90" w:type="dxa"/>
              <w:right w:w="90" w:type="dxa"/>
            </w:tcMar>
          </w:tcPr>
          <w:p>
            <w:pPr>
              <w:keepLines/>
              <w:spacing w:after="0" w:line="252" w:lineRule="auto"/>
            </w:pPr>
            <w:r>
              <w:rPr>
                <w:b w:val="0"/>
                <w:sz w:val="20"/>
              </w:rPr>
              <w:t>TDK FB12H</w:t>
            </w:r>
          </w:p>
        </w:tc>
        <w:tc>
          <w:tcPr>
            <w:tcW w:type="dxa" w:w="2448"/>
            <w:vAlign w:val="center"/>
            <w:tcMar>
              <w:top w:w="85" w:type="dxa"/>
              <w:bottom w:w="85" w:type="dxa"/>
              <w:left w:w="90" w:type="dxa"/>
              <w:right w:w="90" w:type="dxa"/>
            </w:tcMar>
          </w:tcPr>
          <w:p>
            <w:pPr>
              <w:keepLines/>
              <w:spacing w:after="0" w:line="252" w:lineRule="auto"/>
            </w:pPr>
            <w:r>
              <w:rPr>
                <w:b w:val="0"/>
                <w:sz w:val="20"/>
              </w:rPr>
              <w:t>460 ± 10 mT</w:t>
            </w:r>
          </w:p>
        </w:tc>
        <w:tc>
          <w:tcPr>
            <w:tcW w:type="dxa" w:w="2448"/>
            <w:vAlign w:val="center"/>
            <w:tcMar>
              <w:top w:w="85" w:type="dxa"/>
              <w:bottom w:w="85" w:type="dxa"/>
              <w:left w:w="90" w:type="dxa"/>
              <w:right w:w="90" w:type="dxa"/>
            </w:tcMar>
          </w:tcPr>
          <w:p>
            <w:pPr>
              <w:keepLines/>
              <w:spacing w:after="0" w:line="252" w:lineRule="auto"/>
            </w:pPr>
            <w:r>
              <w:rPr>
                <w:b w:val="0"/>
                <w:sz w:val="20"/>
              </w:rPr>
              <w:t>430 ± 15 kA/m</w:t>
            </w:r>
          </w:p>
        </w:tc>
        <w:tc>
          <w:tcPr>
            <w:tcW w:type="dxa" w:w="2664"/>
            <w:vAlign w:val="center"/>
            <w:tcMar>
              <w:top w:w="85" w:type="dxa"/>
              <w:bottom w:w="85" w:type="dxa"/>
              <w:left w:w="90" w:type="dxa"/>
              <w:right w:w="90" w:type="dxa"/>
            </w:tcMar>
          </w:tcPr>
          <w:p>
            <w:pPr>
              <w:keepLines/>
              <w:spacing w:after="0" w:line="252" w:lineRule="auto"/>
            </w:pPr>
            <w:r>
              <w:rPr>
                <w:b w:val="0"/>
                <w:sz w:val="20"/>
              </w:rPr>
              <w:t>Premium compactness comparison</w:t>
            </w:r>
          </w:p>
        </w:tc>
      </w:tr>
    </w:tbl>
    <w:p>
      <w:pPr>
        <w:spacing w:after="40"/>
      </w:pPr>
    </w:p>
    <w:p>
      <w:pPr>
        <w:pStyle w:val="SpecItem"/>
      </w:pPr>
      <w:r>
        <w:rPr>
          <w:b w:val="0"/>
        </w:rPr>
        <w:t xml:space="preserve">12. </w:t>
      </w:r>
      <w:r>
        <w:rPr>
          <w:b/>
        </w:rPr>
        <w:t>Check hot force and cold demagnetization separately.</w:t>
      </w:r>
      <w:r>
        <w:rPr>
          <w:b w:val="0"/>
        </w:rPr>
        <w:t xml:space="preserve"> Use actual supplier curves over the selected temperature range, including opposing support/traction fields and faults. Ferrite remanence falls with increasing temperature, while its coercivity can become less favorable in the cold. Magnet temperature, winding hot spots and ambient air temperature are different model variables. Heat tolerance does not imply constant lift or unlimited service life for adhesives, insulation and seals. [R5, R6]</w:t>
      </w:r>
    </w:p>
    <w:p>
      <w:pPr>
        <w:pStyle w:val="SpecItem"/>
      </w:pPr>
      <w:r>
        <w:rPr>
          <w:b w:val="0"/>
        </w:rPr>
        <w:t xml:space="preserve">13. </w:t>
      </w:r>
      <w:r>
        <w:rPr>
          <w:b/>
        </w:rPr>
        <w:t>Retain 3 t of ferrite for the first optimized-cartridge comparison.</w:t>
      </w:r>
      <w:r>
        <w:rPr>
          <w:b w:val="0"/>
        </w:rPr>
        <w:t xml:space="preserve"> At 5,000 kg/m³ this is 0.60 m³/car, or 18 t/train. The user’s USD 7,000/car assumption is USD 2.33/kg and USD 42,000/train for raw ferrite. Compare orientations at identical volume before shrinking the array. A conditional constant-performance resizing calculation gives about 2.85 t/car with the lighter central body, but requires the original force-per-mass premise to be demonstrated. Keep grade, machining, magnetization, keyed retention, inspection and assembly costs separate.</w:t>
      </w:r>
    </w:p>
    <w:p>
      <w:pPr>
        <w:pStyle w:val="SpecItem"/>
      </w:pPr>
      <w:r>
        <w:rPr>
          <w:b w:val="0"/>
        </w:rPr>
        <w:t xml:space="preserve">14. </w:t>
      </w:r>
      <w:r>
        <w:rPr>
          <w:b/>
        </w:rPr>
        <w:t>Start with 24 support cartridges per car.</w:t>
      </w:r>
      <w:r>
        <w:rPr>
          <w:b w:val="0"/>
        </w:rPr>
        <w:t xml:space="preserve"> At the revised 26.2 t maximum study load, weight is approximately 257.0 kN/car, or 10.71 kN/cartridge with equal static sharing. Three tonnes of ferrite averages 125 kg/cartridge. Develop 12 paired support stations along the car as a layout seed, resolving their real pitch and distance from car ends in CAD. Uneven passengers, structural flexibility, pitch/roll, beam joints and failed channels determine the higher local ratings; equal division is only a static screen.</w:t>
      </w:r>
    </w:p>
    <w:p>
      <w:pPr>
        <w:pStyle w:val="SpecItem"/>
      </w:pPr>
      <w:r>
        <w:rPr>
          <w:b w:val="0"/>
        </w:rPr>
        <w:t xml:space="preserve">15. </w:t>
      </w:r>
      <w:r>
        <w:rPr>
          <w:b/>
        </w:rPr>
        <w:t>Use magnetic pressure as a sanity check.</w:t>
      </w:r>
      <w:r>
        <w:rPr>
          <w:b w:val="0"/>
        </w:rPr>
        <w:t xml:space="preserve"> The ideal relation p = B²/(2μ₀) requires approximately 0.232 T equivalent gap field to support 257.0 kN over 12 m² of effective pole area. An illustrative 1.3 force multiplier raises that to 0.265 T. These are required-performance checks, not solved magnetic designs. Remanence is not useful gap field. A hypothetical 2.8% gain in gap field at unchanged area gives about 5.7% more ideal pressure; the Rehberg–Blümler ring result does not establish that gain for this rail.</w:t>
      </w:r>
    </w:p>
    <w:p>
      <w:pPr>
        <w:pStyle w:val="SpecItem"/>
      </w:pPr>
      <w:r>
        <w:rPr>
          <w:b w:val="0"/>
        </w:rPr>
        <w:t xml:space="preserve">16. </w:t>
      </w:r>
      <w:r>
        <w:rPr>
          <w:b/>
        </w:rPr>
        <w:t>Optimize the whole empty-to-loaded force envelope.</w:t>
      </w:r>
      <w:r>
        <w:rPr>
          <w:b w:val="0"/>
        </w:rPr>
        <w:t xml:space="preserve"> The 14.2 t tare and 26.2 t loaded cases require a force ratio of 1.845, while the payload force swing remains 117.7 kN/car. Under the ideal same-area relationship, empty support requires about 73.6% of the full-load gap field. Biasing the PM circuit at full load could therefore require substantial opposing trim when empty. Compare mid-load bias, controlled gap adjustment and coil authority using force–gap–current–temperature maps. A flatter force–gap curve improves disturbance tolerance but accommodates less payload change through a few millimetres of travel. Retain active stabilization, boarding tolerances and fault margins.</w:t>
      </w:r>
    </w:p>
    <w:p>
      <w:pPr>
        <w:pStyle w:val="SpecItem"/>
      </w:pPr>
      <w:r>
        <w:rPr>
          <w:b w:val="0"/>
        </w:rPr>
        <w:t xml:space="preserve">17. </w:t>
      </w:r>
      <w:r>
        <w:rPr>
          <w:b/>
        </w:rPr>
        <w:t>Optimize the gap with the civil works.</w:t>
      </w:r>
      <w:r>
        <w:rPr>
          <w:b w:val="0"/>
        </w:rPr>
        <w:t xml:space="preserve"> Compare 8, 12, 16 and 20 mm support clearances wherever the magnetic circuit can operate. First spend any validated magnetic improvement on lower complete system cost: potentially more alignment margin, lower trim losses or less material. These benefits compete and must be measured. Larger gaps can require more magnetic material or power. Retain separate budgets for manufacture, installation, body/beam motion, temperature, control error, curves and capture; optimize both the train and guideway.</w:t>
      </w:r>
    </w:p>
    <w:p>
      <w:pPr>
        <w:pStyle w:val="SpecItem"/>
      </w:pPr>
      <w:r>
        <w:rPr>
          <w:b w:val="0"/>
        </w:rPr>
        <w:t xml:space="preserve">18. </w:t>
      </w:r>
      <w:r>
        <w:rPr>
          <w:b/>
        </w:rPr>
        <w:t>Resolve the rigid-carrier curvature problem early.</w:t>
      </w:r>
      <w:r>
        <w:rPr>
          <w:b w:val="0"/>
        </w:rPr>
        <w:t xml:space="preserve"> For a straight 12 m magnetic footprint, the chord-height difference L²/(8R) is 18 mm at a 1,000 m vertical radius, 6 mm at 3,000 m and 3.6 mm at 5,000 m. These are significant against an 8 mm gap. Short cartridges rigidly attached to one straight frame do not remove the problem. Either constrain geometry or explicitly permit limited compliant/articulated carriers.</w:t>
      </w:r>
    </w:p>
    <w:p>
      <w:pPr>
        <w:pStyle w:val="SpecItem"/>
      </w:pPr>
      <w:r>
        <w:rPr>
          <w:b w:val="0"/>
        </w:rPr>
        <w:t xml:space="preserve">19. </w:t>
      </w:r>
      <w:r>
        <w:rPr>
          <w:b/>
        </w:rPr>
        <w:t>Integrate carriers into reinforced body load paths.</w:t>
      </w:r>
      <w:r>
        <w:rPr>
          <w:b w:val="0"/>
        </w:rPr>
        <w:t xml:space="preserve"> Locate magnetic hardpoints on continuous longitudinal members and local sandwich reinforcements, sharing brackets and load spreaders where analysis permits. Keep brittle ferrite positively retained inside replaceable cartridges; it cannot carry primary body tension, bending, coupler or crash loads. Use an interface BOM to prevent omission or double-counting between the GFRP body’s hardpoints and the separate magnetic-carrier allowance. Include joint creep, local peel, thermal expansion and repair access. [R7]</w:t>
      </w:r>
    </w:p>
    <w:p>
      <w:pPr>
        <w:pStyle w:val="SpecItem"/>
      </w:pPr>
      <w:r>
        <w:rPr>
          <w:b w:val="0"/>
        </w:rPr>
        <w:t xml:space="preserve">20. </w:t>
      </w:r>
      <w:r>
        <w:rPr>
          <w:b/>
        </w:rPr>
        <w:t>Close guidance, damping and capture as distinct functions.</w:t>
      </w:r>
      <w:r>
        <w:rPr>
          <w:b w:val="0"/>
        </w:rPr>
        <w:t xml:space="preserve"> Evaluate lateral restoring force, roll, pitch, yaw and damping over the full running envelope. Size guidance channels for wind, curves, uneven loads and disturbances. Add a normally clear capture/landing interface and a defined degraded condition. Do not count passive centering as demonstrated dynamic stability, or assign all emergency hardware to an unexplained mass allowance.</w:t>
      </w:r>
    </w:p>
    <w:p>
      <w:pPr>
        <w:pStyle w:val="SpecItem"/>
      </w:pPr>
      <w:r>
        <w:rPr>
          <w:b w:val="0"/>
        </w:rPr>
        <w:t xml:space="preserve">21. </w:t>
      </w:r>
      <w:r>
        <w:rPr>
          <w:b/>
        </w:rPr>
        <w:t>Optimize the passive rail jointly with the magnets.</w:t>
      </w:r>
      <w:r>
        <w:rPr>
          <w:b w:val="0"/>
        </w:rPr>
        <w:t xml:space="preserve"> Compare laminated or appropriately insulated/segmented iron interfaces, including fasteners, return paths and joints. The current quantity model contains about 300 kg of rail steel per guideway-metre, making this a major cost target. Greater useful flux can require more return-path steel if saturation controls, so improved magnet orientation does not automatically justify a thinner rail. Compare measured force, saturation, pole-passing eddy/hysteresis drag and finished installed cost. Study 0.35 and 0.5 mm electrical-steel lamination classes where appropriate; the assembled rail thickness is a separate dimension. [R8, R32]</w:t>
      </w:r>
    </w:p>
    <w:p>
      <w:pPr>
        <w:pStyle w:val="SpecItem"/>
      </w:pPr>
      <w:r>
        <w:rPr>
          <w:b w:val="0"/>
        </w:rPr>
        <w:t xml:space="preserve">22. </w:t>
      </w:r>
      <w:r>
        <w:rPr>
          <w:b/>
        </w:rPr>
        <w:t>Co-design pole pitch with the entire consist.</w:t>
      </w:r>
      <w:r>
        <w:rPr>
          <w:b w:val="0"/>
        </w:rPr>
        <w:t xml:space="preserve"> Compare 0.10, 0.20, 0.25 and 0.30 m pole pitches. The 0.25 m seed gives a 0.50 m electrical wavelength, about 44.4 Hz at 80 km/h and 30.8 Hz at the new 55.4 km/h launch speed. An illustrative 17.5 m car pitch then equals 35 complete wavelengths, allowing identical car arrays to share phase. Other pitches require deliberate magnetic indexing or separate phase control. Include coupler motion, actual array datums, end effects and slotting; frequency alone does not select the design.</w:t>
      </w:r>
    </w:p>
    <w:p>
      <w:pPr>
        <w:pStyle w:val="SpecItem"/>
      </w:pPr>
      <w:r>
        <w:rPr>
          <w:b w:val="0"/>
        </w:rPr>
        <w:t xml:space="preserve">23. </w:t>
      </w:r>
      <w:r>
        <w:rPr>
          <w:b/>
        </w:rPr>
        <w:t>Build a three-phase iron-core station LSM from repeated cassettes.</w:t>
      </w:r>
      <w:r>
        <w:rPr>
          <w:b w:val="0"/>
        </w:rPr>
        <w:t xml:space="preserve"> Use a 2.5 m mechanical cassette per face as the new factory seed, paired across the two interfaces. Five paired sets form a 12.5 m addressable section; two sections match a 25 m civil span. Compare distributed windings and concentrated coils using actual cost, force ripple and end effects. Develop shared support/thrust ferrite first as an integration objective, with a separately measured propulsion coupon for characterization. Separate production propulsion magnets must be charged to vehicle mass and cost, not assumed to fit the existing 3 t/car allocation.</w:t>
      </w:r>
    </w:p>
    <w:p>
      <w:pPr>
        <w:pStyle w:val="SpecItem"/>
      </w:pPr>
      <w:r>
        <w:rPr>
          <w:b w:val="0"/>
        </w:rPr>
        <w:t xml:space="preserve">24. </w:t>
      </w:r>
      <w:r>
        <w:rPr>
          <w:b/>
        </w:rPr>
        <w:t>Model support, thrust and electrical loading simultaneously.</w:t>
      </w:r>
      <w:r>
        <w:rPr>
          <w:b w:val="0"/>
        </w:rPr>
        <w:t xml:space="preserve"> Produce force/moment, flux-linkage, resistance, inductance and loss maps versus position, gap, overlap, phase current, electrical angle and temperature. Evaluate launch, braking, unpowered stator passage and inverter faults. Include reactive current and voltage headroom. If shared fields demand substantial suspension trim, revise the support-power and battery budgets. More force per metre may shorten the winding while increasing copper, converter, normal-force and cooling cost.</w:t>
      </w:r>
    </w:p>
    <w:p>
      <w:pPr>
        <w:pStyle w:val="SpecItem"/>
      </w:pPr>
      <w:r>
        <w:rPr>
          <w:b w:val="0"/>
        </w:rPr>
        <w:t xml:space="preserve">25. </w:t>
      </w:r>
      <w:r>
        <w:rPr>
          <w:b/>
        </w:rPr>
        <w:t>Compare fixed winding groups before a switching matrix.</w:t>
      </w:r>
      <w:r>
        <w:rPr>
          <w:b w:val="0"/>
        </w:rPr>
        <w:t xml:space="preserve"> Price one 200 m fixed winding per lane, two approximately 100 m groups per lane, and 12.5 m sections routed to a few inverter channels. Start detailed circuit design with the two-group arrangement: four independently controlled bridges per two-direction station, common DC infrastructure and no output selector matrix. Actual R/L, back EMF and current duty must decide the winner. The short-section variant requires phase-correct, current-free transfer and available thrust during handover. Keep a station LIM with a passive vehicle aluminum secondary as a separately costed fallback. [R2, R9, R49, R50]</w:t>
      </w:r>
    </w:p>
    <w:p>
      <w:pPr>
        <w:pStyle w:val="SpecItem"/>
      </w:pPr>
      <w:r>
        <w:rPr>
          <w:b w:val="0"/>
        </w:rPr>
        <w:t xml:space="preserve">26. </w:t>
      </w:r>
      <w:r>
        <w:rPr>
          <w:b/>
        </w:rPr>
        <w:t>Size station power from the jerk-limited loaded trajectory.</w:t>
      </w:r>
      <w:r>
        <w:rPr>
          <w:b w:val="0"/>
        </w:rPr>
        <w:t xml:space="preserve"> The reference six-car 157.2 t case requires 134.15 kN peak thrust, 1.994 MW peak mechanical propulsion and 5.501 kWh launch work. At a provisional 85% aggregate efficiency these become 2.346 MW and 6.472 kWh input, before services. Receiving braking peaks at 1.437 MW mechanical. These real-power figures do not establish bridge current or kVA rating. Every installed group/channel must be priced, including inactive hardware and required redundancy.</w:t>
      </w:r>
    </w:p>
    <w:p>
      <w:pPr>
        <w:pStyle w:val="SpecItem"/>
      </w:pPr>
      <w:r>
        <w:rPr>
          <w:b w:val="0"/>
        </w:rPr>
        <w:t xml:space="preserve">27. </w:t>
      </w:r>
      <w:r>
        <w:rPr>
          <w:b/>
        </w:rPr>
        <w:t>Use partial overlap to reduce station winding length.</w:t>
      </w:r>
      <w:r>
        <w:rPr>
          <w:b w:val="0"/>
        </w:rPr>
        <w:t xml:space="preserve"> The reference launch and brake travel are 159.81 and 108.16 m. Keeping the full 104.5 m train engaged throughout would require 372.47 m winding per direction. With six assumed 12 m active magnet bands and 4 kN per metre of equivalent train-envelope overlap, the optimized minimum is 185.66 m. Study 200–225 m after module rounding and margin; the 200 m geometry does not provide a full 20% force reserve in both phases. These are conditional force-overlap results, requiring motor, voltage, thermal and fault validation. Count both directions and both motor faces.</w:t>
      </w:r>
    </w:p>
    <w:p>
      <w:pPr>
        <w:pStyle w:val="SpecItem"/>
      </w:pPr>
      <w:r>
        <w:rPr>
          <w:b w:val="0"/>
        </w:rPr>
        <w:t xml:space="preserve">28. </w:t>
      </w:r>
      <w:r>
        <w:rPr>
          <w:b/>
        </w:rPr>
        <w:t>Use one auditable longitudinal model.</w:t>
      </w:r>
      <w:r>
        <w:rPr>
          <w:b w:val="0"/>
        </w:rPr>
        <w:t xml:space="preserve"> The central flat case uses 26,200 kg/car, six cars and R(v) = 1,000 + 1.8v² N/car with v in m/s. Integrate jerk-limited launch, zero-thrust coast and receiving braking; solve launch and brake-entry speeds for the required distance/time. Retain the earlier 27,400 and 25,400 kg mass comparisons. Resistance remains provisional. Replace the six-times-single-car aerodynamic approximation with a whole-consist model and measured magnetic losses before route acceptance.</w:t>
      </w:r>
    </w:p>
    <w:p>
      <w:pPr>
        <w:pStyle w:val="SpecItem"/>
      </w:pPr>
      <w:r>
        <w:rPr>
          <w:b w:val="0"/>
        </w:rPr>
        <w:t xml:space="preserve">29. </w:t>
      </w:r>
      <w:r>
        <w:rPr>
          <w:b/>
        </w:rPr>
        <w:t>Preserve the earlier profiles as explicitly limited comparisons.</w:t>
      </w:r>
      <w:r>
        <w:rPr>
          <w:b w:val="0"/>
        </w:rPr>
        <w:t xml:space="preserve"> The following historical screening table uses a = d = 1 m/s² and omits jerk ramps and dwell. It remains useful for tracing the earlier mass revision, but the new Station launch design section supplies the current jerk-limited operating and hardware study. Mechanical launch work excludes converter losses; receiving brake work is the mechanical energy absorbed by the station motor. The near-natural-stop row is a mathematical comparison, not a berthing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224"/>
        <w:gridCol w:w="1440"/>
        <w:gridCol w:w="1224"/>
        <w:gridCol w:w="1224"/>
        <w:gridCol w:w="1800"/>
        <w:gridCol w:w="1944"/>
      </w:tblGrid>
      <w:tr>
        <w:trPr>
          <w:cantSplit/>
          <w:tblHeader/>
        </w:trPr>
        <w:tc>
          <w:tcPr>
            <w:tcW w:type="dxa" w:w="936"/>
            <w:vAlign w:val="center"/>
            <w:tcMar>
              <w:top w:w="85" w:type="dxa"/>
              <w:bottom w:w="85" w:type="dxa"/>
              <w:left w:w="90" w:type="dxa"/>
              <w:right w:w="90" w:type="dxa"/>
            </w:tcMar>
            <w:shd w:fill="F2F2F2"/>
          </w:tcPr>
          <w:p>
            <w:pPr>
              <w:keepNext/>
              <w:keepLines/>
              <w:spacing w:after="0" w:line="252" w:lineRule="auto"/>
            </w:pPr>
            <w:r>
              <w:rPr>
                <w:b/>
                <w:sz w:val="20"/>
              </w:rPr>
              <w:t>Run time</w:t>
            </w:r>
          </w:p>
        </w:tc>
        <w:tc>
          <w:tcPr>
            <w:tcW w:type="dxa" w:w="1224"/>
            <w:vAlign w:val="center"/>
            <w:tcMar>
              <w:top w:w="85" w:type="dxa"/>
              <w:bottom w:w="85" w:type="dxa"/>
              <w:left w:w="90" w:type="dxa"/>
              <w:right w:w="90" w:type="dxa"/>
            </w:tcMar>
            <w:shd w:fill="F2F2F2"/>
          </w:tcPr>
          <w:p>
            <w:pPr>
              <w:keepNext/>
              <w:keepLines/>
              <w:spacing w:after="0" w:line="252" w:lineRule="auto"/>
            </w:pPr>
            <w:r>
              <w:rPr>
                <w:b/>
                <w:sz w:val="20"/>
              </w:rPr>
              <w:t>Launch speed</w:t>
            </w:r>
          </w:p>
        </w:tc>
        <w:tc>
          <w:tcPr>
            <w:tcW w:type="dxa" w:w="1440"/>
            <w:vAlign w:val="center"/>
            <w:tcMar>
              <w:top w:w="85" w:type="dxa"/>
              <w:bottom w:w="85" w:type="dxa"/>
              <w:left w:w="90" w:type="dxa"/>
              <w:right w:w="90" w:type="dxa"/>
            </w:tcMar>
            <w:shd w:fill="F2F2F2"/>
          </w:tcPr>
          <w:p>
            <w:pPr>
              <w:keepNext/>
              <w:keepLines/>
              <w:spacing w:after="0" w:line="252" w:lineRule="auto"/>
            </w:pPr>
            <w:r>
              <w:rPr>
                <w:b/>
                <w:sz w:val="20"/>
              </w:rPr>
              <w:t>Speed when braking starts</w:t>
            </w:r>
          </w:p>
        </w:tc>
        <w:tc>
          <w:tcPr>
            <w:tcW w:type="dxa" w:w="1224"/>
            <w:vAlign w:val="center"/>
            <w:tcMar>
              <w:top w:w="85" w:type="dxa"/>
              <w:bottom w:w="85" w:type="dxa"/>
              <w:left w:w="90" w:type="dxa"/>
              <w:right w:w="90" w:type="dxa"/>
            </w:tcMar>
            <w:shd w:fill="F2F2F2"/>
          </w:tcPr>
          <w:p>
            <w:pPr>
              <w:keepNext/>
              <w:keepLines/>
              <w:spacing w:after="0" w:line="252" w:lineRule="auto"/>
            </w:pPr>
            <w:r>
              <w:rPr>
                <w:b/>
                <w:sz w:val="20"/>
              </w:rPr>
              <w:t>Launch travel</w:t>
            </w:r>
          </w:p>
        </w:tc>
        <w:tc>
          <w:tcPr>
            <w:tcW w:type="dxa" w:w="1224"/>
            <w:vAlign w:val="center"/>
            <w:tcMar>
              <w:top w:w="85" w:type="dxa"/>
              <w:bottom w:w="85" w:type="dxa"/>
              <w:left w:w="90" w:type="dxa"/>
              <w:right w:w="90" w:type="dxa"/>
            </w:tcMar>
            <w:shd w:fill="F2F2F2"/>
          </w:tcPr>
          <w:p>
            <w:pPr>
              <w:keepNext/>
              <w:keepLines/>
              <w:spacing w:after="0" w:line="252" w:lineRule="auto"/>
            </w:pPr>
            <w:r>
              <w:rPr>
                <w:b/>
                <w:sz w:val="20"/>
              </w:rPr>
              <w:t>Braking travel</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Launch energy per train</w:t>
            </w:r>
          </w:p>
        </w:tc>
        <w:tc>
          <w:tcPr>
            <w:tcW w:type="dxa" w:w="1944"/>
            <w:vAlign w:val="center"/>
            <w:tcMar>
              <w:top w:w="85" w:type="dxa"/>
              <w:bottom w:w="85" w:type="dxa"/>
              <w:left w:w="90" w:type="dxa"/>
              <w:right w:w="90" w:type="dxa"/>
            </w:tcMar>
            <w:shd w:fill="F2F2F2"/>
          </w:tcPr>
          <w:p>
            <w:pPr>
              <w:keepNext/>
              <w:keepLines/>
              <w:spacing w:after="0" w:line="252" w:lineRule="auto"/>
            </w:pPr>
            <w:r>
              <w:rPr>
                <w:b/>
                <w:sz w:val="20"/>
              </w:rPr>
              <w:t>Station braking work</w:t>
            </w:r>
          </w:p>
        </w:tc>
      </w:tr>
      <w:tr>
        <w:trPr>
          <w:cantSplit/>
        </w:trPr>
        <w:tc>
          <w:tcPr>
            <w:tcW w:type="dxa" w:w="936"/>
            <w:vAlign w:val="center"/>
            <w:tcMar>
              <w:top w:w="85" w:type="dxa"/>
              <w:bottom w:w="85" w:type="dxa"/>
              <w:left w:w="90" w:type="dxa"/>
              <w:right w:w="90" w:type="dxa"/>
            </w:tcMar>
          </w:tcPr>
          <w:p>
            <w:pPr>
              <w:keepLines/>
              <w:spacing w:after="0" w:line="252" w:lineRule="auto"/>
            </w:pPr>
            <w:r>
              <w:rPr>
                <w:b w:val="0"/>
                <w:sz w:val="20"/>
              </w:rPr>
              <w:t>70 s</w:t>
            </w:r>
          </w:p>
        </w:tc>
        <w:tc>
          <w:tcPr>
            <w:tcW w:type="dxa" w:w="1224"/>
            <w:vAlign w:val="center"/>
            <w:tcMar>
              <w:top w:w="85" w:type="dxa"/>
              <w:bottom w:w="85" w:type="dxa"/>
              <w:left w:w="90" w:type="dxa"/>
              <w:right w:w="90" w:type="dxa"/>
            </w:tcMar>
          </w:tcPr>
          <w:p>
            <w:pPr>
              <w:keepLines/>
              <w:spacing w:after="0" w:line="252" w:lineRule="auto"/>
            </w:pPr>
            <w:r>
              <w:rPr>
                <w:b w:val="0"/>
                <w:sz w:val="20"/>
              </w:rPr>
              <w:t>75.5 km/h</w:t>
            </w:r>
          </w:p>
        </w:tc>
        <w:tc>
          <w:tcPr>
            <w:tcW w:type="dxa" w:w="1440"/>
            <w:vAlign w:val="center"/>
            <w:tcMar>
              <w:top w:w="85" w:type="dxa"/>
              <w:bottom w:w="85" w:type="dxa"/>
              <w:left w:w="90" w:type="dxa"/>
              <w:right w:w="90" w:type="dxa"/>
            </w:tcMar>
          </w:tcPr>
          <w:p>
            <w:pPr>
              <w:keepLines/>
              <w:spacing w:after="0" w:line="252" w:lineRule="auto"/>
            </w:pPr>
            <w:r>
              <w:rPr>
                <w:b w:val="0"/>
                <w:sz w:val="20"/>
              </w:rPr>
              <w:t>68.4 km/h</w:t>
            </w:r>
          </w:p>
        </w:tc>
        <w:tc>
          <w:tcPr>
            <w:tcW w:type="dxa" w:w="1224"/>
            <w:vAlign w:val="center"/>
            <w:tcMar>
              <w:top w:w="85" w:type="dxa"/>
              <w:bottom w:w="85" w:type="dxa"/>
              <w:left w:w="90" w:type="dxa"/>
              <w:right w:w="90" w:type="dxa"/>
            </w:tcMar>
          </w:tcPr>
          <w:p>
            <w:pPr>
              <w:keepLines/>
              <w:spacing w:after="0" w:line="252" w:lineRule="auto"/>
            </w:pPr>
            <w:r>
              <w:rPr>
                <w:b w:val="0"/>
                <w:sz w:val="20"/>
              </w:rPr>
              <w:t>219.8 m</w:t>
            </w:r>
          </w:p>
        </w:tc>
        <w:tc>
          <w:tcPr>
            <w:tcW w:type="dxa" w:w="1224"/>
            <w:vAlign w:val="center"/>
            <w:tcMar>
              <w:top w:w="85" w:type="dxa"/>
              <w:bottom w:w="85" w:type="dxa"/>
              <w:left w:w="90" w:type="dxa"/>
              <w:right w:w="90" w:type="dxa"/>
            </w:tcMar>
          </w:tcPr>
          <w:p>
            <w:pPr>
              <w:keepLines/>
              <w:spacing w:after="0" w:line="252" w:lineRule="auto"/>
            </w:pPr>
            <w:r>
              <w:rPr>
                <w:b w:val="0"/>
                <w:sz w:val="20"/>
              </w:rPr>
              <w:t>180.4 m</w:t>
            </w:r>
          </w:p>
        </w:tc>
        <w:tc>
          <w:tcPr>
            <w:tcW w:type="dxa" w:w="1800"/>
            <w:vAlign w:val="center"/>
            <w:tcMar>
              <w:top w:w="85" w:type="dxa"/>
              <w:bottom w:w="85" w:type="dxa"/>
              <w:left w:w="90" w:type="dxa"/>
              <w:right w:w="90" w:type="dxa"/>
            </w:tcMar>
          </w:tcPr>
          <w:p>
            <w:pPr>
              <w:keepLines/>
              <w:spacing w:after="0" w:line="252" w:lineRule="auto"/>
            </w:pPr>
            <w:r>
              <w:rPr>
                <w:b w:val="0"/>
                <w:sz w:val="20"/>
              </w:rPr>
              <w:t>10.11 kWh</w:t>
            </w:r>
          </w:p>
        </w:tc>
        <w:tc>
          <w:tcPr>
            <w:tcW w:type="dxa" w:w="1944"/>
            <w:vAlign w:val="center"/>
            <w:tcMar>
              <w:top w:w="85" w:type="dxa"/>
              <w:bottom w:w="85" w:type="dxa"/>
              <w:left w:w="90" w:type="dxa"/>
              <w:right w:w="90" w:type="dxa"/>
            </w:tcMar>
          </w:tcPr>
          <w:p>
            <w:pPr>
              <w:keepLines/>
              <w:spacing w:after="0" w:line="252" w:lineRule="auto"/>
            </w:pPr>
            <w:r>
              <w:rPr>
                <w:b w:val="0"/>
                <w:sz w:val="20"/>
              </w:rPr>
              <w:t>7.48 kWh</w:t>
            </w:r>
          </w:p>
        </w:tc>
      </w:tr>
      <w:tr>
        <w:trPr>
          <w:cantSplit/>
        </w:trPr>
        <w:tc>
          <w:tcPr>
            <w:tcW w:type="dxa" w:w="936"/>
            <w:vAlign w:val="center"/>
            <w:tcMar>
              <w:top w:w="85" w:type="dxa"/>
              <w:bottom w:w="85" w:type="dxa"/>
              <w:left w:w="90" w:type="dxa"/>
              <w:right w:w="90" w:type="dxa"/>
            </w:tcMar>
          </w:tcPr>
          <w:p>
            <w:pPr>
              <w:keepLines/>
              <w:spacing w:after="0" w:line="252" w:lineRule="auto"/>
            </w:pPr>
            <w:r>
              <w:rPr>
                <w:b w:val="0"/>
                <w:sz w:val="20"/>
              </w:rPr>
              <w:t>90 s</w:t>
            </w:r>
          </w:p>
        </w:tc>
        <w:tc>
          <w:tcPr>
            <w:tcW w:type="dxa" w:w="1224"/>
            <w:vAlign w:val="center"/>
            <w:tcMar>
              <w:top w:w="85" w:type="dxa"/>
              <w:bottom w:w="85" w:type="dxa"/>
              <w:left w:w="90" w:type="dxa"/>
              <w:right w:w="90" w:type="dxa"/>
            </w:tcMar>
          </w:tcPr>
          <w:p>
            <w:pPr>
              <w:keepLines/>
              <w:spacing w:after="0" w:line="252" w:lineRule="auto"/>
            </w:pPr>
            <w:r>
              <w:rPr>
                <w:b w:val="0"/>
                <w:sz w:val="20"/>
              </w:rPr>
              <w:t>52.4 km/h</w:t>
            </w:r>
          </w:p>
        </w:tc>
        <w:tc>
          <w:tcPr>
            <w:tcW w:type="dxa" w:w="1440"/>
            <w:vAlign w:val="center"/>
            <w:tcMar>
              <w:top w:w="85" w:type="dxa"/>
              <w:bottom w:w="85" w:type="dxa"/>
              <w:left w:w="90" w:type="dxa"/>
              <w:right w:w="90" w:type="dxa"/>
            </w:tcMar>
          </w:tcPr>
          <w:p>
            <w:pPr>
              <w:keepLines/>
              <w:spacing w:after="0" w:line="252" w:lineRule="auto"/>
            </w:pPr>
            <w:r>
              <w:rPr>
                <w:b w:val="0"/>
                <w:sz w:val="20"/>
              </w:rPr>
              <w:t>41.0 km/h</w:t>
            </w:r>
          </w:p>
        </w:tc>
        <w:tc>
          <w:tcPr>
            <w:tcW w:type="dxa" w:w="1224"/>
            <w:vAlign w:val="center"/>
            <w:tcMar>
              <w:top w:w="85" w:type="dxa"/>
              <w:bottom w:w="85" w:type="dxa"/>
              <w:left w:w="90" w:type="dxa"/>
              <w:right w:w="90" w:type="dxa"/>
            </w:tcMar>
          </w:tcPr>
          <w:p>
            <w:pPr>
              <w:keepLines/>
              <w:spacing w:after="0" w:line="252" w:lineRule="auto"/>
            </w:pPr>
            <w:r>
              <w:rPr>
                <w:b w:val="0"/>
                <w:sz w:val="20"/>
              </w:rPr>
              <w:t>106.1 m</w:t>
            </w:r>
          </w:p>
        </w:tc>
        <w:tc>
          <w:tcPr>
            <w:tcW w:type="dxa" w:w="1224"/>
            <w:vAlign w:val="center"/>
            <w:tcMar>
              <w:top w:w="85" w:type="dxa"/>
              <w:bottom w:w="85" w:type="dxa"/>
              <w:left w:w="90" w:type="dxa"/>
              <w:right w:w="90" w:type="dxa"/>
            </w:tcMar>
          </w:tcPr>
          <w:p>
            <w:pPr>
              <w:keepLines/>
              <w:spacing w:after="0" w:line="252" w:lineRule="auto"/>
            </w:pPr>
            <w:r>
              <w:rPr>
                <w:b w:val="0"/>
                <w:sz w:val="20"/>
              </w:rPr>
              <w:t>64.8 m</w:t>
            </w:r>
          </w:p>
        </w:tc>
        <w:tc>
          <w:tcPr>
            <w:tcW w:type="dxa" w:w="1800"/>
            <w:vAlign w:val="center"/>
            <w:tcMar>
              <w:top w:w="85" w:type="dxa"/>
              <w:bottom w:w="85" w:type="dxa"/>
              <w:left w:w="90" w:type="dxa"/>
              <w:right w:w="90" w:type="dxa"/>
            </w:tcMar>
          </w:tcPr>
          <w:p>
            <w:pPr>
              <w:keepLines/>
              <w:spacing w:after="0" w:line="252" w:lineRule="auto"/>
            </w:pPr>
            <w:r>
              <w:rPr>
                <w:b w:val="0"/>
                <w:sz w:val="20"/>
              </w:rPr>
              <w:t>4.84 kWh</w:t>
            </w:r>
          </w:p>
        </w:tc>
        <w:tc>
          <w:tcPr>
            <w:tcW w:type="dxa" w:w="1944"/>
            <w:vAlign w:val="center"/>
            <w:tcMar>
              <w:top w:w="85" w:type="dxa"/>
              <w:bottom w:w="85" w:type="dxa"/>
              <w:left w:w="90" w:type="dxa"/>
              <w:right w:w="90" w:type="dxa"/>
            </w:tcMar>
          </w:tcPr>
          <w:p>
            <w:pPr>
              <w:keepLines/>
              <w:spacing w:after="0" w:line="252" w:lineRule="auto"/>
            </w:pPr>
            <w:r>
              <w:rPr>
                <w:b w:val="0"/>
                <w:sz w:val="20"/>
              </w:rPr>
              <w:t>2.71 kWh</w:t>
            </w:r>
          </w:p>
        </w:tc>
      </w:tr>
      <w:tr>
        <w:trPr>
          <w:cantSplit/>
        </w:trPr>
        <w:tc>
          <w:tcPr>
            <w:tcW w:type="dxa" w:w="936"/>
            <w:vAlign w:val="center"/>
            <w:tcMar>
              <w:top w:w="85" w:type="dxa"/>
              <w:bottom w:w="85" w:type="dxa"/>
              <w:left w:w="90" w:type="dxa"/>
              <w:right w:w="90" w:type="dxa"/>
            </w:tcMar>
          </w:tcPr>
          <w:p>
            <w:pPr>
              <w:keepLines/>
              <w:spacing w:after="0" w:line="252" w:lineRule="auto"/>
            </w:pPr>
            <w:r>
              <w:rPr>
                <w:b w:val="0"/>
                <w:sz w:val="20"/>
              </w:rPr>
              <w:t>120 s</w:t>
            </w:r>
          </w:p>
        </w:tc>
        <w:tc>
          <w:tcPr>
            <w:tcW w:type="dxa" w:w="1224"/>
            <w:vAlign w:val="center"/>
            <w:tcMar>
              <w:top w:w="85" w:type="dxa"/>
              <w:bottom w:w="85" w:type="dxa"/>
              <w:left w:w="90" w:type="dxa"/>
              <w:right w:w="90" w:type="dxa"/>
            </w:tcMar>
          </w:tcPr>
          <w:p>
            <w:pPr>
              <w:keepLines/>
              <w:spacing w:after="0" w:line="252" w:lineRule="auto"/>
            </w:pPr>
            <w:r>
              <w:rPr>
                <w:b w:val="0"/>
                <w:sz w:val="20"/>
              </w:rPr>
              <w:t>40.5 km/h</w:t>
            </w:r>
          </w:p>
        </w:tc>
        <w:tc>
          <w:tcPr>
            <w:tcW w:type="dxa" w:w="1440"/>
            <w:vAlign w:val="center"/>
            <w:tcMar>
              <w:top w:w="85" w:type="dxa"/>
              <w:bottom w:w="85" w:type="dxa"/>
              <w:left w:w="90" w:type="dxa"/>
              <w:right w:w="90" w:type="dxa"/>
            </w:tcMar>
          </w:tcPr>
          <w:p>
            <w:pPr>
              <w:keepLines/>
              <w:spacing w:after="0" w:line="252" w:lineRule="auto"/>
            </w:pPr>
            <w:r>
              <w:rPr>
                <w:b w:val="0"/>
                <w:sz w:val="20"/>
              </w:rPr>
              <w:t>24.4 km/h</w:t>
            </w:r>
          </w:p>
        </w:tc>
        <w:tc>
          <w:tcPr>
            <w:tcW w:type="dxa" w:w="1224"/>
            <w:vAlign w:val="center"/>
            <w:tcMar>
              <w:top w:w="85" w:type="dxa"/>
              <w:bottom w:w="85" w:type="dxa"/>
              <w:left w:w="90" w:type="dxa"/>
              <w:right w:w="90" w:type="dxa"/>
            </w:tcMar>
          </w:tcPr>
          <w:p>
            <w:pPr>
              <w:keepLines/>
              <w:spacing w:after="0" w:line="252" w:lineRule="auto"/>
            </w:pPr>
            <w:r>
              <w:rPr>
                <w:b w:val="0"/>
                <w:sz w:val="20"/>
              </w:rPr>
              <w:t>63.2 m</w:t>
            </w:r>
          </w:p>
        </w:tc>
        <w:tc>
          <w:tcPr>
            <w:tcW w:type="dxa" w:w="1224"/>
            <w:vAlign w:val="center"/>
            <w:tcMar>
              <w:top w:w="85" w:type="dxa"/>
              <w:bottom w:w="85" w:type="dxa"/>
              <w:left w:w="90" w:type="dxa"/>
              <w:right w:w="90" w:type="dxa"/>
            </w:tcMar>
          </w:tcPr>
          <w:p>
            <w:pPr>
              <w:keepLines/>
              <w:spacing w:after="0" w:line="252" w:lineRule="auto"/>
            </w:pPr>
            <w:r>
              <w:rPr>
                <w:b w:val="0"/>
                <w:sz w:val="20"/>
              </w:rPr>
              <w:t>22.9 m</w:t>
            </w:r>
          </w:p>
        </w:tc>
        <w:tc>
          <w:tcPr>
            <w:tcW w:type="dxa" w:w="1800"/>
            <w:vAlign w:val="center"/>
            <w:tcMar>
              <w:top w:w="85" w:type="dxa"/>
              <w:bottom w:w="85" w:type="dxa"/>
              <w:left w:w="90" w:type="dxa"/>
              <w:right w:w="90" w:type="dxa"/>
            </w:tcMar>
          </w:tcPr>
          <w:p>
            <w:pPr>
              <w:keepLines/>
              <w:spacing w:after="0" w:line="252" w:lineRule="auto"/>
            </w:pPr>
            <w:r>
              <w:rPr>
                <w:b w:val="0"/>
                <w:sz w:val="20"/>
              </w:rPr>
              <w:t>2.88 kWh</w:t>
            </w:r>
          </w:p>
        </w:tc>
        <w:tc>
          <w:tcPr>
            <w:tcW w:type="dxa" w:w="1944"/>
            <w:vAlign w:val="center"/>
            <w:tcMar>
              <w:top w:w="85" w:type="dxa"/>
              <w:bottom w:w="85" w:type="dxa"/>
              <w:left w:w="90" w:type="dxa"/>
              <w:right w:w="90" w:type="dxa"/>
            </w:tcMar>
          </w:tcPr>
          <w:p>
            <w:pPr>
              <w:keepLines/>
              <w:spacing w:after="0" w:line="252" w:lineRule="auto"/>
            </w:pPr>
            <w:r>
              <w:rPr>
                <w:b w:val="0"/>
                <w:sz w:val="20"/>
              </w:rPr>
              <w:t>0.96 kWh</w:t>
            </w:r>
          </w:p>
        </w:tc>
      </w:tr>
      <w:tr>
        <w:trPr>
          <w:cantSplit/>
        </w:trPr>
        <w:tc>
          <w:tcPr>
            <w:tcW w:type="dxa" w:w="936"/>
            <w:vAlign w:val="center"/>
            <w:tcMar>
              <w:top w:w="85" w:type="dxa"/>
              <w:bottom w:w="85" w:type="dxa"/>
              <w:left w:w="90" w:type="dxa"/>
              <w:right w:w="90" w:type="dxa"/>
            </w:tcMar>
          </w:tcPr>
          <w:p>
            <w:pPr>
              <w:keepLines/>
              <w:spacing w:after="0" w:line="252" w:lineRule="auto"/>
            </w:pPr>
            <w:r>
              <w:rPr>
                <w:b w:val="0"/>
                <w:sz w:val="20"/>
              </w:rPr>
              <w:t>About 231 s</w:t>
            </w:r>
          </w:p>
        </w:tc>
        <w:tc>
          <w:tcPr>
            <w:tcW w:type="dxa" w:w="1224"/>
            <w:vAlign w:val="center"/>
            <w:tcMar>
              <w:top w:w="85" w:type="dxa"/>
              <w:bottom w:w="85" w:type="dxa"/>
              <w:left w:w="90" w:type="dxa"/>
              <w:right w:w="90" w:type="dxa"/>
            </w:tcMar>
          </w:tcPr>
          <w:p>
            <w:pPr>
              <w:keepLines/>
              <w:spacing w:after="0" w:line="252" w:lineRule="auto"/>
            </w:pPr>
            <w:r>
              <w:rPr>
                <w:b w:val="0"/>
                <w:sz w:val="20"/>
              </w:rPr>
              <w:t>31.9 km/h</w:t>
            </w:r>
          </w:p>
        </w:tc>
        <w:tc>
          <w:tcPr>
            <w:tcW w:type="dxa" w:w="1440"/>
            <w:vAlign w:val="center"/>
            <w:tcMar>
              <w:top w:w="85" w:type="dxa"/>
              <w:bottom w:w="85" w:type="dxa"/>
              <w:left w:w="90" w:type="dxa"/>
              <w:right w:w="90" w:type="dxa"/>
            </w:tcMar>
          </w:tcPr>
          <w:p>
            <w:pPr>
              <w:keepLines/>
              <w:spacing w:after="0" w:line="252" w:lineRule="auto"/>
            </w:pPr>
            <w:r>
              <w:rPr>
                <w:b w:val="0"/>
                <w:sz w:val="20"/>
              </w:rPr>
              <w:t>Approximately zero</w:t>
            </w:r>
          </w:p>
        </w:tc>
        <w:tc>
          <w:tcPr>
            <w:tcW w:type="dxa" w:w="1224"/>
            <w:vAlign w:val="center"/>
            <w:tcMar>
              <w:top w:w="85" w:type="dxa"/>
              <w:bottom w:w="85" w:type="dxa"/>
              <w:left w:w="90" w:type="dxa"/>
              <w:right w:w="90" w:type="dxa"/>
            </w:tcMar>
          </w:tcPr>
          <w:p>
            <w:pPr>
              <w:keepLines/>
              <w:spacing w:after="0" w:line="252" w:lineRule="auto"/>
            </w:pPr>
            <w:r>
              <w:rPr>
                <w:b w:val="0"/>
                <w:sz w:val="20"/>
              </w:rPr>
              <w:t>39.2 m</w:t>
            </w:r>
          </w:p>
        </w:tc>
        <w:tc>
          <w:tcPr>
            <w:tcW w:type="dxa" w:w="1224"/>
            <w:vAlign w:val="center"/>
            <w:tcMar>
              <w:top w:w="85" w:type="dxa"/>
              <w:bottom w:w="85" w:type="dxa"/>
              <w:left w:w="90" w:type="dxa"/>
              <w:right w:w="90" w:type="dxa"/>
            </w:tcMar>
          </w:tcPr>
          <w:p>
            <w:pPr>
              <w:keepLines/>
              <w:spacing w:after="0" w:line="252" w:lineRule="auto"/>
            </w:pPr>
            <w:r>
              <w:rPr>
                <w:b w:val="0"/>
                <w:sz w:val="20"/>
              </w:rPr>
              <w:t>None in ideal model</w:t>
            </w:r>
          </w:p>
        </w:tc>
        <w:tc>
          <w:tcPr>
            <w:tcW w:type="dxa" w:w="1800"/>
            <w:vAlign w:val="center"/>
            <w:tcMar>
              <w:top w:w="85" w:type="dxa"/>
              <w:bottom w:w="85" w:type="dxa"/>
              <w:left w:w="90" w:type="dxa"/>
              <w:right w:w="90" w:type="dxa"/>
            </w:tcMar>
          </w:tcPr>
          <w:p>
            <w:pPr>
              <w:keepLines/>
              <w:spacing w:after="0" w:line="252" w:lineRule="auto"/>
            </w:pPr>
            <w:r>
              <w:rPr>
                <w:b w:val="0"/>
                <w:sz w:val="20"/>
              </w:rPr>
              <w:t>1.78 kWh</w:t>
            </w:r>
          </w:p>
        </w:tc>
        <w:tc>
          <w:tcPr>
            <w:tcW w:type="dxa" w:w="1944"/>
            <w:vAlign w:val="center"/>
            <w:tcMar>
              <w:top w:w="85" w:type="dxa"/>
              <w:bottom w:w="85" w:type="dxa"/>
              <w:left w:w="90" w:type="dxa"/>
              <w:right w:w="90" w:type="dxa"/>
            </w:tcMar>
          </w:tcPr>
          <w:p>
            <w:pPr>
              <w:keepLines/>
              <w:spacing w:after="0" w:line="252" w:lineRule="auto"/>
            </w:pPr>
            <w:r>
              <w:rPr>
                <w:b w:val="0"/>
                <w:sz w:val="20"/>
              </w:rPr>
              <w:t>Approximately zero</w:t>
            </w:r>
          </w:p>
        </w:tc>
      </w:tr>
    </w:tbl>
    <w:p>
      <w:pPr>
        <w:spacing w:after="40"/>
      </w:pPr>
    </w:p>
    <w:p>
      <w:pPr>
        <w:pStyle w:val="SpecItem"/>
      </w:pPr>
      <w:r>
        <w:rPr>
          <w:b w:val="0"/>
        </w:rPr>
        <w:t xml:space="preserve">30. </w:t>
      </w:r>
      <w:r>
        <w:rPr>
          <w:b/>
        </w:rPr>
        <w:t>Minimize total energy and complete service cost.</w:t>
      </w:r>
      <w:r>
        <w:rPr>
          <w:b w:val="0"/>
        </w:rPr>
        <w:t xml:space="preserve"> For the new 90 s reference, moving hot services consume 9 kWh/train; launch input at 85% adds 6.472 kWh, totaling about 15.47 kWh before dwell and station losses. A 100 s reference reduces launch input to 5.00 kWh but raises moving services to 10 kWh, totaling about 15.00 kWh. The small combined saving must be weighed against journey time, headway and hardware. Retain the older energy figures only with their no-jerk profile labels. Lower body mass does not itself reduce passenger HVAC demand.</w:t>
      </w:r>
    </w:p>
    <w:p>
      <w:pPr>
        <w:pStyle w:val="SpecItem"/>
      </w:pPr>
      <w:r>
        <w:rPr>
          <w:b w:val="0"/>
        </w:rPr>
        <w:t xml:space="preserve">31. </w:t>
      </w:r>
      <w:r>
        <w:rPr>
          <w:b/>
        </w:rPr>
        <w:t>Include gradients and inertia in the coasting calculation.</w:t>
      </w:r>
      <w:r>
        <w:rPr>
          <w:b w:val="0"/>
        </w:rPr>
        <w:t xml:space="preserve"> The central loaded car launched at 80 km/h coasts about 4.63 km to rest on the level, or 1.62 km on a continuous 1% uphill, under the assumed resistance law. The corresponding earlier level result was 4.84 km. Lower inertia means faster slowing under unchanged drag, so lower mass does not by itself extend coasting range. A 1% uphill adds 2.57 kN/car. Optimize magnetic losses, aerodynamic resistance, station elevation and route curvature explicitly; downhill can require positive braking.</w:t>
      </w:r>
    </w:p>
    <w:p>
      <w:pPr>
        <w:pStyle w:val="SpecItem"/>
      </w:pPr>
      <w:r>
        <w:rPr>
          <w:b w:val="0"/>
        </w:rPr>
        <w:t xml:space="preserve">32. </w:t>
      </w:r>
      <w:r>
        <w:rPr>
          <w:b/>
        </w:rPr>
        <w:t>Plan a robust arrival window.</w:t>
      </w:r>
      <w:r>
        <w:rPr>
          <w:b w:val="0"/>
        </w:rPr>
        <w:t xml:space="preserve"> Optimize launch energy for measured mass, timetable, wind, resistance, voltage and route profile. Require adequate speed on entry to the receiving motor zone under the high-resistance case and adequate stopping capacity under the low-resistance/downhill case. Let the receiving station provide a small corrective push or brake. Exact zero-energy arrival under one nominal model is too sensitive to be the operating rule.</w:t>
      </w:r>
    </w:p>
    <w:p>
      <w:pPr>
        <w:pStyle w:val="SpecItem"/>
      </w:pPr>
      <w:r>
        <w:rPr>
          <w:b w:val="0"/>
        </w:rPr>
        <w:t xml:space="preserve">33. </w:t>
      </w:r>
      <w:r>
        <w:rPr>
          <w:b/>
        </w:rPr>
        <w:t>Use station resistor braking as the baseline.</w:t>
      </w:r>
      <w:r>
        <w:rPr>
          <w:b w:val="0"/>
        </w:rPr>
        <w:t xml:space="preserve"> The receiving LSM generates into the station DC bus; a chopper and resistor absorb energy without an onboard traction battery or export to the grid. In the new reference, an assumed 85% generating efficiency gives about 1.22 MW peak into the bus and 2.81 kWh / 10.13 MJ per arrival. At 180 s headway that averages 56.3 kW heat per direction. Size pulse power, repeated energy, ambient cooling, coincidence and failure response. Direct DC-bus energy reuse is optional; stopping must remain available without an energy consumer. [R50]</w:t>
      </w:r>
    </w:p>
    <w:p>
      <w:pPr>
        <w:pStyle w:val="SpecItem"/>
      </w:pPr>
      <w:r>
        <w:rPr>
          <w:b w:val="0"/>
        </w:rPr>
        <w:t xml:space="preserve">34. </w:t>
      </w:r>
      <w:r>
        <w:rPr>
          <w:b/>
        </w:rPr>
        <w:t>Provide an independent stopping and holding function.</w:t>
      </w:r>
      <w:r>
        <w:rPr>
          <w:b w:val="0"/>
        </w:rPr>
        <w:t xml:space="preserve"> A receiver can fail after the departure station has committed the train. Examine independent arrival-brake channels, fail-operational station supply, and an onboard emergency stopping/holding mechanism with passive reaction surfaces where necessary. Eddy-current braking alone cannot hold a stationary train. Cutting electrical propulsion also does not stop a train already coasting. Select the complete degraded-mode architecture before removing all mechanical emergency components.</w:t>
      </w:r>
    </w:p>
    <w:p>
      <w:pPr>
        <w:pStyle w:val="SpecItem"/>
      </w:pPr>
      <w:r>
        <w:rPr>
          <w:b w:val="0"/>
        </w:rPr>
        <w:t xml:space="preserve">35. </w:t>
      </w:r>
      <w:r>
        <w:rPr>
          <w:b/>
        </w:rPr>
        <w:t>Define the moving-parts objective precisely.</w:t>
      </w:r>
      <w:r>
        <w:rPr>
          <w:b w:val="0"/>
        </w:rPr>
        <w:t xml:space="preserve"> Target no wheels, gearboxes, rotating traction motors or mechanical transmissions in normal operation, and minimize articulated support hardware where geometry permits. Doors, HVAC fans/compressors, couplers, charging interfaces and emergency deployment hardware still have motion. Do not optimize a literal “zero moving parts” label at the expense of larger route radii, expensive alignment or impractical recovery.</w:t>
      </w:r>
    </w:p>
    <w:p>
      <w:pPr>
        <w:pStyle w:val="SpecItem"/>
      </w:pPr>
      <w:r>
        <w:rPr>
          <w:b w:val="0"/>
        </w:rPr>
        <w:t xml:space="preserve">36. </w:t>
      </w:r>
      <w:r>
        <w:rPr>
          <w:b/>
        </w:rPr>
        <w:t>Make a structurally participating GFRP sandwich body the leading study.</w:t>
      </w:r>
      <w:r>
        <w:rPr>
          <w:b w:val="0"/>
        </w:rPr>
        <w:t xml:space="preserve"> Use repeated flat or gently curved panels, continuous longitudinal load paths, reinforced openings and concentrated hardpoints. Compare vacuum infusion and light RTM with local production capability, cure control and fleet volume. Keep metallic fittings or local substructures where they efficiently handle coupler, suspension and lifting reactions. Avoid retaining a complete conventional frame underneath non-structural cladding if claiming the central mass saving. Rail composite demonstrators support this construction direction, while OSR’s sections and joints require their own sizing. [R35, R36]</w:t>
      </w:r>
    </w:p>
    <w:p>
      <w:pPr>
        <w:pStyle w:val="SpecItem"/>
      </w:pPr>
      <w:r>
        <w:rPr>
          <w:b w:val="0"/>
        </w:rPr>
        <w:t xml:space="preserve">37. </w:t>
      </w:r>
      <w:r>
        <w:rPr>
          <w:b/>
        </w:rPr>
        <w:t>Specify a complete laminate, core and joint system.</w:t>
      </w:r>
      <w:r>
        <w:rPr>
          <w:b w:val="0"/>
        </w:rPr>
        <w:t xml:space="preserve"> The central takeoff uses 1,900 kg/m³ GFRP faces, an 80 kg/m³ upper-shell core and a 100 kg/m³ floor core. These are property targets, not qualified material selections. Compare rail-oriented AIREX T90 and higher-temperature R82 core families with other suppliers, including PET-core alternatives. Qualify faces, core, adhesive, coatings and liners together for hot strength, creep, fire/smoke and repair. Catalogue core temperature or fire claims do not qualify the finished body. Standardize mold families, inserts, scarf/lap joints and inspection. [R36–R41]</w:t>
      </w:r>
    </w:p>
    <w:p>
      <w:pPr>
        <w:pStyle w:val="SpecItem"/>
      </w:pPr>
      <w:r>
        <w:rPr>
          <w:b w:val="0"/>
        </w:rPr>
        <w:t xml:space="preserve">38. </w:t>
      </w:r>
      <w:r>
        <w:rPr>
          <w:b/>
        </w:rPr>
        <w:t>Adopt 14.2 t/car as the central mass target with visible reserve.</w:t>
      </w:r>
      <w:r>
        <w:rPr>
          <w:b w:val="0"/>
        </w:rPr>
        <w:t xml:space="preserve"> The equipped GFRP body is budgeted at 5.2 t, including a 3.2 t structural shell plus doors, glazing, interior and extra treatments. Retain 3.0 t ferrite and the full 1.8 t growth reserve. This gives 85.2 t/train empty and 157.2 t at maximum study load. Use 15.3 t/car as a conservative GFRP case and 13.4 t/car as a stretch case. The 1.5 t magnetic-equipment allocation still needs physical sizing; chute equipment and other missing details must be itemized and charged to equipment or reserve. The detailed body takeoff follows the numbered 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1800"/>
        <w:gridCol w:w="1800"/>
        <w:gridCol w:w="1800"/>
      </w:tblGrid>
      <w:tr>
        <w:trPr>
          <w:cantSplit/>
          <w:tblHeader/>
        </w:trPr>
        <w:tc>
          <w:tcPr>
            <w:tcW w:type="dxa" w:w="4392"/>
            <w:vAlign w:val="center"/>
            <w:tcMar>
              <w:top w:w="85" w:type="dxa"/>
              <w:bottom w:w="85" w:type="dxa"/>
              <w:left w:w="90" w:type="dxa"/>
              <w:right w:w="90" w:type="dxa"/>
            </w:tcMar>
            <w:shd w:fill="F2F2F2"/>
          </w:tcPr>
          <w:p>
            <w:pPr>
              <w:keepNext/>
              <w:keepLines/>
              <w:spacing w:after="0" w:line="252" w:lineRule="auto"/>
            </w:pPr>
            <w:r>
              <w:rPr>
                <w:b/>
                <w:sz w:val="20"/>
              </w:rPr>
              <w:t>Mass category per car</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Earlier</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Central</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Stretch</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Equipped body including floor, doors, glazing and interior</w:t>
            </w:r>
          </w:p>
        </w:tc>
        <w:tc>
          <w:tcPr>
            <w:tcW w:type="dxa" w:w="1800"/>
            <w:vAlign w:val="center"/>
            <w:tcMar>
              <w:top w:w="85" w:type="dxa"/>
              <w:bottom w:w="85" w:type="dxa"/>
              <w:left w:w="90" w:type="dxa"/>
              <w:right w:w="90" w:type="dxa"/>
            </w:tcMar>
          </w:tcPr>
          <w:p>
            <w:pPr>
              <w:keepLines/>
              <w:spacing w:after="0" w:line="252" w:lineRule="auto"/>
            </w:pPr>
            <w:r>
              <w:rPr>
                <w:b w:val="0"/>
                <w:sz w:val="20"/>
              </w:rPr>
              <w:t>6,400 kg</w:t>
            </w:r>
          </w:p>
        </w:tc>
        <w:tc>
          <w:tcPr>
            <w:tcW w:type="dxa" w:w="1800"/>
            <w:vAlign w:val="center"/>
            <w:tcMar>
              <w:top w:w="85" w:type="dxa"/>
              <w:bottom w:w="85" w:type="dxa"/>
              <w:left w:w="90" w:type="dxa"/>
              <w:right w:w="90" w:type="dxa"/>
            </w:tcMar>
          </w:tcPr>
          <w:p>
            <w:pPr>
              <w:keepLines/>
              <w:spacing w:after="0" w:line="252" w:lineRule="auto"/>
            </w:pPr>
            <w:r>
              <w:rPr>
                <w:b w:val="0"/>
                <w:sz w:val="20"/>
              </w:rPr>
              <w:t>5,200 kg</w:t>
            </w:r>
          </w:p>
        </w:tc>
        <w:tc>
          <w:tcPr>
            <w:tcW w:type="dxa" w:w="1800"/>
            <w:vAlign w:val="center"/>
            <w:tcMar>
              <w:top w:w="85" w:type="dxa"/>
              <w:bottom w:w="85" w:type="dxa"/>
              <w:left w:w="90" w:type="dxa"/>
              <w:right w:w="90" w:type="dxa"/>
            </w:tcMar>
          </w:tcPr>
          <w:p>
            <w:pPr>
              <w:keepLines/>
              <w:spacing w:after="0" w:line="252" w:lineRule="auto"/>
            </w:pPr>
            <w:r>
              <w:rPr>
                <w:b w:val="0"/>
                <w:sz w:val="20"/>
              </w:rPr>
              <w:t>4,400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Ferrite magnets</w:t>
            </w:r>
          </w:p>
        </w:tc>
        <w:tc>
          <w:tcPr>
            <w:tcW w:type="dxa" w:w="1800"/>
            <w:vAlign w:val="center"/>
            <w:tcMar>
              <w:top w:w="85" w:type="dxa"/>
              <w:bottom w:w="85" w:type="dxa"/>
              <w:left w:w="90" w:type="dxa"/>
              <w:right w:w="90" w:type="dxa"/>
            </w:tcMar>
          </w:tcPr>
          <w:p>
            <w:pPr>
              <w:keepLines/>
              <w:spacing w:after="0" w:line="252" w:lineRule="auto"/>
            </w:pPr>
            <w:r>
              <w:rPr>
                <w:b w:val="0"/>
                <w:sz w:val="20"/>
              </w:rPr>
              <w:t>3,000 kg</w:t>
            </w:r>
          </w:p>
        </w:tc>
        <w:tc>
          <w:tcPr>
            <w:tcW w:type="dxa" w:w="1800"/>
            <w:vAlign w:val="center"/>
            <w:tcMar>
              <w:top w:w="85" w:type="dxa"/>
              <w:bottom w:w="85" w:type="dxa"/>
              <w:left w:w="90" w:type="dxa"/>
              <w:right w:w="90" w:type="dxa"/>
            </w:tcMar>
          </w:tcPr>
          <w:p>
            <w:pPr>
              <w:keepLines/>
              <w:spacing w:after="0" w:line="252" w:lineRule="auto"/>
            </w:pPr>
            <w:r>
              <w:rPr>
                <w:b w:val="0"/>
                <w:sz w:val="20"/>
              </w:rPr>
              <w:t>3,000 kg</w:t>
            </w:r>
          </w:p>
        </w:tc>
        <w:tc>
          <w:tcPr>
            <w:tcW w:type="dxa" w:w="1800"/>
            <w:vAlign w:val="center"/>
            <w:tcMar>
              <w:top w:w="85" w:type="dxa"/>
              <w:bottom w:w="85" w:type="dxa"/>
              <w:left w:w="90" w:type="dxa"/>
              <w:right w:w="90" w:type="dxa"/>
            </w:tcMar>
          </w:tcPr>
          <w:p>
            <w:pPr>
              <w:keepLines/>
              <w:spacing w:after="0" w:line="252" w:lineRule="auto"/>
            </w:pPr>
            <w:r>
              <w:rPr>
                <w:b w:val="0"/>
                <w:sz w:val="20"/>
              </w:rPr>
              <w:t>3,000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Support/guidance cores, coils, carriers, drives and sensors</w:t>
            </w:r>
          </w:p>
        </w:tc>
        <w:tc>
          <w:tcPr>
            <w:tcW w:type="dxa" w:w="1800"/>
            <w:vAlign w:val="center"/>
            <w:tcMar>
              <w:top w:w="85" w:type="dxa"/>
              <w:bottom w:w="85" w:type="dxa"/>
              <w:left w:w="90" w:type="dxa"/>
              <w:right w:w="90" w:type="dxa"/>
            </w:tcMar>
          </w:tcPr>
          <w:p>
            <w:pPr>
              <w:keepLines/>
              <w:spacing w:after="0" w:line="252" w:lineRule="auto"/>
            </w:pPr>
            <w:r>
              <w:rPr>
                <w:b w:val="0"/>
                <w:sz w:val="20"/>
              </w:rPr>
              <w:t>1,500 kg</w:t>
            </w:r>
          </w:p>
        </w:tc>
        <w:tc>
          <w:tcPr>
            <w:tcW w:type="dxa" w:w="1800"/>
            <w:vAlign w:val="center"/>
            <w:tcMar>
              <w:top w:w="85" w:type="dxa"/>
              <w:bottom w:w="85" w:type="dxa"/>
              <w:left w:w="90" w:type="dxa"/>
              <w:right w:w="90" w:type="dxa"/>
            </w:tcMar>
          </w:tcPr>
          <w:p>
            <w:pPr>
              <w:keepLines/>
              <w:spacing w:after="0" w:line="252" w:lineRule="auto"/>
            </w:pPr>
            <w:r>
              <w:rPr>
                <w:b w:val="0"/>
                <w:sz w:val="20"/>
              </w:rPr>
              <w:t>1,500 kg</w:t>
            </w:r>
          </w:p>
        </w:tc>
        <w:tc>
          <w:tcPr>
            <w:tcW w:type="dxa" w:w="1800"/>
            <w:vAlign w:val="center"/>
            <w:tcMar>
              <w:top w:w="85" w:type="dxa"/>
              <w:bottom w:w="85" w:type="dxa"/>
              <w:left w:w="90" w:type="dxa"/>
              <w:right w:w="90" w:type="dxa"/>
            </w:tcMar>
          </w:tcPr>
          <w:p>
            <w:pPr>
              <w:keepLines/>
              <w:spacing w:after="0" w:line="252" w:lineRule="auto"/>
            </w:pPr>
            <w:r>
              <w:rPr>
                <w:b w:val="0"/>
                <w:sz w:val="20"/>
              </w:rPr>
              <w:t>1,500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Capture, landing and emergency braking</w:t>
            </w:r>
          </w:p>
        </w:tc>
        <w:tc>
          <w:tcPr>
            <w:tcW w:type="dxa" w:w="1800"/>
            <w:vAlign w:val="center"/>
            <w:tcMar>
              <w:top w:w="85" w:type="dxa"/>
              <w:bottom w:w="85" w:type="dxa"/>
              <w:left w:w="90" w:type="dxa"/>
              <w:right w:w="90" w:type="dxa"/>
            </w:tcMar>
          </w:tcPr>
          <w:p>
            <w:pPr>
              <w:keepLines/>
              <w:spacing w:after="0" w:line="252" w:lineRule="auto"/>
            </w:pPr>
            <w:r>
              <w:rPr>
                <w:b w:val="0"/>
                <w:sz w:val="20"/>
              </w:rPr>
              <w:t>600 kg</w:t>
            </w:r>
          </w:p>
        </w:tc>
        <w:tc>
          <w:tcPr>
            <w:tcW w:type="dxa" w:w="1800"/>
            <w:vAlign w:val="center"/>
            <w:tcMar>
              <w:top w:w="85" w:type="dxa"/>
              <w:bottom w:w="85" w:type="dxa"/>
              <w:left w:w="90" w:type="dxa"/>
              <w:right w:w="90" w:type="dxa"/>
            </w:tcMar>
          </w:tcPr>
          <w:p>
            <w:pPr>
              <w:keepLines/>
              <w:spacing w:after="0" w:line="252" w:lineRule="auto"/>
            </w:pPr>
            <w:r>
              <w:rPr>
                <w:b w:val="0"/>
                <w:sz w:val="20"/>
              </w:rPr>
              <w:t>600 kg</w:t>
            </w:r>
          </w:p>
        </w:tc>
        <w:tc>
          <w:tcPr>
            <w:tcW w:type="dxa" w:w="1800"/>
            <w:vAlign w:val="center"/>
            <w:tcMar>
              <w:top w:w="85" w:type="dxa"/>
              <w:bottom w:w="85" w:type="dxa"/>
              <w:left w:w="90" w:type="dxa"/>
              <w:right w:w="90" w:type="dxa"/>
            </w:tcMar>
          </w:tcPr>
          <w:p>
            <w:pPr>
              <w:keepLines/>
              <w:spacing w:after="0" w:line="252" w:lineRule="auto"/>
            </w:pPr>
            <w:r>
              <w:rPr>
                <w:b w:val="0"/>
                <w:sz w:val="20"/>
              </w:rPr>
              <w:t>600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30 kWh battery at 100 Wh/kg packaged</w:t>
            </w:r>
          </w:p>
        </w:tc>
        <w:tc>
          <w:tcPr>
            <w:tcW w:type="dxa" w:w="1800"/>
            <w:vAlign w:val="center"/>
            <w:tcMar>
              <w:top w:w="85" w:type="dxa"/>
              <w:bottom w:w="85" w:type="dxa"/>
              <w:left w:w="90" w:type="dxa"/>
              <w:right w:w="90" w:type="dxa"/>
            </w:tcMar>
          </w:tcPr>
          <w:p>
            <w:pPr>
              <w:keepLines/>
              <w:spacing w:after="0" w:line="252" w:lineRule="auto"/>
            </w:pPr>
            <w:r>
              <w:rPr>
                <w:b w:val="0"/>
                <w:sz w:val="20"/>
              </w:rPr>
              <w:t>300 kg</w:t>
            </w:r>
          </w:p>
        </w:tc>
        <w:tc>
          <w:tcPr>
            <w:tcW w:type="dxa" w:w="1800"/>
            <w:vAlign w:val="center"/>
            <w:tcMar>
              <w:top w:w="85" w:type="dxa"/>
              <w:bottom w:w="85" w:type="dxa"/>
              <w:left w:w="90" w:type="dxa"/>
              <w:right w:w="90" w:type="dxa"/>
            </w:tcMar>
          </w:tcPr>
          <w:p>
            <w:pPr>
              <w:keepLines/>
              <w:spacing w:after="0" w:line="252" w:lineRule="auto"/>
            </w:pPr>
            <w:r>
              <w:rPr>
                <w:b w:val="0"/>
                <w:sz w:val="20"/>
              </w:rPr>
              <w:t>300 kg</w:t>
            </w:r>
          </w:p>
        </w:tc>
        <w:tc>
          <w:tcPr>
            <w:tcW w:type="dxa" w:w="1800"/>
            <w:vAlign w:val="center"/>
            <w:tcMar>
              <w:top w:w="85" w:type="dxa"/>
              <w:bottom w:w="85" w:type="dxa"/>
              <w:left w:w="90" w:type="dxa"/>
              <w:right w:w="90" w:type="dxa"/>
            </w:tcMar>
          </w:tcPr>
          <w:p>
            <w:pPr>
              <w:keepLines/>
              <w:spacing w:after="0" w:line="252" w:lineRule="auto"/>
            </w:pPr>
            <w:r>
              <w:rPr>
                <w:b w:val="0"/>
                <w:sz w:val="20"/>
              </w:rPr>
              <w:t>300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HVAC and ducts</w:t>
            </w:r>
          </w:p>
        </w:tc>
        <w:tc>
          <w:tcPr>
            <w:tcW w:type="dxa" w:w="1800"/>
            <w:vAlign w:val="center"/>
            <w:tcMar>
              <w:top w:w="85" w:type="dxa"/>
              <w:bottom w:w="85" w:type="dxa"/>
              <w:left w:w="90" w:type="dxa"/>
              <w:right w:w="90" w:type="dxa"/>
            </w:tcMar>
          </w:tcPr>
          <w:p>
            <w:pPr>
              <w:keepLines/>
              <w:spacing w:after="0" w:line="252" w:lineRule="auto"/>
            </w:pPr>
            <w:r>
              <w:rPr>
                <w:b w:val="0"/>
                <w:sz w:val="20"/>
              </w:rPr>
              <w:t>800 kg</w:t>
            </w:r>
          </w:p>
        </w:tc>
        <w:tc>
          <w:tcPr>
            <w:tcW w:type="dxa" w:w="1800"/>
            <w:vAlign w:val="center"/>
            <w:tcMar>
              <w:top w:w="85" w:type="dxa"/>
              <w:bottom w:w="85" w:type="dxa"/>
              <w:left w:w="90" w:type="dxa"/>
              <w:right w:w="90" w:type="dxa"/>
            </w:tcMar>
          </w:tcPr>
          <w:p>
            <w:pPr>
              <w:keepLines/>
              <w:spacing w:after="0" w:line="252" w:lineRule="auto"/>
            </w:pPr>
            <w:r>
              <w:rPr>
                <w:b w:val="0"/>
                <w:sz w:val="20"/>
              </w:rPr>
              <w:t>800 kg</w:t>
            </w:r>
          </w:p>
        </w:tc>
        <w:tc>
          <w:tcPr>
            <w:tcW w:type="dxa" w:w="1800"/>
            <w:vAlign w:val="center"/>
            <w:tcMar>
              <w:top w:w="85" w:type="dxa"/>
              <w:bottom w:w="85" w:type="dxa"/>
              <w:left w:w="90" w:type="dxa"/>
              <w:right w:w="90" w:type="dxa"/>
            </w:tcMar>
          </w:tcPr>
          <w:p>
            <w:pPr>
              <w:keepLines/>
              <w:spacing w:after="0" w:line="252" w:lineRule="auto"/>
            </w:pPr>
            <w:r>
              <w:rPr>
                <w:b w:val="0"/>
                <w:sz w:val="20"/>
              </w:rPr>
              <w:t>800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Auxiliary controls and wiring</w:t>
            </w:r>
          </w:p>
        </w:tc>
        <w:tc>
          <w:tcPr>
            <w:tcW w:type="dxa" w:w="1800"/>
            <w:vAlign w:val="center"/>
            <w:tcMar>
              <w:top w:w="85" w:type="dxa"/>
              <w:bottom w:w="85" w:type="dxa"/>
              <w:left w:w="90" w:type="dxa"/>
              <w:right w:w="90" w:type="dxa"/>
            </w:tcMar>
          </w:tcPr>
          <w:p>
            <w:pPr>
              <w:keepLines/>
              <w:spacing w:after="0" w:line="252" w:lineRule="auto"/>
            </w:pPr>
            <w:r>
              <w:rPr>
                <w:b w:val="0"/>
                <w:sz w:val="20"/>
              </w:rPr>
              <w:t>400 kg</w:t>
            </w:r>
          </w:p>
        </w:tc>
        <w:tc>
          <w:tcPr>
            <w:tcW w:type="dxa" w:w="1800"/>
            <w:vAlign w:val="center"/>
            <w:tcMar>
              <w:top w:w="85" w:type="dxa"/>
              <w:bottom w:w="85" w:type="dxa"/>
              <w:left w:w="90" w:type="dxa"/>
              <w:right w:w="90" w:type="dxa"/>
            </w:tcMar>
          </w:tcPr>
          <w:p>
            <w:pPr>
              <w:keepLines/>
              <w:spacing w:after="0" w:line="252" w:lineRule="auto"/>
            </w:pPr>
            <w:r>
              <w:rPr>
                <w:b w:val="0"/>
                <w:sz w:val="20"/>
              </w:rPr>
              <w:t>400 kg</w:t>
            </w:r>
          </w:p>
        </w:tc>
        <w:tc>
          <w:tcPr>
            <w:tcW w:type="dxa" w:w="1800"/>
            <w:vAlign w:val="center"/>
            <w:tcMar>
              <w:top w:w="85" w:type="dxa"/>
              <w:bottom w:w="85" w:type="dxa"/>
              <w:left w:w="90" w:type="dxa"/>
              <w:right w:w="90" w:type="dxa"/>
            </w:tcMar>
          </w:tcPr>
          <w:p>
            <w:pPr>
              <w:keepLines/>
              <w:spacing w:after="0" w:line="252" w:lineRule="auto"/>
            </w:pPr>
            <w:r>
              <w:rPr>
                <w:b w:val="0"/>
                <w:sz w:val="20"/>
              </w:rPr>
              <w:t>400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Couplers, gangways and solar allocation</w:t>
            </w:r>
          </w:p>
        </w:tc>
        <w:tc>
          <w:tcPr>
            <w:tcW w:type="dxa" w:w="1800"/>
            <w:vAlign w:val="center"/>
            <w:tcMar>
              <w:top w:w="85" w:type="dxa"/>
              <w:bottom w:w="85" w:type="dxa"/>
              <w:left w:w="90" w:type="dxa"/>
              <w:right w:w="90" w:type="dxa"/>
            </w:tcMar>
          </w:tcPr>
          <w:p>
            <w:pPr>
              <w:keepLines/>
              <w:spacing w:after="0" w:line="252" w:lineRule="auto"/>
            </w:pPr>
            <w:r>
              <w:rPr>
                <w:b w:val="0"/>
                <w:sz w:val="20"/>
              </w:rPr>
              <w:t>600 kg</w:t>
            </w:r>
          </w:p>
        </w:tc>
        <w:tc>
          <w:tcPr>
            <w:tcW w:type="dxa" w:w="1800"/>
            <w:vAlign w:val="center"/>
            <w:tcMar>
              <w:top w:w="85" w:type="dxa"/>
              <w:bottom w:w="85" w:type="dxa"/>
              <w:left w:w="90" w:type="dxa"/>
              <w:right w:w="90" w:type="dxa"/>
            </w:tcMar>
          </w:tcPr>
          <w:p>
            <w:pPr>
              <w:keepLines/>
              <w:spacing w:after="0" w:line="252" w:lineRule="auto"/>
            </w:pPr>
            <w:r>
              <w:rPr>
                <w:b w:val="0"/>
                <w:sz w:val="20"/>
              </w:rPr>
              <w:t>600 kg</w:t>
            </w:r>
          </w:p>
        </w:tc>
        <w:tc>
          <w:tcPr>
            <w:tcW w:type="dxa" w:w="1800"/>
            <w:vAlign w:val="center"/>
            <w:tcMar>
              <w:top w:w="85" w:type="dxa"/>
              <w:bottom w:w="85" w:type="dxa"/>
              <w:left w:w="90" w:type="dxa"/>
              <w:right w:w="90" w:type="dxa"/>
            </w:tcMar>
          </w:tcPr>
          <w:p>
            <w:pPr>
              <w:keepLines/>
              <w:spacing w:after="0" w:line="252" w:lineRule="auto"/>
            </w:pPr>
            <w:r>
              <w:rPr>
                <w:b w:val="0"/>
                <w:sz w:val="20"/>
              </w:rPr>
              <w:t>600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Growth reserve</w:t>
            </w:r>
          </w:p>
        </w:tc>
        <w:tc>
          <w:tcPr>
            <w:tcW w:type="dxa" w:w="1800"/>
            <w:vAlign w:val="center"/>
            <w:tcMar>
              <w:top w:w="85" w:type="dxa"/>
              <w:bottom w:w="85" w:type="dxa"/>
              <w:left w:w="90" w:type="dxa"/>
              <w:right w:w="90" w:type="dxa"/>
            </w:tcMar>
          </w:tcPr>
          <w:p>
            <w:pPr>
              <w:keepLines/>
              <w:spacing w:after="0" w:line="252" w:lineRule="auto"/>
            </w:pPr>
            <w:r>
              <w:rPr>
                <w:b w:val="0"/>
                <w:sz w:val="20"/>
              </w:rPr>
              <w:t>1,800 kg</w:t>
            </w:r>
          </w:p>
        </w:tc>
        <w:tc>
          <w:tcPr>
            <w:tcW w:type="dxa" w:w="1800"/>
            <w:vAlign w:val="center"/>
            <w:tcMar>
              <w:top w:w="85" w:type="dxa"/>
              <w:bottom w:w="85" w:type="dxa"/>
              <w:left w:w="90" w:type="dxa"/>
              <w:right w:w="90" w:type="dxa"/>
            </w:tcMar>
          </w:tcPr>
          <w:p>
            <w:pPr>
              <w:keepLines/>
              <w:spacing w:after="0" w:line="252" w:lineRule="auto"/>
            </w:pPr>
            <w:r>
              <w:rPr>
                <w:b w:val="0"/>
                <w:sz w:val="20"/>
              </w:rPr>
              <w:t>1,800 kg</w:t>
            </w:r>
          </w:p>
        </w:tc>
        <w:tc>
          <w:tcPr>
            <w:tcW w:type="dxa" w:w="1800"/>
            <w:vAlign w:val="center"/>
            <w:tcMar>
              <w:top w:w="85" w:type="dxa"/>
              <w:bottom w:w="85" w:type="dxa"/>
              <w:left w:w="90" w:type="dxa"/>
              <w:right w:w="90" w:type="dxa"/>
            </w:tcMar>
          </w:tcPr>
          <w:p>
            <w:pPr>
              <w:keepLines/>
              <w:spacing w:after="0" w:line="252" w:lineRule="auto"/>
            </w:pPr>
            <w:r>
              <w:rPr>
                <w:b w:val="0"/>
                <w:sz w:val="20"/>
              </w:rPr>
              <w:t>1,800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Tare</w:t>
            </w:r>
          </w:p>
        </w:tc>
        <w:tc>
          <w:tcPr>
            <w:tcW w:type="dxa" w:w="1800"/>
            <w:vAlign w:val="center"/>
            <w:tcMar>
              <w:top w:w="85" w:type="dxa"/>
              <w:bottom w:w="85" w:type="dxa"/>
              <w:left w:w="90" w:type="dxa"/>
              <w:right w:w="90" w:type="dxa"/>
            </w:tcMar>
          </w:tcPr>
          <w:p>
            <w:pPr>
              <w:keepLines/>
              <w:spacing w:after="0" w:line="252" w:lineRule="auto"/>
            </w:pPr>
            <w:r>
              <w:rPr>
                <w:b w:val="0"/>
                <w:sz w:val="20"/>
              </w:rPr>
              <w:t>15,400 kg</w:t>
            </w:r>
          </w:p>
        </w:tc>
        <w:tc>
          <w:tcPr>
            <w:tcW w:type="dxa" w:w="1800"/>
            <w:vAlign w:val="center"/>
            <w:tcMar>
              <w:top w:w="85" w:type="dxa"/>
              <w:bottom w:w="85" w:type="dxa"/>
              <w:left w:w="90" w:type="dxa"/>
              <w:right w:w="90" w:type="dxa"/>
            </w:tcMar>
          </w:tcPr>
          <w:p>
            <w:pPr>
              <w:keepLines/>
              <w:spacing w:after="0" w:line="252" w:lineRule="auto"/>
            </w:pPr>
            <w:r>
              <w:rPr>
                <w:b w:val="0"/>
                <w:sz w:val="20"/>
              </w:rPr>
              <w:t>14,200 kg</w:t>
            </w:r>
          </w:p>
        </w:tc>
        <w:tc>
          <w:tcPr>
            <w:tcW w:type="dxa" w:w="1800"/>
            <w:vAlign w:val="center"/>
            <w:tcMar>
              <w:top w:w="85" w:type="dxa"/>
              <w:bottom w:w="85" w:type="dxa"/>
              <w:left w:w="90" w:type="dxa"/>
              <w:right w:w="90" w:type="dxa"/>
            </w:tcMar>
          </w:tcPr>
          <w:p>
            <w:pPr>
              <w:keepLines/>
              <w:spacing w:after="0" w:line="252" w:lineRule="auto"/>
            </w:pPr>
            <w:r>
              <w:rPr>
                <w:b w:val="0"/>
                <w:sz w:val="20"/>
              </w:rPr>
              <w:t>13,400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Normal study payload</w:t>
            </w:r>
          </w:p>
        </w:tc>
        <w:tc>
          <w:tcPr>
            <w:tcW w:type="dxa" w:w="1800"/>
            <w:vAlign w:val="center"/>
            <w:tcMar>
              <w:top w:w="85" w:type="dxa"/>
              <w:bottom w:w="85" w:type="dxa"/>
              <w:left w:w="90" w:type="dxa"/>
              <w:right w:w="90" w:type="dxa"/>
            </w:tcMar>
          </w:tcPr>
          <w:p>
            <w:pPr>
              <w:keepLines/>
              <w:spacing w:after="0" w:line="252" w:lineRule="auto"/>
            </w:pPr>
            <w:r>
              <w:rPr>
                <w:b w:val="0"/>
                <w:sz w:val="20"/>
              </w:rPr>
              <w:t>9,000 kg</w:t>
            </w:r>
          </w:p>
        </w:tc>
        <w:tc>
          <w:tcPr>
            <w:tcW w:type="dxa" w:w="1800"/>
            <w:vAlign w:val="center"/>
            <w:tcMar>
              <w:top w:w="85" w:type="dxa"/>
              <w:bottom w:w="85" w:type="dxa"/>
              <w:left w:w="90" w:type="dxa"/>
              <w:right w:w="90" w:type="dxa"/>
            </w:tcMar>
          </w:tcPr>
          <w:p>
            <w:pPr>
              <w:keepLines/>
              <w:spacing w:after="0" w:line="252" w:lineRule="auto"/>
            </w:pPr>
            <w:r>
              <w:rPr>
                <w:b w:val="0"/>
                <w:sz w:val="20"/>
              </w:rPr>
              <w:t>9,000 kg</w:t>
            </w:r>
          </w:p>
        </w:tc>
        <w:tc>
          <w:tcPr>
            <w:tcW w:type="dxa" w:w="1800"/>
            <w:vAlign w:val="center"/>
            <w:tcMar>
              <w:top w:w="85" w:type="dxa"/>
              <w:bottom w:w="85" w:type="dxa"/>
              <w:left w:w="90" w:type="dxa"/>
              <w:right w:w="90" w:type="dxa"/>
            </w:tcMar>
          </w:tcPr>
          <w:p>
            <w:pPr>
              <w:keepLines/>
              <w:spacing w:after="0" w:line="252" w:lineRule="auto"/>
            </w:pPr>
            <w:r>
              <w:rPr>
                <w:b w:val="0"/>
                <w:sz w:val="20"/>
              </w:rPr>
              <w:t>9,000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Maximum study payload</w:t>
            </w:r>
          </w:p>
        </w:tc>
        <w:tc>
          <w:tcPr>
            <w:tcW w:type="dxa" w:w="1800"/>
            <w:vAlign w:val="center"/>
            <w:tcMar>
              <w:top w:w="85" w:type="dxa"/>
              <w:bottom w:w="85" w:type="dxa"/>
              <w:left w:w="90" w:type="dxa"/>
              <w:right w:w="90" w:type="dxa"/>
            </w:tcMar>
          </w:tcPr>
          <w:p>
            <w:pPr>
              <w:keepLines/>
              <w:spacing w:after="0" w:line="252" w:lineRule="auto"/>
            </w:pPr>
            <w:r>
              <w:rPr>
                <w:b w:val="0"/>
                <w:sz w:val="20"/>
              </w:rPr>
              <w:t>12,000 kg</w:t>
            </w:r>
          </w:p>
        </w:tc>
        <w:tc>
          <w:tcPr>
            <w:tcW w:type="dxa" w:w="1800"/>
            <w:vAlign w:val="center"/>
            <w:tcMar>
              <w:top w:w="85" w:type="dxa"/>
              <w:bottom w:w="85" w:type="dxa"/>
              <w:left w:w="90" w:type="dxa"/>
              <w:right w:w="90" w:type="dxa"/>
            </w:tcMar>
          </w:tcPr>
          <w:p>
            <w:pPr>
              <w:keepLines/>
              <w:spacing w:after="0" w:line="252" w:lineRule="auto"/>
            </w:pPr>
            <w:r>
              <w:rPr>
                <w:b w:val="0"/>
                <w:sz w:val="20"/>
              </w:rPr>
              <w:t>12,000 kg</w:t>
            </w:r>
          </w:p>
        </w:tc>
        <w:tc>
          <w:tcPr>
            <w:tcW w:type="dxa" w:w="1800"/>
            <w:vAlign w:val="center"/>
            <w:tcMar>
              <w:top w:w="85" w:type="dxa"/>
              <w:bottom w:w="85" w:type="dxa"/>
              <w:left w:w="90" w:type="dxa"/>
              <w:right w:w="90" w:type="dxa"/>
            </w:tcMar>
          </w:tcPr>
          <w:p>
            <w:pPr>
              <w:keepLines/>
              <w:spacing w:after="0" w:line="252" w:lineRule="auto"/>
            </w:pPr>
            <w:r>
              <w:rPr>
                <w:b w:val="0"/>
                <w:sz w:val="20"/>
              </w:rPr>
              <w:t>12,000 kg</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Maximum loaded mass</w:t>
            </w:r>
          </w:p>
        </w:tc>
        <w:tc>
          <w:tcPr>
            <w:tcW w:type="dxa" w:w="1800"/>
            <w:vAlign w:val="center"/>
            <w:tcMar>
              <w:top w:w="85" w:type="dxa"/>
              <w:bottom w:w="85" w:type="dxa"/>
              <w:left w:w="90" w:type="dxa"/>
              <w:right w:w="90" w:type="dxa"/>
            </w:tcMar>
          </w:tcPr>
          <w:p>
            <w:pPr>
              <w:keepLines/>
              <w:spacing w:after="0" w:line="252" w:lineRule="auto"/>
            </w:pPr>
            <w:r>
              <w:rPr>
                <w:b w:val="0"/>
                <w:sz w:val="20"/>
              </w:rPr>
              <w:t>27,400 kg</w:t>
            </w:r>
          </w:p>
        </w:tc>
        <w:tc>
          <w:tcPr>
            <w:tcW w:type="dxa" w:w="1800"/>
            <w:vAlign w:val="center"/>
            <w:tcMar>
              <w:top w:w="85" w:type="dxa"/>
              <w:bottom w:w="85" w:type="dxa"/>
              <w:left w:w="90" w:type="dxa"/>
              <w:right w:w="90" w:type="dxa"/>
            </w:tcMar>
          </w:tcPr>
          <w:p>
            <w:pPr>
              <w:keepLines/>
              <w:spacing w:after="0" w:line="252" w:lineRule="auto"/>
            </w:pPr>
            <w:r>
              <w:rPr>
                <w:b w:val="0"/>
                <w:sz w:val="20"/>
              </w:rPr>
              <w:t>26,200 kg</w:t>
            </w:r>
          </w:p>
        </w:tc>
        <w:tc>
          <w:tcPr>
            <w:tcW w:type="dxa" w:w="1800"/>
            <w:vAlign w:val="center"/>
            <w:tcMar>
              <w:top w:w="85" w:type="dxa"/>
              <w:bottom w:w="85" w:type="dxa"/>
              <w:left w:w="90" w:type="dxa"/>
              <w:right w:w="90" w:type="dxa"/>
            </w:tcMar>
          </w:tcPr>
          <w:p>
            <w:pPr>
              <w:keepLines/>
              <w:spacing w:after="0" w:line="252" w:lineRule="auto"/>
            </w:pPr>
            <w:r>
              <w:rPr>
                <w:b w:val="0"/>
                <w:sz w:val="20"/>
              </w:rPr>
              <w:t>25,400 kg</w:t>
            </w:r>
          </w:p>
        </w:tc>
      </w:tr>
    </w:tbl>
    <w:p>
      <w:pPr>
        <w:spacing w:after="40"/>
      </w:pPr>
    </w:p>
    <w:p>
      <w:pPr>
        <w:pStyle w:val="SpecItem"/>
      </w:pPr>
      <w:r>
        <w:rPr>
          <w:b w:val="0"/>
        </w:rPr>
        <w:t xml:space="preserve">39. </w:t>
      </w:r>
      <w:r>
        <w:rPr>
          <w:b/>
        </w:rPr>
        <w:t>Size the battery from the service mission.</w:t>
      </w:r>
      <w:r>
        <w:rPr>
          <w:b w:val="0"/>
        </w:rPr>
        <w:t xml:space="preserve"> Study 20, 30 and 40 kWh/car. At 100 Wh/kg packaged, these are 200, 300 and 400 kg. Applying 80% end-of-life capacity and a 60% operating SOC window leaves 9.6, 14.4 and 19.2 kWh. At 60 kW/car, these correspond to the same numbers of minutes before journey consumption and protected reserve. The reserve must follow the actual recovery and emergency-service mission.</w:t>
      </w:r>
    </w:p>
    <w:p>
      <w:pPr>
        <w:pStyle w:val="SpecItem"/>
      </w:pPr>
      <w:r>
        <w:rPr>
          <w:b w:val="0"/>
        </w:rPr>
        <w:t xml:space="preserve">40. </w:t>
      </w:r>
      <w:r>
        <w:rPr>
          <w:b/>
        </w:rPr>
        <w:t>Include charging as a major station load.</w:t>
      </w:r>
      <w:r>
        <w:rPr>
          <w:b w:val="0"/>
        </w:rPr>
        <w:t xml:space="preserve"> A 90 s hot trip consumes 9 kWh/train. Replacing it in 45 s requires 720 kW charging before losses; direct dwell services add 360 kW, giving 1.08 MW per berthed train. Charging over 60 s gives 540 + 360 = 900 kW. A 30 kWh/car pack must prove repeated 4C or 3C charging, respectively, in the specified thermal and ageing envelope. Compare actual contact/inductive interfaces, charger efficiency, life, cooling and battery mass. Longer charging dwell consumes throughput.</w:t>
      </w:r>
    </w:p>
    <w:p>
      <w:pPr>
        <w:pStyle w:val="SpecItem"/>
      </w:pPr>
      <w:r>
        <w:rPr>
          <w:b w:val="0"/>
        </w:rPr>
        <w:t xml:space="preserve">41. </w:t>
      </w:r>
      <w:r>
        <w:rPr>
          <w:b/>
        </w:rPr>
        <w:t>Engineer HVAC and insulation together.</w:t>
      </w:r>
      <w:r>
        <w:rPr>
          <w:b w:val="0"/>
        </w:rPr>
        <w:t xml:space="preserve"> Retain 40 kW/car normal and 60 kW/car hot total services as provisional budgets that already include support/guidance and auxiliaries. Integrate sandwich-core insulation and thermal breaks, then calculate glazing, solar gain, occupants, fresh air, door cycling, filtration and fouling. Release smaller HVAC or battery allowances only from the service-duty model. The body’s lower mass alone is insufficient. Use a replaceable electric package; SUTRAK ACE235 remains a packaging reference rather than a selected Baghdad rating. [R13]</w:t>
      </w:r>
    </w:p>
    <w:p>
      <w:pPr>
        <w:pStyle w:val="SpecItem"/>
      </w:pPr>
      <w:r>
        <w:rPr>
          <w:b w:val="0"/>
        </w:rPr>
        <w:t xml:space="preserve">42. </w:t>
      </w:r>
      <w:r>
        <w:rPr>
          <w:b/>
        </w:rPr>
        <w:t>Treat roof solar as an optional service offset.</w:t>
      </w:r>
      <w:r>
        <w:rPr>
          <w:b w:val="0"/>
        </w:rPr>
        <w:t xml:space="preserve"> A 17 m by 2.65 m roof has 45.05 m² gross area. At an illustrative 1 kW/m² irradiance and 20% conversion, complete coverage would produce about 9 kW peak/car, before temperature and system losses. Actual area is smaller after HVAC, access and clearances. Compare shading/insulation benefits and maintenance costs; do not use solar to guarantee nighttime hover or full hot-day HVAC.</w:t>
      </w:r>
    </w:p>
    <w:p>
      <w:pPr>
        <w:pStyle w:val="SpecItem"/>
      </w:pPr>
      <w:r>
        <w:rPr>
          <w:b w:val="0"/>
        </w:rPr>
        <w:t xml:space="preserve">43. </w:t>
      </w:r>
      <w:r>
        <w:rPr>
          <w:b/>
        </w:rPr>
        <w:t>Make door assumptions consistent with capacity and body mass.</w:t>
      </w:r>
      <w:r>
        <w:rPr>
          <w:b w:val="0"/>
        </w:rPr>
        <w:t xml:space="preserve"> The GFRP takeoff initially assumes four 1.40 m by 2.10 m passenger openings per car, two on each side, with complete mechanisms budgeted separately from the shell. Validate that arrangement against six-car dwell, passenger distribution and evacuation. Increasing the number or width of doors changes openings, reinforcement, mechanisms, platform interfaces and mass. Maintain level accessible boarding, door interlocks, handholds and emergency communication over the suspension/load range.</w:t>
      </w:r>
    </w:p>
    <w:p>
      <w:pPr>
        <w:pStyle w:val="SpecItem"/>
      </w:pPr>
      <w:r>
        <w:rPr>
          <w:b w:val="0"/>
        </w:rPr>
        <w:t xml:space="preserve">44. </w:t>
      </w:r>
      <w:r>
        <w:rPr>
          <w:b/>
        </w:rPr>
        <w:t>Make couplers and magnet phase one interface requirement.</w:t>
      </w:r>
      <w:r>
        <w:rPr>
          <w:b w:val="0"/>
        </w:rPr>
        <w:t xml:space="preserve"> Include structural/electrical interfaces, gangways, articulation, rescue and crash load paths. For a 0.50 m magnetic wavelength, 5 mm longitudinal error is 3.6 electrical degrees and 25 mm is 18 degrees. Successive coupler deflections can accumulate along six cars. Qualify per-car magnet origins, coupler travel/stiffness and load-dependent phase. A common travelling field requires coherent registration; a section overlapping two differently phased cars cannot control their phases independently merely because the section has its own inverter.</w:t>
      </w:r>
    </w:p>
    <w:p>
      <w:pPr>
        <w:pStyle w:val="SpecItem"/>
      </w:pPr>
      <w:r>
        <w:rPr>
          <w:b w:val="0"/>
        </w:rPr>
        <w:t xml:space="preserve">45. </w:t>
      </w:r>
      <w:r>
        <w:rPr>
          <w:b/>
        </w:rPr>
        <w:t>Make the composite and magnetic assembly sequence explicit.</w:t>
      </w:r>
      <w:r>
        <w:rPr>
          <w:b w:val="0"/>
        </w:rPr>
        <w:t xml:space="preserve"> Each panel and cartridge needs part/revision identity, mass/CG, lifting and support points, datums, joining/fastening process, access and inspection limits. Plan mold preparation, layup, cure, trimming, joint preparation, insert installation and geometry checks before equipment fitting. Use keyed magnet pockets and handling fixtures to control polarity and attraction forces. Track actual resin uptake, process yield and labor hours; intended simplicity must appear in the work instructions and purchasing quantities.</w:t>
      </w:r>
    </w:p>
    <w:p>
      <w:pPr>
        <w:pStyle w:val="SpecItem"/>
      </w:pPr>
      <w:r>
        <w:rPr>
          <w:b w:val="0"/>
        </w:rPr>
        <w:t xml:space="preserve">46. </w:t>
      </w:r>
      <w:r>
        <w:rPr>
          <w:b/>
        </w:rPr>
        <w:t>Prioritize achievable local manufacture.</w:t>
      </w:r>
      <w:r>
        <w:rPr>
          <w:b w:val="0"/>
        </w:rPr>
        <w:t xml:space="preserve"> Candidate local work includes precast concrete, fabricated frames, panel production, structural carriers, winding assembly, wiring harnesses, final assembly and test. Procure ferrite, electrical steel, semiconductors, qualified cells, bearings and specialist components through interchangeable specifications where feasible. Eliminating a proprietary bogie supplier changes the supply chain; it does not eliminate the need for qualified suppliers and controlled processes.</w:t>
      </w:r>
    </w:p>
    <w:p>
      <w:pPr>
        <w:pStyle w:val="SpecItem"/>
      </w:pPr>
      <w:r>
        <w:rPr>
          <w:b w:val="0"/>
        </w:rPr>
        <w:t xml:space="preserve">47. </w:t>
      </w:r>
      <w:r>
        <w:rPr>
          <w:b/>
        </w:rPr>
        <w:t>Implement the proposed departure rule as an exclusive reservation.</w:t>
      </w:r>
      <w:r>
        <w:rPr>
          <w:b w:val="0"/>
        </w:rPr>
        <w:t xml:space="preserve"> Launch only when the preceding train has completely cleared the receiving station and protective boundary, the interstation corridor is clear, and the next berth is available. Atomically reserve corridor, receiving berth and required overlap for the named train. Also prove receiving braking, train health, services reserve, door closure and route readiness before launch.</w:t>
      </w:r>
    </w:p>
    <w:p>
      <w:pPr>
        <w:pStyle w:val="SpecItem"/>
      </w:pPr>
      <w:r>
        <w:rPr>
          <w:b w:val="0"/>
        </w:rPr>
        <w:t xml:space="preserve">48. </w:t>
      </w:r>
      <w:r>
        <w:rPr>
          <w:b/>
        </w:rPr>
        <w:t>Use a small explicit resource state machine.</w:t>
      </w:r>
      <w:r>
        <w:rPr>
          <w:b w:val="0"/>
        </w:rPr>
        <w:t xml:space="preserve"> Use states such as available, reserved, occupied, release pending, blocked and unknown, with train ownership and configuration identity. Lost communications or expired permission must not make a resource available. Release needs positive, sufficiently current full-clearance evidence. Model delayed/replayed messages, restarts, inconsistent sensors and failed departure; a timer alone never proves that a coasting train has disappeared.</w:t>
      </w:r>
    </w:p>
    <w:p>
      <w:pPr>
        <w:pStyle w:val="SpecItem"/>
      </w:pPr>
      <w:r>
        <w:rPr>
          <w:b w:val="0"/>
        </w:rPr>
        <w:t xml:space="preserve">49. </w:t>
      </w:r>
      <w:r>
        <w:rPr>
          <w:b/>
        </w:rPr>
        <w:t>Reuse the repository’s persistent locks.</w:t>
      </w:r>
      <w:r>
        <w:rPr>
          <w:b w:val="0"/>
        </w:rPr>
        <w:t xml:space="preserve"> The existing resources.rs and resource_log.rs already make locks outlive permissions and require clearance evidence. Extend that machinery for the station launch transaction rather than writing a parallel interlocking. The conventional three-second movement-authority window in ma.rs needs distinct launch/commit semantics: permission may expire before departure, but expiry after launch cannot release the corridor or command physically impossible immediate stopping. [R14]</w:t>
      </w:r>
    </w:p>
    <w:p>
      <w:pPr>
        <w:pStyle w:val="SpecItem"/>
      </w:pPr>
      <w:r>
        <w:rPr>
          <w:b w:val="0"/>
        </w:rPr>
        <w:t xml:space="preserve">50. </w:t>
      </w:r>
      <w:r>
        <w:rPr>
          <w:b/>
        </w:rPr>
        <w:t>Detect the complete consist.</w:t>
      </w:r>
      <w:r>
        <w:rPr>
          <w:b w:val="0"/>
        </w:rPr>
        <w:t xml:space="preserve"> Use a qualified non-contact boundary-detection and train-integrity method suited to a wheel-free vehicle. A front-end detection or expected travel time is insufficient. Establish tail-clear position and margins, including a separated or failed car. Conventional wheel/axle detectors cannot simply be assumed available on this vehicle. Retain monitoring during the coast for abnormal occupancy and train condition.</w:t>
      </w:r>
    </w:p>
    <w:p>
      <w:pPr>
        <w:pStyle w:val="SpecItem"/>
      </w:pPr>
      <w:r>
        <w:rPr>
          <w:b w:val="0"/>
        </w:rPr>
        <w:t xml:space="preserve">51. </w:t>
      </w:r>
      <w:r>
        <w:rPr>
          <w:b/>
        </w:rPr>
        <w:t>Use an STM32 for a bounded local control task.</w:t>
      </w:r>
      <w:r>
        <w:rPr>
          <w:b w:val="0"/>
        </w:rPr>
        <w:t xml:space="preserve"> STM32G4/H7-class hardware can prototype current loops, PWM and local position acquisition. ST documents FOC support; SimpleFOC provides an MIT-licensed algorithm reference. Neither is a complete railway controller. Retain independent launch/brake authority and hardware protection. At 0.25 m pole pitch, 5 electrical degrees corresponds to 6.94 mm, traversed in 0.347 ms at 20 m/s. Use timestamped/predicted local phase, calibrated sensors and absolute section identity; back EMF alone supplies no zero-speed phase. [R15, R51–R53]</w:t>
      </w:r>
    </w:p>
    <w:p>
      <w:pPr>
        <w:pStyle w:val="SpecItem"/>
      </w:pPr>
      <w:r>
        <w:rPr>
          <w:b w:val="0"/>
        </w:rPr>
        <w:t xml:space="preserve">52. </w:t>
      </w:r>
      <w:r>
        <w:rPr>
          <w:b/>
        </w:rPr>
        <w:t>Keep GoA4 functions beyond separation in scope.</w:t>
      </w:r>
      <w:r>
        <w:rPr>
          <w:b w:val="0"/>
        </w:rPr>
        <w:t xml:space="preserve"> Fixed station blocks can simplify traffic separation. Door control, precise berthing, obstacle response, passenger communication, train health, emergency handling, degraded operation and recovery still need an allocated design. ORR’s unattended-operation principles are a useful engineering checklist, not an automatic statement of Iraqi legal applicability. Define the project’s applicable standards and assurance responsibilities with the relevant authority. [R16]</w:t>
      </w:r>
    </w:p>
    <w:p>
      <w:pPr>
        <w:pStyle w:val="SpecItem"/>
      </w:pPr>
      <w:r>
        <w:rPr>
          <w:b w:val="0"/>
        </w:rPr>
        <w:t xml:space="preserve">53. </w:t>
      </w:r>
      <w:r>
        <w:rPr>
          <w:b/>
        </w:rPr>
        <w:t>Calculate headway from the actual receiving boundary.</w:t>
      </w:r>
      <w:r>
        <w:rPr>
          <w:b w:val="0"/>
        </w:rPr>
        <w:t xml:space="preserve"> Use H ≥ run time + receiving dwell + time for the whole train to clear the protected boundary + release/variability allowance. For the 90 s jerk-limited run, 60 s dwell and 5 s allowance, clearing the platform front marker gives 171.83 s; clearing the end of the rounded station winding at +75 m gives 176.95 s. Detection and train integrity prove release; a timer does not. The old 70/90/120 s table below uses a different no-jerk profile and an illustrative combined 20 s allowance, so it is retained only for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2448"/>
        <w:gridCol w:w="2664"/>
      </w:tblGrid>
      <w:tr>
        <w:trPr>
          <w:cantSplit/>
          <w:tblHeader/>
        </w:trPr>
        <w:tc>
          <w:tcPr>
            <w:tcW w:type="dxa" w:w="2232"/>
            <w:vAlign w:val="center"/>
            <w:tcMar>
              <w:top w:w="85" w:type="dxa"/>
              <w:bottom w:w="85" w:type="dxa"/>
              <w:left w:w="90" w:type="dxa"/>
              <w:right w:w="90" w:type="dxa"/>
            </w:tcMar>
            <w:shd w:fill="F2F2F2"/>
          </w:tcPr>
          <w:p>
            <w:pPr>
              <w:keepNext/>
              <w:keepLines/>
              <w:spacing w:after="0" w:line="252" w:lineRule="auto"/>
            </w:pPr>
            <w:r>
              <w:rPr>
                <w:b/>
                <w:sz w:val="20"/>
              </w:rPr>
              <w:t>Interstation running time</w:t>
            </w:r>
          </w:p>
        </w:tc>
        <w:tc>
          <w:tcPr>
            <w:tcW w:type="dxa" w:w="2448"/>
            <w:vAlign w:val="center"/>
            <w:tcMar>
              <w:top w:w="85" w:type="dxa"/>
              <w:bottom w:w="85" w:type="dxa"/>
              <w:left w:w="90" w:type="dxa"/>
              <w:right w:w="90" w:type="dxa"/>
            </w:tcMar>
            <w:shd w:fill="F2F2F2"/>
          </w:tcPr>
          <w:p>
            <w:pPr>
              <w:keepNext/>
              <w:keepLines/>
              <w:spacing w:after="0" w:line="252" w:lineRule="auto"/>
            </w:pPr>
            <w:r>
              <w:rPr>
                <w:b/>
                <w:sz w:val="20"/>
              </w:rPr>
              <w:t>Minimum illustrative headway</w:t>
            </w:r>
          </w:p>
        </w:tc>
        <w:tc>
          <w:tcPr>
            <w:tcW w:type="dxa" w:w="2448"/>
            <w:vAlign w:val="center"/>
            <w:tcMar>
              <w:top w:w="85" w:type="dxa"/>
              <w:bottom w:w="85" w:type="dxa"/>
              <w:left w:w="90" w:type="dxa"/>
              <w:right w:w="90" w:type="dxa"/>
            </w:tcMar>
            <w:shd w:fill="F2F2F2"/>
          </w:tcPr>
          <w:p>
            <w:pPr>
              <w:keepNext/>
              <w:keepLines/>
              <w:spacing w:after="0" w:line="252" w:lineRule="auto"/>
            </w:pPr>
            <w:r>
              <w:rPr>
                <w:b/>
                <w:sz w:val="20"/>
              </w:rPr>
              <w:t>Trains per hour</w:t>
            </w:r>
          </w:p>
        </w:tc>
        <w:tc>
          <w:tcPr>
            <w:tcW w:type="dxa" w:w="2664"/>
            <w:vAlign w:val="center"/>
            <w:tcMar>
              <w:top w:w="85" w:type="dxa"/>
              <w:bottom w:w="85" w:type="dxa"/>
              <w:left w:w="90" w:type="dxa"/>
              <w:right w:w="90" w:type="dxa"/>
            </w:tcMar>
            <w:shd w:fill="F2F2F2"/>
          </w:tcPr>
          <w:p>
            <w:pPr>
              <w:keepNext/>
              <w:keepLines/>
              <w:spacing w:after="0" w:line="252" w:lineRule="auto"/>
            </w:pPr>
            <w:r>
              <w:rPr>
                <w:b/>
                <w:sz w:val="20"/>
              </w:rPr>
              <w:t>Passengers per hour per direction at 720/train</w:t>
            </w:r>
          </w:p>
        </w:tc>
      </w:tr>
      <w:tr>
        <w:trPr>
          <w:cantSplit/>
        </w:trPr>
        <w:tc>
          <w:tcPr>
            <w:tcW w:type="dxa" w:w="2232"/>
            <w:vAlign w:val="center"/>
            <w:tcMar>
              <w:top w:w="85" w:type="dxa"/>
              <w:bottom w:w="85" w:type="dxa"/>
              <w:left w:w="90" w:type="dxa"/>
              <w:right w:w="90" w:type="dxa"/>
            </w:tcMar>
          </w:tcPr>
          <w:p>
            <w:pPr>
              <w:keepLines/>
              <w:spacing w:after="0" w:line="252" w:lineRule="auto"/>
            </w:pPr>
            <w:r>
              <w:rPr>
                <w:b w:val="0"/>
                <w:sz w:val="20"/>
              </w:rPr>
              <w:t>70 s</w:t>
            </w:r>
          </w:p>
        </w:tc>
        <w:tc>
          <w:tcPr>
            <w:tcW w:type="dxa" w:w="2448"/>
            <w:vAlign w:val="center"/>
            <w:tcMar>
              <w:top w:w="85" w:type="dxa"/>
              <w:bottom w:w="85" w:type="dxa"/>
              <w:left w:w="90" w:type="dxa"/>
              <w:right w:w="90" w:type="dxa"/>
            </w:tcMar>
          </w:tcPr>
          <w:p>
            <w:pPr>
              <w:keepLines/>
              <w:spacing w:after="0" w:line="252" w:lineRule="auto"/>
            </w:pPr>
            <w:r>
              <w:rPr>
                <w:b w:val="0"/>
                <w:sz w:val="20"/>
              </w:rPr>
              <w:t>150 s</w:t>
            </w:r>
          </w:p>
        </w:tc>
        <w:tc>
          <w:tcPr>
            <w:tcW w:type="dxa" w:w="2448"/>
            <w:vAlign w:val="center"/>
            <w:tcMar>
              <w:top w:w="85" w:type="dxa"/>
              <w:bottom w:w="85" w:type="dxa"/>
              <w:left w:w="90" w:type="dxa"/>
              <w:right w:w="90" w:type="dxa"/>
            </w:tcMar>
          </w:tcPr>
          <w:p>
            <w:pPr>
              <w:keepLines/>
              <w:spacing w:after="0" w:line="252" w:lineRule="auto"/>
            </w:pPr>
            <w:r>
              <w:rPr>
                <w:b w:val="0"/>
                <w:sz w:val="20"/>
              </w:rPr>
              <w:t>24.0</w:t>
            </w:r>
          </w:p>
        </w:tc>
        <w:tc>
          <w:tcPr>
            <w:tcW w:type="dxa" w:w="2664"/>
            <w:vAlign w:val="center"/>
            <w:tcMar>
              <w:top w:w="85" w:type="dxa"/>
              <w:bottom w:w="85" w:type="dxa"/>
              <w:left w:w="90" w:type="dxa"/>
              <w:right w:w="90" w:type="dxa"/>
            </w:tcMar>
          </w:tcPr>
          <w:p>
            <w:pPr>
              <w:keepLines/>
              <w:spacing w:after="0" w:line="252" w:lineRule="auto"/>
            </w:pPr>
            <w:r>
              <w:rPr>
                <w:b w:val="0"/>
                <w:sz w:val="20"/>
              </w:rPr>
              <w:t>17,280</w:t>
            </w:r>
          </w:p>
        </w:tc>
      </w:tr>
      <w:tr>
        <w:trPr>
          <w:cantSplit/>
        </w:trPr>
        <w:tc>
          <w:tcPr>
            <w:tcW w:type="dxa" w:w="2232"/>
            <w:vAlign w:val="center"/>
            <w:tcMar>
              <w:top w:w="85" w:type="dxa"/>
              <w:bottom w:w="85" w:type="dxa"/>
              <w:left w:w="90" w:type="dxa"/>
              <w:right w:w="90" w:type="dxa"/>
            </w:tcMar>
          </w:tcPr>
          <w:p>
            <w:pPr>
              <w:keepLines/>
              <w:spacing w:after="0" w:line="252" w:lineRule="auto"/>
            </w:pPr>
            <w:r>
              <w:rPr>
                <w:b w:val="0"/>
                <w:sz w:val="20"/>
              </w:rPr>
              <w:t>90 s</w:t>
            </w:r>
          </w:p>
        </w:tc>
        <w:tc>
          <w:tcPr>
            <w:tcW w:type="dxa" w:w="2448"/>
            <w:vAlign w:val="center"/>
            <w:tcMar>
              <w:top w:w="85" w:type="dxa"/>
              <w:bottom w:w="85" w:type="dxa"/>
              <w:left w:w="90" w:type="dxa"/>
              <w:right w:w="90" w:type="dxa"/>
            </w:tcMar>
          </w:tcPr>
          <w:p>
            <w:pPr>
              <w:keepLines/>
              <w:spacing w:after="0" w:line="252" w:lineRule="auto"/>
            </w:pPr>
            <w:r>
              <w:rPr>
                <w:b w:val="0"/>
                <w:sz w:val="20"/>
              </w:rPr>
              <w:t>170 s</w:t>
            </w:r>
          </w:p>
        </w:tc>
        <w:tc>
          <w:tcPr>
            <w:tcW w:type="dxa" w:w="2448"/>
            <w:vAlign w:val="center"/>
            <w:tcMar>
              <w:top w:w="85" w:type="dxa"/>
              <w:bottom w:w="85" w:type="dxa"/>
              <w:left w:w="90" w:type="dxa"/>
              <w:right w:w="90" w:type="dxa"/>
            </w:tcMar>
          </w:tcPr>
          <w:p>
            <w:pPr>
              <w:keepLines/>
              <w:spacing w:after="0" w:line="252" w:lineRule="auto"/>
            </w:pPr>
            <w:r>
              <w:rPr>
                <w:b w:val="0"/>
                <w:sz w:val="20"/>
              </w:rPr>
              <w:t>21.2</w:t>
            </w:r>
          </w:p>
        </w:tc>
        <w:tc>
          <w:tcPr>
            <w:tcW w:type="dxa" w:w="2664"/>
            <w:vAlign w:val="center"/>
            <w:tcMar>
              <w:top w:w="85" w:type="dxa"/>
              <w:bottom w:w="85" w:type="dxa"/>
              <w:left w:w="90" w:type="dxa"/>
              <w:right w:w="90" w:type="dxa"/>
            </w:tcMar>
          </w:tcPr>
          <w:p>
            <w:pPr>
              <w:keepLines/>
              <w:spacing w:after="0" w:line="252" w:lineRule="auto"/>
            </w:pPr>
            <w:r>
              <w:rPr>
                <w:b w:val="0"/>
                <w:sz w:val="20"/>
              </w:rPr>
              <w:t>15,247</w:t>
            </w:r>
          </w:p>
        </w:tc>
      </w:tr>
      <w:tr>
        <w:trPr>
          <w:cantSplit/>
        </w:trPr>
        <w:tc>
          <w:tcPr>
            <w:tcW w:type="dxa" w:w="2232"/>
            <w:vAlign w:val="center"/>
            <w:tcMar>
              <w:top w:w="85" w:type="dxa"/>
              <w:bottom w:w="85" w:type="dxa"/>
              <w:left w:w="90" w:type="dxa"/>
              <w:right w:w="90" w:type="dxa"/>
            </w:tcMar>
          </w:tcPr>
          <w:p>
            <w:pPr>
              <w:keepLines/>
              <w:spacing w:after="0" w:line="252" w:lineRule="auto"/>
            </w:pPr>
            <w:r>
              <w:rPr>
                <w:b w:val="0"/>
                <w:sz w:val="20"/>
              </w:rPr>
              <w:t>120 s</w:t>
            </w:r>
          </w:p>
        </w:tc>
        <w:tc>
          <w:tcPr>
            <w:tcW w:type="dxa" w:w="2448"/>
            <w:vAlign w:val="center"/>
            <w:tcMar>
              <w:top w:w="85" w:type="dxa"/>
              <w:bottom w:w="85" w:type="dxa"/>
              <w:left w:w="90" w:type="dxa"/>
              <w:right w:w="90" w:type="dxa"/>
            </w:tcMar>
          </w:tcPr>
          <w:p>
            <w:pPr>
              <w:keepLines/>
              <w:spacing w:after="0" w:line="252" w:lineRule="auto"/>
            </w:pPr>
            <w:r>
              <w:rPr>
                <w:b w:val="0"/>
                <w:sz w:val="20"/>
              </w:rPr>
              <w:t>200 s</w:t>
            </w:r>
          </w:p>
        </w:tc>
        <w:tc>
          <w:tcPr>
            <w:tcW w:type="dxa" w:w="2448"/>
            <w:vAlign w:val="center"/>
            <w:tcMar>
              <w:top w:w="85" w:type="dxa"/>
              <w:bottom w:w="85" w:type="dxa"/>
              <w:left w:w="90" w:type="dxa"/>
              <w:right w:w="90" w:type="dxa"/>
            </w:tcMar>
          </w:tcPr>
          <w:p>
            <w:pPr>
              <w:keepLines/>
              <w:spacing w:after="0" w:line="252" w:lineRule="auto"/>
            </w:pPr>
            <w:r>
              <w:rPr>
                <w:b w:val="0"/>
                <w:sz w:val="20"/>
              </w:rPr>
              <w:t>18.0</w:t>
            </w:r>
          </w:p>
        </w:tc>
        <w:tc>
          <w:tcPr>
            <w:tcW w:type="dxa" w:w="2664"/>
            <w:vAlign w:val="center"/>
            <w:tcMar>
              <w:top w:w="85" w:type="dxa"/>
              <w:bottom w:w="85" w:type="dxa"/>
              <w:left w:w="90" w:type="dxa"/>
              <w:right w:w="90" w:type="dxa"/>
            </w:tcMar>
          </w:tcPr>
          <w:p>
            <w:pPr>
              <w:keepLines/>
              <w:spacing w:after="0" w:line="252" w:lineRule="auto"/>
            </w:pPr>
            <w:r>
              <w:rPr>
                <w:b w:val="0"/>
                <w:sz w:val="20"/>
              </w:rPr>
              <w:t>12,960</w:t>
            </w:r>
          </w:p>
        </w:tc>
      </w:tr>
    </w:tbl>
    <w:p>
      <w:pPr>
        <w:spacing w:after="40"/>
      </w:pPr>
    </w:p>
    <w:p>
      <w:pPr>
        <w:pStyle w:val="SpecItem"/>
      </w:pPr>
      <w:r>
        <w:rPr>
          <w:b w:val="0"/>
        </w:rPr>
        <w:t xml:space="preserve">54. </w:t>
      </w:r>
      <w:r>
        <w:rPr>
          <w:b/>
        </w:rPr>
        <w:t>Use a 190 s service baseline until the three-minute case is demonstrated.</w:t>
      </w:r>
      <w:r>
        <w:rPr>
          <w:b w:val="0"/>
        </w:rPr>
        <w:t xml:space="preserve"> A 190 s headway gives 18.95 trains/hour and approximately 13,642 passengers/hour/direction at 720/train. It leaves 13.05 s above the current 176.95 s rounded-zone planning bound. A 180 s service gives 20 trains/hour and 14,400 passengers/hour/direction but leaves only 3.05 s. A proven 50–55 s dwell or a separately qualified shorter resource boundary can improve that margin. More aggressive acceleration alone does not remove dwell and clearance constraints.</w:t>
      </w:r>
    </w:p>
    <w:p>
      <w:pPr>
        <w:pStyle w:val="SpecItem"/>
      </w:pPr>
      <w:r>
        <w:rPr>
          <w:b w:val="0"/>
        </w:rPr>
        <w:t xml:space="preserve">55. </w:t>
      </w:r>
      <w:r>
        <w:rPr>
          <w:b/>
        </w:rPr>
        <w:t>Simulate queues, power and network recovery together.</w:t>
      </w:r>
      <w:r>
        <w:rPr>
          <w:b w:val="0"/>
        </w:rPr>
        <w:t xml:space="preserve"> Model every berth, corridor, winding group, receiving brake and charger with dwell distributions, timetable disturbances and terminal occupancy. The ideal 90 s trajectory allows a 45 s offset between directions to avoid motion-drive overlap; a 90 s offset creates braking/launch overlap. Neither offset guarantees spare inverter capacity after delays. Share DC supply first; retain independent receiving capability. Atomic reservations, startup and recovery must avoid circular waiting and preserve the committed arrival guarantee.</w:t>
      </w:r>
    </w:p>
    <w:p>
      <w:pPr>
        <w:pStyle w:val="SpecItem"/>
      </w:pPr>
      <w:r>
        <w:rPr>
          <w:b w:val="0"/>
        </w:rPr>
        <w:t xml:space="preserve">56. </w:t>
      </w:r>
      <w:r>
        <w:rPr>
          <w:b/>
        </w:rPr>
        <w:t>Resolve terminals without silently adding switches.</w:t>
      </w:r>
      <w:r>
        <w:rPr>
          <w:b w:val="0"/>
        </w:rPr>
        <w:t xml:space="preserve"> A mainline without turnouts still needs a physically workable return route. Compare loops, separate bidirectional tracks with an explicit operating plan, and terminal/depot arrangements. A train cannot transfer from one parallel beam to the other without connecting geometry or a transfer mechanism. Loops also require compatible curve radii. Record any exception to the no-mainline-switch objective.</w:t>
      </w:r>
    </w:p>
    <w:p>
      <w:pPr>
        <w:pStyle w:val="SpecItem"/>
      </w:pPr>
      <w:r>
        <w:rPr>
          <w:b w:val="0"/>
        </w:rPr>
        <w:t xml:space="preserve">57. </w:t>
      </w:r>
      <w:r>
        <w:rPr>
          <w:b/>
        </w:rPr>
        <w:t>Design recovery for a train stopped between stations.</w:t>
      </w:r>
      <w:r>
        <w:rPr>
          <w:b w:val="0"/>
        </w:rPr>
        <w:t xml:space="preserve"> An entirely unpowered coasting span cannot restart a stationary train from a distant station motor. Define a rescue vehicle, tow arrangement, portable recovery system or another practical method, including access to a captured/landed train. Preserve the no-onboard-main-traction baseline; count the response time, blocked-line effects, equipment and staffing in availability and cost.</w:t>
      </w:r>
    </w:p>
    <w:p>
      <w:pPr>
        <w:pStyle w:val="SpecItem"/>
      </w:pPr>
      <w:r>
        <w:rPr>
          <w:b w:val="0"/>
        </w:rPr>
        <w:t xml:space="preserve">58. </w:t>
      </w:r>
      <w:r>
        <w:rPr>
          <w:b/>
        </w:rPr>
        <w:t>Specify depot motion and maintenance access.</w:t>
      </w:r>
      <w:r>
        <w:rPr>
          <w:b w:val="0"/>
        </w:rPr>
        <w:t xml:space="preserve"> Use depot-mounted low-speed propulsion or workshop handling equipment where appropriate, with isolated work zones and support fixtures. Provide safe access to magnet cassettes, batteries, HVAC and doors. Define de-energization, magnetic-force handling and train storage conditions. Depot switches or transfers are permitted only where deliberately included and costed.</w:t>
      </w:r>
    </w:p>
    <w:p>
      <w:pPr>
        <w:pStyle w:val="SpecItem"/>
      </w:pPr>
      <w:r>
        <w:rPr>
          <w:b w:val="0"/>
        </w:rPr>
        <w:t xml:space="preserve">59. </w:t>
      </w:r>
      <w:r>
        <w:rPr>
          <w:b/>
        </w:rPr>
        <w:t>Make the ordinary viaduct a repeated factory product.</w:t>
      </w:r>
      <w:r>
        <w:rPr>
          <w:b w:val="0"/>
        </w:rPr>
        <w:t xml:space="preserve"> Retain one concrete guidebeam per direction, with two whole-span beams per ordinary 25 m bay and a shared support. Keep passive iron, anchors, bearings, joints, capture surfaces and station stators in the design and purchasing scope. Target a small standardized family that can be cast, inspected, transported and erected repeatedly. The current narrow-beam comparator already omits a full running deck; claim additional savings from smaller engineered supports, efficient beams and fewer site operations. Preserve route-specific evacuation and access requirements. The existing broad magnetic faces and attachment/swept-width details still require physical redesign.</w:t>
      </w:r>
    </w:p>
    <w:p>
      <w:pPr>
        <w:pStyle w:val="SpecItem"/>
      </w:pPr>
      <w:r>
        <w:rPr>
          <w:b w:val="0"/>
        </w:rPr>
        <w:t xml:space="preserve">60. </w:t>
      </w:r>
      <w:r>
        <w:rPr>
          <w:b/>
        </w:rPr>
        <w:t>Use a deeper efficient box as the leading 25 m beam study.</w:t>
      </w:r>
      <w:r>
        <w:rPr>
          <w:b w:val="0"/>
        </w:rPr>
        <w:t xml:space="preserve"> Start with a 0.80 m wide × 1.80 m deep prestressed closed box, nominal 100 mm webs and 150 mm flanges. Its 0.540 m² middle section becomes 0.5688 m² effective concrete area with two provisional 0.4 m end infills; use 0.57 m² for budgeting. Concrete plus unchanged reaction iron is about 43.1 t per beam before outstanding detail mass. Investigate a 45–47 t complete-member target, with rigging separately allowed. Retain the 0.65 × 1.90 m, 100/140 mm section as a lighter alternative, and thicker walls where detailing demands them. Compare 20 and 30 m families by complete foundation, transport, crane and gap costs. [R10, R45]</w:t>
      </w:r>
    </w:p>
    <w:p>
      <w:pPr>
        <w:pStyle w:val="SpecItem"/>
      </w:pPr>
      <w:r>
        <w:rPr>
          <w:b w:val="0"/>
        </w:rPr>
        <w:t xml:space="preserve">61. </w:t>
      </w:r>
      <w:r>
        <w:rPr>
          <w:b/>
        </w:rPr>
        <w:t>Preserve stiffness and manufacturability while reducing material.</w:t>
      </w:r>
      <w:r>
        <w:rPr>
          <w:b w:val="0"/>
        </w:rPr>
        <w:t xml:space="preserve"> The leading section raises gross vertical I by 13.6% while retaining about 90% of the previous lateral I and 97% of its approximate torsion J. The narrower alternative loses about 44% of lateral I and 33% of torsion J for only about USD 38,000/km additional quantity saving at the target rates. Keep the wider section as the leading comparison until coupled analysis supports narrowing. Resolve actual cover, bars, strands, anchors, concrete flow, end blocks, transfer strength, shear, local loads, creep and thermal gradients. An 8 mm nominal support gap requires a coupled vehicle–rail–beam model; absolute beam sag is not the relative magnetic-gap error.</w:t>
      </w:r>
    </w:p>
    <w:p>
      <w:pPr>
        <w:pStyle w:val="SpecItem"/>
      </w:pPr>
      <w:r>
        <w:rPr>
          <w:b w:val="0"/>
        </w:rPr>
        <w:t xml:space="preserve">62. </w:t>
      </w:r>
      <w:r>
        <w:rPr>
          <w:b/>
        </w:rPr>
        <w:t>Recalculate support loads using the complete lighter structure.</w:t>
      </w:r>
      <w:r>
        <w:rPr>
          <w:b w:val="0"/>
        </w:rPr>
        <w:t xml:space="preserve"> Hold the maximum passenger load at 160 people/car. The 26.2 t loaded car alone reduces the old beam/rail/live gravity screen by only about 2%. With the 0.57 m² beam budget, unchanged iron, both tracks loaded and 25 m tributary length, shared-support superstructure gravity is about 1.602 MN. Adding the proposed 8 m hollow column and 5.4 m³ cap gives about 1.894 MN at the foundation top before design factors, lateral loads or omitted attachments. The existing CAD support solids are unengineered placeholders: replacing them can greatly lower modeled dead load, but equal load capacity must be established before treating that difference as a verified saving. [R44]</w:t>
      </w:r>
    </w:p>
    <w:p>
      <w:pPr>
        <w:pStyle w:val="SpecItem"/>
      </w:pPr>
      <w:r>
        <w:rPr>
          <w:b w:val="0"/>
        </w:rPr>
        <w:t xml:space="preserve">63. </w:t>
      </w:r>
      <w:r>
        <w:rPr>
          <w:b/>
        </w:rPr>
        <w:t>Replace placeholder supports with engineered precast families.</w:t>
      </w:r>
      <w:r>
        <w:rPr>
          <w:b w:val="0"/>
        </w:rPr>
        <w:t xml:space="preserve"> Study a full-height 8 m hollow circular column of 1.35 m outside and 0.95 m inside diameter, with a total 1 m of provisional solid end zones: approximately 6.49 m³ and 16.2 t. Budget a roughly 5 m crosshead at 5.4 m³/13.5 t, including local widening for the column connection. Retain the 3.8 m ordinary beam-center spacing and check bearing edge distances. Select foundations from shallow footings, a suitable single shaft/column socket, or a pile-group/cap family according to verified soil, settlement, moments, utilities and access. Optimize these families with actual quantities. Use qualified socket or grouted duct/sleeve connections and strength-controlled release. The USD 22,000 ordinary-support target is conditional on ground and serial manufacture. [R17, R46]</w:t>
      </w:r>
    </w:p>
    <w:p>
      <w:pPr>
        <w:pStyle w:val="SpecItem"/>
      </w:pPr>
      <w:r>
        <w:rPr>
          <w:b w:val="0"/>
        </w:rPr>
        <w:t xml:space="preserve">64. </w:t>
      </w:r>
      <w:r>
        <w:rPr>
          <w:b/>
        </w:rPr>
        <w:t>Move alignment preparation into the factory and retain final adjustment.</w:t>
      </w:r>
      <w:r>
        <w:rPr>
          <w:b w:val="0"/>
        </w:rPr>
        <w:t xml:space="preserve"> Cast repeatable anchor provisions, lifting inserts and survey datums into each beam. Preassemble protected iron cassettes where a transport trial shows that doing so reduces installed cost. Provide adjustable, inspectable rail attachments for final survey and future replacement. Standardize column/cap fit-up gauges, bearing seats and connection access. Dry-fit the first assemblies before serial production. Record shims, grout placement, required connection strength, fastener settings and geometry by instance. Final acceptance covers the complete connected magnetic interface, rather than the moment the crane releases the beam.</w:t>
      </w:r>
    </w:p>
    <w:p>
      <w:pPr>
        <w:pStyle w:val="SpecItem"/>
      </w:pPr>
      <w:r>
        <w:rPr>
          <w:b w:val="0"/>
        </w:rPr>
        <w:t xml:space="preserve">65. </w:t>
      </w:r>
      <w:r>
        <w:rPr>
          <w:b/>
        </w:rPr>
        <w:t>Make joints simple, repeatable and compatible with movement.</w:t>
      </w:r>
      <w:r>
        <w:rPr>
          <w:b w:val="0"/>
        </w:rPr>
        <w:t xml:space="preserve"> Use a small bearing and connection family with explicit longitudinal restraints, thermal movement, uplift/capture loads and replacement access. Coordinate structural expansion joints with rail and stator cassette joints. Analyze every cartridge crossing for force changes, local bending, vertical/lateral steps and pitch/roll disturbance. Shop-fitted joints and survey references should reduce site adjustment without connecting across necessary expansion gaps. Detail the temporary lateral restraint and connection sequence so a deep beam is stable before its permanent system is complete. Price bearings, joints, inserts and brackets explicitly.</w:t>
      </w:r>
    </w:p>
    <w:p>
      <w:pPr>
        <w:pStyle w:val="SpecItem"/>
      </w:pPr>
      <w:r>
        <w:rPr>
          <w:b w:val="0"/>
        </w:rPr>
        <w:t xml:space="preserve">66. </w:t>
      </w:r>
      <w:r>
        <w:rPr>
          <w:b/>
        </w:rPr>
        <w:t>Balance the factory, foundations and two-shift erection train.</w:t>
      </w:r>
      <w:r>
        <w:rPr>
          <w:b w:val="0"/>
        </w:rPr>
        <w:t xml:space="preserve"> Set the central target at six beam placements per available 16-hour window and 75% availability: 4.5 accepted beams or 56.25 two-direction route-m per planned working day. A study front uses sixteen beam mould positions at a qualified 48-hour turnaround, eight ordinary-foundation crews, separate pier/cap and rail-survey teams, a main beam crane and a support crane. Keep 24 accepted beams buffered. Foundation and factory work run ahead in parallel; cast/release, grout strength, bearing survey and access evidence govern handover. Lower mass supports handling efficiency, while repeated operations and fewer crane waits produce most of the time saving. These are measured-demonstration targets. [R18, R47]</w:t>
      </w:r>
    </w:p>
    <w:p>
      <w:pPr>
        <w:pStyle w:val="SpecItem"/>
      </w:pPr>
      <w:r>
        <w:rPr>
          <w:b w:val="0"/>
        </w:rPr>
        <w:t xml:space="preserve">67. </w:t>
      </w:r>
      <w:r>
        <w:rPr>
          <w:b/>
        </w:rPr>
        <w:t>Use elevation to remove at-grade conflicts.</w:t>
      </w:r>
      <w:r>
        <w:rPr>
          <w:b w:val="0"/>
        </w:rPr>
        <w:t xml:space="preserve"> Near-total viaduct construction can avoid ordinary road/rail and wildlife conflicts at track level. It does not remove the need for air rights, foundations, utility clearance, access or effects below the line. Optimize a near-straight route within real property and terrain constraints. Include horizontal and vertical curvature compatibility with the rigid-carrier decision.</w:t>
      </w:r>
    </w:p>
    <w:p>
      <w:pPr>
        <w:pStyle w:val="SpecItem"/>
      </w:pPr>
      <w:r>
        <w:rPr>
          <w:b w:val="0"/>
        </w:rPr>
        <w:t xml:space="preserve">68. </w:t>
      </w:r>
      <w:r>
        <w:rPr>
          <w:b/>
        </w:rPr>
        <w:t>Make the compact station genuinely six-car capable.</w:t>
      </w:r>
      <w:r>
        <w:rPr>
          <w:b w:val="0"/>
        </w:rPr>
        <w:t xml:space="preserve"> Size the platform to the complete coupled train plus stopping and end-clearance allowances. Place the central lift landing flush with the platform, and include stairs, clear circulation, accessible boarding, fire/evacuation routes and maintenance access. Avoid sizing a six-car station from a two-car illustration. Doors, queueing and the lift footprint must fit within the usable platform width.</w:t>
      </w:r>
    </w:p>
    <w:p>
      <w:pPr>
        <w:pStyle w:val="SpecItem"/>
      </w:pPr>
      <w:r>
        <w:rPr>
          <w:b w:val="0"/>
        </w:rPr>
        <w:t xml:space="preserve">69. </w:t>
      </w:r>
      <w:r>
        <w:rPr>
          <w:b/>
        </w:rPr>
        <w:t>Resolve the island-platform alignment tradeoff.</w:t>
      </w:r>
      <w:r>
        <w:rPr>
          <w:b w:val="0"/>
        </w:rPr>
        <w:t xml:space="preserve"> Either keep the beams separated sufficiently along the route for an island platform, or introduce gentle approach divergence at stations. Compare the pier-cap and land-width consequences of the first option against curve and magnetic-clearance consequences of the second. Hitachi’s simplified-station precedent used lifts/stairs and omitted intermediate concourses/escalators; its side-platform choice also helped retain straight tracks. [R19]</w:t>
      </w:r>
    </w:p>
    <w:p>
      <w:pPr>
        <w:pStyle w:val="SpecItem"/>
      </w:pPr>
      <w:r>
        <w:rPr>
          <w:b w:val="0"/>
        </w:rPr>
        <w:t xml:space="preserve">70. </w:t>
      </w:r>
      <w:r>
        <w:rPr>
          <w:b/>
        </w:rPr>
        <w:t>Package the station power equipment with the civil design.</w:t>
      </w:r>
      <w:r>
        <w:rPr>
          <w:b w:val="0"/>
        </w:rPr>
        <w:t xml:space="preserve"> Allocate protected spaces and maintenance access for converters, switchgear, DC link, braking resistors, services charging, control electronics and optional energy buffers. Coordinate cable routes and cooling with platform architecture. Rate simultaneous arrivals/departures in both directions and neighboring stations. A cheaper train can require a more capable station electrical installation.</w:t>
      </w:r>
    </w:p>
    <w:p>
      <w:pPr>
        <w:pStyle w:val="SpecItem"/>
      </w:pPr>
      <w:r>
        <w:rPr>
          <w:b w:val="0"/>
        </w:rPr>
        <w:t xml:space="preserve">71. </w:t>
      </w:r>
      <w:r>
        <w:rPr>
          <w:b/>
        </w:rPr>
        <w:t>Develop the vertical spiral chute as a specific candidate.</w:t>
      </w:r>
      <w:r>
        <w:rPr>
          <w:b w:val="0"/>
        </w:rPr>
        <w:t xml:space="preserve"> Axel Thoms explicitly identifies monorail/gondola applications and offers custom spiral escape-chute products. Study a sealed, structurally anchored door-adjacent cassette with controlled deployment, entry support and an appropriate lower exit. Treat supplier height/flow claims as inputs to investigation, not as acceptance of this train, its passenger mix or every viaduct location. [R20, R21]</w:t>
      </w:r>
    </w:p>
    <w:p>
      <w:pPr>
        <w:pStyle w:val="SpecItem"/>
      </w:pPr>
      <w:r>
        <w:rPr>
          <w:b w:val="0"/>
        </w:rPr>
        <w:t xml:space="preserve">72. </w:t>
      </w:r>
      <w:r>
        <w:rPr>
          <w:b/>
        </w:rPr>
        <w:t>Use the elevated-train chute patent as a geometry reference.</w:t>
      </w:r>
      <w:r>
        <w:rPr>
          <w:b w:val="0"/>
        </w:rPr>
        <w:t xml:space="preserve"> DE19711884A1 describes a vertical spiral emergency chute for elevated train cabins, including exits at different levels. It is a relevant disclosed mechanism to study alongside current products. Patent publication does not demonstrate present availability, railway qualification, freedom to operate or satisfactory deployment from an OSR car. Obtain actual dimensions, mass and installation requirements for the selected candidate. [R22]</w:t>
      </w:r>
    </w:p>
    <w:p>
      <w:pPr>
        <w:pStyle w:val="SpecItem"/>
      </w:pPr>
      <w:r>
        <w:rPr>
          <w:b w:val="0"/>
        </w:rPr>
        <w:t xml:space="preserve">73. </w:t>
      </w:r>
      <w:r>
        <w:rPr>
          <w:b/>
        </w:rPr>
        <w:t>Model evacuation flow and deployment separately.</w:t>
      </w:r>
      <w:r>
        <w:rPr>
          <w:b w:val="0"/>
        </w:rPr>
        <w:t xml:space="preserve"> At an illustrative 15 people/minute/chute, 960 passengers need 5.3 minutes through 12 simultaneously usable chutes, or 10.7 minutes through six, before deployment, queuing, assistance and ground clearance. Usable door count can fall during smoke, fire or adverse wind. Verify children, reduced mobility, luggage, hesitation and assisted descent in the actual system rather than assuming identical flow at every door. [R21]</w:t>
      </w:r>
    </w:p>
    <w:p>
      <w:pPr>
        <w:pStyle w:val="SpecItem"/>
      </w:pPr>
      <w:r>
        <w:rPr>
          <w:b w:val="0"/>
        </w:rPr>
        <w:t xml:space="preserve">74. </w:t>
      </w:r>
      <w:r>
        <w:rPr>
          <w:b/>
        </w:rPr>
        <w:t>Close the route-wide escape and rescue design.</w:t>
      </w:r>
      <w:r>
        <w:rPr>
          <w:b w:val="0"/>
        </w:rPr>
        <w:t xml:space="preserve"> A vertical chute needs a usable landing/exit location; roads, roofs, water and obstructions can prevent it. Map height, wind exposure, landing access and responder routes for every segment. Compare chutes plus protected landing/recovery provisions with a narrow continuous evacuation provision where needed. Removing a full-width deck does not itself establish that all walkway or maintenance-access provisions can disappear.</w:t>
      </w:r>
    </w:p>
    <w:p>
      <w:pPr>
        <w:pStyle w:val="SpecItem"/>
      </w:pPr>
      <w:r>
        <w:rPr>
          <w:b w:val="0"/>
        </w:rPr>
        <w:t xml:space="preserve">75. </w:t>
      </w:r>
      <w:r>
        <w:rPr>
          <w:b/>
        </w:rPr>
        <w:t>Define the twin as an engineering evidence chain.</w:t>
      </w:r>
      <w:r>
        <w:rPr>
          <w:b w:val="0"/>
        </w:rPr>
        <w:t xml:space="preserve"> Every important object must connect requirements, geometry, physics, controls, materials, BOM, process, purchase, installation, commissioning and maintenance records. Start with one magnetic cassette and one stator segment, then replicate the proven interfaces. A realistic 3D image is a useful view of the twin; it does not establish assembly feasibility, manufacturability or operating performance.</w:t>
      </w:r>
    </w:p>
    <w:p>
      <w:pPr>
        <w:pStyle w:val="SpecItem"/>
      </w:pPr>
      <w:r>
        <w:rPr>
          <w:b w:val="0"/>
        </w:rPr>
        <w:t xml:space="preserve">76. </w:t>
      </w:r>
      <w:r>
        <w:rPr>
          <w:b/>
        </w:rPr>
        <w:t>Extend the existing engineering identity contract.</w:t>
      </w:r>
      <w:r>
        <w:rPr>
          <w:b w:val="0"/>
        </w:rPr>
        <w:t xml:space="preserve"> Reuse configuration_sha256, design_revision, asset identity, as-designed/as-built/as-maintained states, part/instance/serial/batch IDs, joint IDs and inspection characteristics in engineering_identity.py. Bind CAD, force maps, firmware, IFC objects and ERP records to these identities. A changed material, winding, gap or geometry must invalidate affected calculations and acceptance evidence. Avoid a second independent asset database. [R23]</w:t>
      </w:r>
    </w:p>
    <w:p>
      <w:pPr>
        <w:pStyle w:val="SpecItem"/>
      </w:pPr>
      <w:r>
        <w:rPr>
          <w:b w:val="0"/>
        </w:rPr>
        <w:t xml:space="preserve">77. </w:t>
      </w:r>
      <w:r>
        <w:rPr>
          <w:b/>
        </w:rPr>
        <w:t>Use native parametric CAD as the geometry authority.</w:t>
      </w:r>
      <w:r>
        <w:rPr>
          <w:b w:val="0"/>
        </w:rPr>
        <w:t xml:space="preserve"> Retain FreeCAD and the repository’s native geometry workflow; use build123d selectively for repeated scripted BREP parts. Include actual fasteners, datums, windings, connectors, joints and service envelopes. Export STEP for engineering exchange and controlled IFC representations for civil coordination. Treat current visibility/assembly animations as illustrations until interference, lifting and installation operations are explicitly checked. [R24]</w:t>
      </w:r>
    </w:p>
    <w:p>
      <w:pPr>
        <w:pStyle w:val="SpecItem"/>
      </w:pPr>
      <w:r>
        <w:rPr>
          <w:b w:val="0"/>
        </w:rPr>
        <w:t xml:space="preserve">78. </w:t>
      </w:r>
      <w:r>
        <w:rPr>
          <w:b/>
        </w:rPr>
        <w:t>Add an analytical optimization stage ahead of Gmsh and Elmer.</w:t>
      </w:r>
      <w:r>
        <w:rPr>
          <w:b w:val="0"/>
        </w:rPr>
        <w:t xml:space="preserve"> Reproduce the Rehberg–Blümler reference-ring result, then generate actual linear ferrite cartridges using finite-cuboid field calculations and constrained numerical optimization. The authors’ Halbach_two_point_oh is a useful reference explorer; Magpylib provides an openly licensed analytical implementation route. Pin dependencies. Use nonlinear 3D Elmer models for steel, coils, saturation, end effects and losses. Keep field.py and FEMM as limited regression/cross-check tools, not evidence of full three-dimensional performance. [R25–R27, R34, R42, R43]</w:t>
      </w:r>
    </w:p>
    <w:p>
      <w:pPr>
        <w:pStyle w:val="SpecItem"/>
      </w:pPr>
      <w:r>
        <w:rPr>
          <w:b w:val="0"/>
        </w:rPr>
        <w:t xml:space="preserve">79. </w:t>
      </w:r>
      <w:r>
        <w:rPr>
          <w:b/>
        </w:rPr>
        <w:t>Publish force maps and optimization evidence as versioned interfaces.</w:t>
      </w:r>
      <w:r>
        <w:rPr>
          <w:b w:val="0"/>
        </w:rPr>
        <w:t xml:space="preserve"> Inputs must include every block’s grade, size, position and magnetization vector; gaps, offsets, temperature, speed, trim current and station electrical phase/current. Outputs include forces, moments, losses, stiffness/control authority and demagnetization margins. Record manufacturing constraints, objective weights, baseline comparisons, geometry/mesh hashes and uncertainty. A stronger peak field or larger homogeneous volume alone does not qualify lift, thrust, reduced rail mass or lower cost.</w:t>
      </w:r>
    </w:p>
    <w:p>
      <w:pPr>
        <w:pStyle w:val="SpecItem"/>
      </w:pPr>
      <w:r>
        <w:rPr>
          <w:b w:val="0"/>
        </w:rPr>
        <w:t xml:space="preserve">80. </w:t>
      </w:r>
      <w:r>
        <w:rPr>
          <w:b/>
        </w:rPr>
        <w:t>Couple electrical and thermal models through reproducible interfaces.</w:t>
      </w:r>
      <w:r>
        <w:rPr>
          <w:b w:val="0"/>
        </w:rPr>
        <w:t xml:space="preserve"> Use OpenModelica for winding groups, converters, DC bus, brake resistor, supply/storage, chargers and thermal response, with FMI interfaces where helpful. Track peak and RMS phase current, voltage utilization, induced voltages in inactive sections and short-time duty. Compare one fixed winding, two fixed groups and routed sections at identical motion and force margins. Model both directions and hotel charging on the same time axis. The current constant 85% efficiency is a screening assumption, to be replaced by maps. [R28, R50]</w:t>
      </w:r>
    </w:p>
    <w:p>
      <w:pPr>
        <w:pStyle w:val="SpecItem"/>
      </w:pPr>
      <w:r>
        <w:rPr>
          <w:b w:val="0"/>
        </w:rPr>
        <w:t xml:space="preserve">81. </w:t>
      </w:r>
      <w:r>
        <w:rPr>
          <w:b/>
        </w:rPr>
        <w:t>Couple flexible GFRP bodies to the six-car magnetic/guideway model.</w:t>
      </w:r>
      <w:r>
        <w:rPr>
          <w:b w:val="0"/>
        </w:rPr>
        <w:t xml:space="preserve"> Include orthotropic panels, core shear, joints, openings, distributed support reactions and hot-condition stiffness, together with all cars, couplers, beam modes and foundation response. Check body-to-rail relative deflection at each cartridge, not only global body sag. Evaluate landing, failed support, lifting/rescue and roof/coupler hardpoints. Distributed suspension can reduce some global bending, while local floor and doorway loads remain. The existing single-car vertical model must be extended before mass targets are accepted.</w:t>
      </w:r>
    </w:p>
    <w:p>
      <w:pPr>
        <w:pStyle w:val="SpecItem"/>
      </w:pPr>
      <w:r>
        <w:rPr>
          <w:b w:val="0"/>
        </w:rPr>
        <w:t xml:space="preserve">82. </w:t>
      </w:r>
      <w:r>
        <w:rPr>
          <w:b/>
        </w:rPr>
        <w:t>Connect timetable simulation to physical feasibility.</w:t>
      </w:r>
      <w:r>
        <w:rPr>
          <w:b w:val="0"/>
        </w:rPr>
        <w:t xml:space="preserve"> Derive each block’s achievable launch/arrival envelope from the route and plant model. Feed that into headway, berth occupancy, queue and recovery simulations. Extend the existing Rust resource-state tests and bounded Kani proofs for the new station transaction; add a small formal protocol model only if it clarifies unresolved behavior. A scheduler must not book a trajectory the station motor, onboard services/support reserve or braking system cannot deliver. [R14]</w:t>
      </w:r>
    </w:p>
    <w:p>
      <w:pPr>
        <w:pStyle w:val="SpecItem"/>
      </w:pPr>
      <w:r>
        <w:rPr>
          <w:b w:val="0"/>
        </w:rPr>
        <w:t xml:space="preserve">83. </w:t>
      </w:r>
      <w:r>
        <w:rPr>
          <w:b/>
        </w:rPr>
        <w:t>Add hardware-in-loop before high-power trials.</w:t>
      </w:r>
      <w:r>
        <w:rPr>
          <w:b w:val="0"/>
        </w:rPr>
        <w:t xml:space="preserve"> Run the real control firmware against a reproducible plant model and then an instrumented low-voltage rig. Inject sensor disagreement, timing jitter, communication loss, saturation, hot windings and station faults. Log execution timing and physical output limits. Keep experiment orchestration and HMI on an SBC/host, with deterministic loops and independent trips in the appropriate embedded hardware.</w:t>
      </w:r>
    </w:p>
    <w:p>
      <w:pPr>
        <w:pStyle w:val="SpecItem"/>
      </w:pPr>
      <w:r>
        <w:rPr>
          <w:b w:val="0"/>
        </w:rPr>
        <w:t xml:space="preserve">84. </w:t>
      </w:r>
      <w:r>
        <w:rPr>
          <w:b/>
        </w:rPr>
        <w:t>Derive purchasing from the revised engineering BOM.</w:t>
      </w:r>
      <w:r>
        <w:rPr>
          <w:b w:val="0"/>
        </w:rPr>
        <w:t xml:space="preserve"> Retain separate body, ferrite, suspension, services and civil takeoffs. For launch equipment count every face cassette, group, inverter bridge, selector, sensor, feeder, brake branch, charger and thermal unit. Four hundred direction-metres with two motor faces equal 800 face-metres, not 400. Quote specified current/voltage/duty channels, not just train peak MW. Bind manufacturing quantities, scrap, calibration, assembly and inspection to ERP routings and revision IDs; release price savings only from a complete comparison. [R29, R32]</w:t>
      </w:r>
    </w:p>
    <w:p>
      <w:pPr>
        <w:pStyle w:val="SpecItem"/>
      </w:pPr>
      <w:r>
        <w:rPr>
          <w:b w:val="0"/>
        </w:rPr>
        <w:t xml:space="preserve">85. </w:t>
      </w:r>
      <w:r>
        <w:rPr>
          <w:b/>
        </w:rPr>
        <w:t>Capture the composite and magnetic as-built state.</w:t>
      </w:r>
      <w:r>
        <w:rPr>
          <w:b w:val="0"/>
        </w:rPr>
        <w:t xml:space="preserve"> Record laminate layup, fibre/resin content, core grade/density, batch, cure, bondline preparation/thickness and insert/joint inspection, as well as ferrite orientation, winding results, gaps and calibration. Weigh completed bodies and cartridges. Bind stiffness/force maps, firmware and acceptance limits to the actual configuration. Repairs and replacements update the as-maintained model, including material substitutions and any changed operating limit.</w:t>
      </w:r>
    </w:p>
    <w:p>
      <w:pPr>
        <w:pStyle w:val="SpecItem"/>
      </w:pPr>
      <w:r>
        <w:rPr>
          <w:b w:val="0"/>
        </w:rPr>
        <w:t xml:space="preserve">86. </w:t>
      </w:r>
      <w:r>
        <w:rPr>
          <w:b/>
        </w:rPr>
        <w:t>Make the civil twin predict accepted output, purchasing and cost.</w:t>
      </w:r>
      <w:r>
        <w:rPr>
          <w:b w:val="0"/>
        </w:rPr>
        <w:t xml:space="preserve"> Link every foundation, pier, cap, beam, bearing, connector and rail cassette to its geometry, ground evidence, BOM and work package. Add mould occupancy, cure/strength release, delivery turnaround, lift radius, actual rigging mass, crew/crane hours, connection completion and rail survey. Calculate the route production rate from the slowest accepted output of factory, delivery, foundations, supports, beam erection and alignment. Mark installed and accepted as different states. Drive ERP purchasing dates from this schedule and compare actual labour, rework and invoices against each target. Keep plant/tooling amortization and first-factory development visible. [R30]</w:t>
      </w:r>
    </w:p>
    <w:p>
      <w:pPr>
        <w:pStyle w:val="SpecItem"/>
      </w:pPr>
      <w:r>
        <w:rPr>
          <w:b w:val="0"/>
        </w:rPr>
        <w:t xml:space="preserve">87. </w:t>
      </w:r>
      <w:r>
        <w:rPr>
          <w:b/>
        </w:rPr>
        <w:t>Use FUXA for observation and engineering feedback.</w:t>
      </w:r>
      <w:r>
        <w:rPr>
          <w:b w:val="0"/>
        </w:rPr>
        <w:t xml:space="preserve"> Bind measured gap, current, force, temperature, energy, battery use, arrival time and beam motion to asset ID, calibration, timestamp and revision. Compare those measurements with the corresponding model. Keep the existing supervision/integration gateway separate from commissioned operating control. Dashboards may display trends and alarms; they must not bypass the station interlocking or silently retune the operating basis. [R31]</w:t>
      </w:r>
    </w:p>
    <w:p>
      <w:pPr>
        <w:pStyle w:val="SpecItem"/>
      </w:pPr>
      <w:r>
        <w:rPr>
          <w:b w:val="0"/>
        </w:rPr>
        <w:t xml:space="preserve">88. </w:t>
      </w:r>
      <w:r>
        <w:rPr>
          <w:b/>
        </w:rPr>
        <w:t>Make every result reproducible.</w:t>
      </w:r>
      <w:r>
        <w:rPr>
          <w:b w:val="0"/>
        </w:rPr>
        <w:t xml:space="preserve"> Pin configuration, source commit, solver, material data, mesh, random seed and input scenario. Distinguish analytic estimate, simulation result, measured result and accepted result. Keep uncertainty and model-validity ranges with the output. Publish editable geometry, calculations and tool inputs under explicit appropriate licenses; a publicly readable report or datasheet is not automatically open hardware.</w:t>
      </w:r>
    </w:p>
    <w:p>
      <w:pPr>
        <w:pStyle w:val="SpecItem"/>
      </w:pPr>
      <w:r>
        <w:rPr>
          <w:b w:val="0"/>
        </w:rPr>
        <w:t xml:space="preserve">89. </w:t>
      </w:r>
      <w:r>
        <w:rPr>
          <w:b/>
        </w:rPr>
        <w:t>Update the repository as one coordinated physical-model change.</w:t>
      </w:r>
      <w:r>
        <w:rPr>
          <w:b w:val="0"/>
        </w:rPr>
        <w:t xml:space="preserve"> Add GFRP body cases, finite-block magnetization, station propulsion and the revised civil family to configuration, CAD, physics, BOM, costs and city schedules together. In geometry.py, replace the large solid cap/column and shallow foundation envelopes with selectable engineered families. In manufacturing.py, replace the flat support allowance with foundation, column, cap, connection and erection quantities while retaining explicit unquoted target cases. The geometry currently contains a 24 m³ column and 21 m³ cap at 8 m height; the USD 35,000/support cost does not derive from those volumes. Eliminate that disconnect before reporting automatic civil savings. Preserve old configurations and evidence status. [R1, R23, R32, R44]</w:t>
      </w:r>
    </w:p>
    <w:p>
      <w:pPr>
        <w:pStyle w:val="SpecItem"/>
      </w:pPr>
      <w:r>
        <w:rPr>
          <w:b w:val="0"/>
        </w:rPr>
        <w:t xml:space="preserve">90. </w:t>
      </w:r>
      <w:r>
        <w:rPr>
          <w:b/>
        </w:rPr>
        <w:t>Add station propulsion and charging as a separately priced scope.</w:t>
      </w:r>
      <w:r>
        <w:rPr>
          <w:b w:val="0"/>
        </w:rPr>
        <w:t xml:space="preserve"> The new study exposes repeat-build target-rate sensitivities for stators, converters, supply, braking, chargers, controls and installation. A two-fixed-group middle case is USD 2.46 million/station before an illustrative 20% reserve; the routed eight-bank case is USD 2.60 million. These are unquoted purchasing targets, not demonstrated first-series costs. Preserve external utility reinforcement, non-recurring development, factory capital, station buildings and programme costs as explicit additions.</w:t>
      </w:r>
    </w:p>
    <w:p>
      <w:pPr>
        <w:pStyle w:val="SpecItem"/>
      </w:pPr>
      <w:r>
        <w:rPr>
          <w:b w:val="0"/>
        </w:rPr>
        <w:t xml:space="preserve">91. </w:t>
      </w:r>
      <w:r>
        <w:rPr>
          <w:b/>
        </w:rPr>
        <w:t>Adopt a quantified civil cost-reduction programme.</w:t>
      </w:r>
      <w:r>
        <w:rPr>
          <w:b w:val="0"/>
        </w:rPr>
        <w:t xml:space="preserve"> The balanced target reduces the existing incomplete listed scope from USD 4.255 million to USD 3.313 million per two-direction route-km, about 22%. The portion excluding unchanged passive iron falls from USD 3.054 million to USD 2.112 million, about 31%. This requires support packages to average USD 22,000 rather than USD 35,000 and lower delivery/erection/site occupation costs; it is not a blanket weight discount. The narrower beam gives USD 3.275 million under the same rates. Separately validated 20–30% iron reduction gives USD 3.073–2.953 million with the balanced beam. Preserve the same exclusions, add an estimating reserve, and replace target rates with itemized local quotations. [R32]</w:t>
      </w:r>
    </w:p>
    <w:p>
      <w:pPr>
        <w:pStyle w:val="SpecItem"/>
      </w:pPr>
      <w:r>
        <w:rPr>
          <w:b w:val="0"/>
        </w:rPr>
        <w:t xml:space="preserve">92. </w:t>
      </w:r>
      <w:r>
        <w:rPr>
          <w:b/>
        </w:rPr>
        <w:t>Compare complete systems at equal service.</w:t>
      </w:r>
      <w:r>
        <w:rPr>
          <w:b w:val="0"/>
        </w:rPr>
        <w:t xml:space="preserve"> Evaluate conventional elevated light rail, the previous onboard-drive maglev, and the station-powered variant at the same route, capacity, timetable, climate and availability target. Include stations, grid capacity, fleet/spares, depot, recovery, development, manufacturing facilities and whole-life replacement. Savings from a smaller train can be offset by additional station electrical plant, lower frequency or stricter guideway tolerances.</w:t>
      </w:r>
    </w:p>
    <w:p>
      <w:pPr>
        <w:pStyle w:val="SpecItem"/>
      </w:pPr>
      <w:r>
        <w:rPr>
          <w:b w:val="0"/>
        </w:rPr>
        <w:t xml:space="preserve">93. </w:t>
      </w:r>
      <w:r>
        <w:rPr>
          <w:b/>
        </w:rPr>
        <w:t>Separate supplier independence from cost reduction.</w:t>
      </w:r>
      <w:r>
        <w:rPr>
          <w:b w:val="0"/>
        </w:rPr>
        <w:t xml:space="preserve"> The design can remove dependence on conventional bogie, gearbox and traction-motor packages. It introduces competence in ferrite modules, precision guideway interfaces, embedded support control and station power electronics. Seek interchangeable interfaces and multiple qualified suppliers. Price prototype engineering and first-factory learning separately from repeat production; low raw-material prices do not fund development automatically.</w:t>
      </w:r>
    </w:p>
    <w:p>
      <w:pPr>
        <w:pStyle w:val="SpecItem"/>
      </w:pPr>
      <w:r>
        <w:rPr>
          <w:b w:val="0"/>
        </w:rPr>
        <w:t xml:space="preserve">94. </w:t>
      </w:r>
      <w:r>
        <w:rPr>
          <w:b/>
        </w:rPr>
        <w:t>Optimize complete installed cost at the required service.</w:t>
      </w:r>
      <w:r>
        <w:rPr>
          <w:b w:val="0"/>
        </w:rPr>
        <w:t xml:space="preserve"> Sweep body/magnet geometry, useful longitudinal field, gap, current loading, magnetic overlap, winding length, fixed or routed group topology, voltage/current ratings, runtime, dwell, headway, civil geometry and construction resources together. Shortest winding, lowest acceleration and fewest converters are different objectives. Compare both the 90 s reference and a 100 s economy case, including reserve and passenger throughput. Use actual material/process quantities and lifecycle evidence before releasing a saving.</w:t>
      </w:r>
    </w:p>
    <w:p>
      <w:pPr>
        <w:pStyle w:val="SpecItem"/>
      </w:pPr>
      <w:r>
        <w:rPr>
          <w:b w:val="0"/>
        </w:rPr>
        <w:t xml:space="preserve">95. </w:t>
      </w:r>
      <w:r>
        <w:rPr>
          <w:b/>
        </w:rPr>
        <w:t>Build paired conventional and optimized magnetic coupons.</w:t>
      </w:r>
      <w:r>
        <w:rPr>
          <w:b w:val="0"/>
        </w:rPr>
        <w:t xml:space="preserve"> Use identical ferrite grade, volume, gap and tested rail geometry to compare the original pattern with the finite-block optimized pattern. Measure vertical/lateral force, current, losses and reverse-field margins across load, temperature and alignment cases. Follow with equal-required-force comparisons that can genuinely change mass or geometry. Publish baseline and optimized data with uncertainty, including the carrier and retention effects; do not release a cost saving from an analytical field plot alone.</w:t>
      </w:r>
    </w:p>
    <w:p>
      <w:pPr>
        <w:pStyle w:val="SpecItem"/>
      </w:pPr>
      <w:r>
        <w:rPr>
          <w:b w:val="0"/>
        </w:rPr>
        <w:t xml:space="preserve">96. </w:t>
      </w:r>
      <w:r>
        <w:rPr>
          <w:b/>
        </w:rPr>
        <w:t>Build a combined support-and-station-drive segment before selecting the final power architecture.</w:t>
      </w:r>
      <w:r>
        <w:rPr>
          <w:b w:val="0"/>
        </w:rPr>
        <w:t xml:space="preserve"> Use a representative full-scale magnetic cross-section and 2.5 m three-phase cassette at controlled initial energy. Measure longitudinal field harmonic, thrust/normal force, R/L, flux linkage, losses, temperature and phase sensitivity. Then test two neighboring sections, a passive-to-powered transition, zero-speed restart, force handover and resistor braking. Use the measured maps to choose long fixed groups or routed channels before ordering megawatt equipment.</w:t>
      </w:r>
    </w:p>
    <w:p>
      <w:pPr>
        <w:pStyle w:val="SpecItem"/>
      </w:pPr>
      <w:r>
        <w:rPr>
          <w:b w:val="0"/>
        </w:rPr>
        <w:t xml:space="preserve">97. </w:t>
      </w:r>
      <w:r>
        <w:rPr>
          <w:b/>
        </w:rPr>
        <w:t>Develop the body and moving sled in parallel.</w:t>
      </w:r>
      <w:r>
        <w:rPr>
          <w:b w:val="0"/>
        </w:rPr>
        <w:t xml:space="preserve"> First manufacture a representative GFRP doorway/floor section with a real magnetic attachment, then measure load, stiffness, hot-condition response, joint behavior and mass. In parallel, measure sled coasting drag, joint crossing and support/propulsion transitions. Progress to a 17 m body and its full distributed support array. Weigh complete equipment and verify assembly, battery/HVAC duty, load extremes, landing and recovery before extrapolating to six cars.</w:t>
      </w:r>
    </w:p>
    <w:p>
      <w:pPr>
        <w:pStyle w:val="SpecItem"/>
      </w:pPr>
      <w:r>
        <w:rPr>
          <w:b w:val="0"/>
        </w:rPr>
        <w:t xml:space="preserve">98. </w:t>
      </w:r>
      <w:r>
        <w:rPr>
          <w:b/>
        </w:rPr>
        <w:t>Demonstrate civil production and then the complete station pair.</w:t>
      </w:r>
      <w:r>
        <w:rPr>
          <w:b w:val="0"/>
        </w:rPr>
        <w:t xml:space="preserve"> Build a separate 100 m ordinary-civil pilot: four dual-direction bays, eight beams and five actual support locations. Use representative ground, connections, rail interfaces and lifting geometry; measure strength release, labour, delivery, placement, alignment, rework and cost. Follow with repeat lots and at least ten representative erection windows before adopting a stable production rate. The railway demonstration must separately accommodate the full six-car train and station approach/departure zones. Exercise launch, coast, arrival correction, berthing, charging, clearance, failures and recovery, and measure energy and headway distributions.</w:t>
      </w:r>
    </w:p>
    <w:p>
      <w:pPr>
        <w:pStyle w:val="SpecItem"/>
      </w:pPr>
      <w:r>
        <w:rPr>
          <w:b w:val="0"/>
        </w:rPr>
        <w:t xml:space="preserve">99. </w:t>
      </w:r>
      <w:r>
        <w:rPr>
          <w:b/>
        </w:rPr>
        <w:t>Make each milestone produce a purchasable and buildable engineering package.</w:t>
      </w:r>
      <w:r>
        <w:rPr>
          <w:b w:val="0"/>
        </w:rPr>
        <w:t xml:space="preserve"> Require native CAD, drawings, material specifications, executable models, measurements, firmware, BOM, assembly steps, inspection limits and cost evidence under common revision IDs. For civil works include actual bar/strand schedules, connection capacities, lift/transport studies, ground-specific foundation selection, factory process sheets and accepted survey records. Publish the intended source of each cost and programme reduction and the evidence that closes it. The initial physical packages now include an optimized cartridge/stator, a GFRP doorway/floor/support module and a representative full civil bay.</w:t>
      </w:r>
    </w:p>
    <w:p>
      <w:pPr>
        <w:pStyle w:val="SpecItem"/>
      </w:pPr>
      <w:r>
        <w:rPr>
          <w:b w:val="0"/>
        </w:rPr>
        <w:t xml:space="preserve">100. </w:t>
      </w:r>
      <w:r>
        <w:rPr>
          <w:b/>
        </w:rPr>
        <w:t>Release the aggressive targets through measured results.</w:t>
      </w:r>
      <w:r>
        <w:rPr>
          <w:b w:val="0"/>
        </w:rPr>
        <w:t xml:space="preserve"> Retain 14.2 t/car as the central mass target until substantiated. Progress the repeated civil product toward approximately 31% less civil/assembly cost excluding iron, 22% less existing priced guideway scope, and 3.2 times the declared illustrative erection rate. Report the baseline, scope and actual resource hours with each result. Beam/pier stiffness, magnetic-gap dynamics, ground behavior, connections, evacuation and complete six-car operation must remain within their requirements. Conditional rail optimization can extend cost reduction to about 28–31% of the listed scope. Convert the targets into accepted purchasing and construction records rather than treating the model output itself as demonstration.</w:t>
      </w:r>
    </w:p>
    <w:p>
      <w:pPr>
        <w:pStyle w:val="Heading1"/>
        <w:pageBreakBefore/>
      </w:pPr>
      <w:r>
        <w:t>Station launch design and procurement study</w:t>
      </w:r>
    </w:p>
    <w:p>
      <w:pPr>
        <w:pStyle w:val="Heading2"/>
      </w:pPr>
      <w:r>
        <w:t>Recommended development architecture</w:t>
      </w:r>
    </w:p>
    <w:p>
      <w:pPr/>
      <w:r>
        <w:rPr>
          <w:b w:val="0"/>
        </w:rPr>
        <w:t>Develop a wayside three-phase iron-core permanent-magnet linear synchronous motor (LSM), using a defined alternating longitudinal ferrite field on the vehicle. Keep the main propulsion energy conversion at stations and coast between them. The existing onboard suspension stabilization remains a separate function. Start detailed cost comparison with two fixed winding groups per direction and independently controlled bridges connected to a common station DC supply. This has a small control/connection count and avoids an output selector network. Retain one whole-zone winding and routed short sections as explicit alternatives until measured electrical maps identify the lowest complete cost.</w:t>
      </w:r>
    </w:p>
    <w:p>
      <w:pPr/>
      <w:r>
        <w:rPr>
          <w:b w:val="0"/>
        </w:rPr>
        <w:t>The attraction of the LSM is its passive vehicle propulsion secondary and controllable stationary thrust. A LIM with an aluminum reaction plate avoids the requirement for a registered vehicle PM propulsion field, but introduces secondary losses, heat, mass and different end/normal-force behavior. Air-core LSMs avoid toothed iron attraction but require their own copper/field/thermal comparison. None is selected by an efficiency slogan. MagneMotion M3 supplies a useful combined suspension/wayside-drive precedent; commercial launch suppliers show that position-controlled wayside LSMs are practicable. Those precedents do not demonstrate this ferrite train. [R2, R9, R48, R54]</w:t>
      </w:r>
    </w:p>
    <w:p>
      <w:pPr>
        <w:pStyle w:val="Heading2"/>
      </w:pPr>
      <w:r>
        <w:t>Field, phase and repeated manufacture</w:t>
      </w:r>
    </w:p>
    <w:p>
      <w:pPr/>
      <w:r>
        <w:rPr>
          <w:b w:val="0"/>
        </w:rPr>
        <w:t>The ferrite arrangement must present an alternating field along the direction of motion. A Halbach pattern optimized solely for static lift, or varying only across the beam, cannot automatically propel a synchronous motor. Compare shared support/propulsion magnets with a separate laboratory propulsion coupon, then include any separate production strip in the train mass and cost. A 50 mm thick strip extending over the assumed 72 m active length weighs 9 t/train at 0.5 m total face width or 18 t at 1 m width, using 5,000 kg/m³. This would be additional ferrite if it does not replace existing support material. [R48]</w:t>
      </w:r>
    </w:p>
    <w:p>
      <w:pPr/>
      <w:r>
        <w:rPr>
          <w:b w:val="0"/>
        </w:rPr>
        <w:t>At the illustrative 17.5 m car pitch, a 0.25 m pole pitch gives 35 whole electrical wavelengths between corresponding car positions. Identical registered arrays can then contribute to one common travelling field. At 0.20 m pole pitch the nominal car-to-car phase step is 270 degrees, so identical arrays can substantially cancel thrust unless individually indexed or separately controlled. Define actual coupler length, array origins and accumulated longitudinal compliance before freezing the winding. The local phase law is θ = πx/τ plus a calibrated offset; train-wide location alone is insufficient for commutation.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3888"/>
      </w:tblGrid>
      <w:tr>
        <w:trPr>
          <w:cantSplit/>
          <w:tblHeader/>
        </w:trPr>
        <w:tc>
          <w:tcPr>
            <w:tcW w:type="dxa" w:w="3024"/>
            <w:vAlign w:val="center"/>
            <w:tcMar>
              <w:top w:w="85" w:type="dxa"/>
              <w:bottom w:w="85" w:type="dxa"/>
              <w:left w:w="90" w:type="dxa"/>
              <w:right w:w="90" w:type="dxa"/>
            </w:tcMar>
            <w:shd w:fill="F2F2F2"/>
          </w:tcPr>
          <w:p>
            <w:pPr>
              <w:keepNext/>
              <w:keepLines/>
              <w:spacing w:after="0" w:line="252" w:lineRule="auto"/>
            </w:pPr>
            <w:r>
              <w:rPr>
                <w:b/>
                <w:sz w:val="20"/>
              </w:rPr>
              <w:t>Repeated element</w:t>
            </w:r>
          </w:p>
        </w:tc>
        <w:tc>
          <w:tcPr>
            <w:tcW w:type="dxa" w:w="2880"/>
            <w:vAlign w:val="center"/>
            <w:tcMar>
              <w:top w:w="85" w:type="dxa"/>
              <w:bottom w:w="85" w:type="dxa"/>
              <w:left w:w="90" w:type="dxa"/>
              <w:right w:w="90" w:type="dxa"/>
            </w:tcMar>
            <w:shd w:fill="F2F2F2"/>
          </w:tcPr>
          <w:p>
            <w:pPr>
              <w:keepNext/>
              <w:keepLines/>
              <w:spacing w:after="0" w:line="252" w:lineRule="auto"/>
            </w:pPr>
            <w:r>
              <w:rPr>
                <w:b/>
                <w:sz w:val="20"/>
              </w:rPr>
              <w:t>Reference quantity</w:t>
            </w:r>
          </w:p>
        </w:tc>
        <w:tc>
          <w:tcPr>
            <w:tcW w:type="dxa" w:w="3888"/>
            <w:vAlign w:val="center"/>
            <w:tcMar>
              <w:top w:w="85" w:type="dxa"/>
              <w:bottom w:w="85" w:type="dxa"/>
              <w:left w:w="90" w:type="dxa"/>
              <w:right w:w="90" w:type="dxa"/>
            </w:tcMar>
            <w:shd w:fill="F2F2F2"/>
          </w:tcPr>
          <w:p>
            <w:pPr>
              <w:keepNext/>
              <w:keepLines/>
              <w:spacing w:after="0" w:line="252" w:lineRule="auto"/>
            </w:pPr>
            <w:r>
              <w:rPr>
                <w:b/>
                <w:sz w:val="20"/>
              </w:rPr>
              <w:t>Design purpose</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Electrical wavelength / pole pitch</w:t>
            </w:r>
          </w:p>
        </w:tc>
        <w:tc>
          <w:tcPr>
            <w:tcW w:type="dxa" w:w="2880"/>
            <w:vAlign w:val="center"/>
            <w:tcMar>
              <w:top w:w="85" w:type="dxa"/>
              <w:bottom w:w="85" w:type="dxa"/>
              <w:left w:w="90" w:type="dxa"/>
              <w:right w:w="90" w:type="dxa"/>
            </w:tcMar>
          </w:tcPr>
          <w:p>
            <w:pPr>
              <w:keepLines/>
              <w:spacing w:after="0" w:line="252" w:lineRule="auto"/>
            </w:pPr>
            <w:r>
              <w:rPr>
                <w:b w:val="0"/>
                <w:sz w:val="20"/>
              </w:rPr>
              <w:t>0.50 m / 0.25 m</w:t>
            </w:r>
          </w:p>
        </w:tc>
        <w:tc>
          <w:tcPr>
            <w:tcW w:type="dxa" w:w="3888"/>
            <w:vAlign w:val="center"/>
            <w:tcMar>
              <w:top w:w="85" w:type="dxa"/>
              <w:bottom w:w="85" w:type="dxa"/>
              <w:left w:w="90" w:type="dxa"/>
              <w:right w:w="90" w:type="dxa"/>
            </w:tcMar>
          </w:tcPr>
          <w:p>
            <w:pPr>
              <w:keepLines/>
              <w:spacing w:after="0" w:line="252" w:lineRule="auto"/>
            </w:pPr>
            <w:r>
              <w:rPr>
                <w:b w:val="0"/>
                <w:sz w:val="20"/>
              </w:rPr>
              <w:t>Nominal registration across six cars</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Mechanical cassette, per face</w:t>
            </w:r>
          </w:p>
        </w:tc>
        <w:tc>
          <w:tcPr>
            <w:tcW w:type="dxa" w:w="2880"/>
            <w:vAlign w:val="center"/>
            <w:tcMar>
              <w:top w:w="85" w:type="dxa"/>
              <w:bottom w:w="85" w:type="dxa"/>
              <w:left w:w="90" w:type="dxa"/>
              <w:right w:w="90" w:type="dxa"/>
            </w:tcMar>
          </w:tcPr>
          <w:p>
            <w:pPr>
              <w:keepLines/>
              <w:spacing w:after="0" w:line="252" w:lineRule="auto"/>
            </w:pPr>
            <w:r>
              <w:rPr>
                <w:b w:val="0"/>
                <w:sz w:val="20"/>
              </w:rPr>
              <w:t>2.5 m</w:t>
            </w:r>
          </w:p>
        </w:tc>
        <w:tc>
          <w:tcPr>
            <w:tcW w:type="dxa" w:w="3888"/>
            <w:vAlign w:val="center"/>
            <w:tcMar>
              <w:top w:w="85" w:type="dxa"/>
              <w:bottom w:w="85" w:type="dxa"/>
              <w:left w:w="90" w:type="dxa"/>
              <w:right w:w="90" w:type="dxa"/>
            </w:tcMar>
          </w:tcPr>
          <w:p>
            <w:pPr>
              <w:keepLines/>
              <w:spacing w:after="0" w:line="252" w:lineRule="auto"/>
            </w:pPr>
            <w:r>
              <w:rPr>
                <w:b w:val="0"/>
                <w:sz w:val="20"/>
              </w:rPr>
              <w:t>Five wavelengths; factory assembly and replacement</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Paired cassette set</w:t>
            </w:r>
          </w:p>
        </w:tc>
        <w:tc>
          <w:tcPr>
            <w:tcW w:type="dxa" w:w="2880"/>
            <w:vAlign w:val="center"/>
            <w:tcMar>
              <w:top w:w="85" w:type="dxa"/>
              <w:bottom w:w="85" w:type="dxa"/>
              <w:left w:w="90" w:type="dxa"/>
              <w:right w:w="90" w:type="dxa"/>
            </w:tcMar>
          </w:tcPr>
          <w:p>
            <w:pPr>
              <w:keepLines/>
              <w:spacing w:after="0" w:line="252" w:lineRule="auto"/>
            </w:pPr>
            <w:r>
              <w:rPr>
                <w:b w:val="0"/>
                <w:sz w:val="20"/>
              </w:rPr>
              <w:t>Two symmetric motor-face cassettes</w:t>
            </w:r>
          </w:p>
        </w:tc>
        <w:tc>
          <w:tcPr>
            <w:tcW w:type="dxa" w:w="3888"/>
            <w:vAlign w:val="center"/>
            <w:tcMar>
              <w:top w:w="85" w:type="dxa"/>
              <w:bottom w:w="85" w:type="dxa"/>
              <w:left w:w="90" w:type="dxa"/>
              <w:right w:w="90" w:type="dxa"/>
            </w:tcMar>
          </w:tcPr>
          <w:p>
            <w:pPr>
              <w:keepLines/>
              <w:spacing w:after="0" w:line="252" w:lineRule="auto"/>
            </w:pPr>
            <w:r>
              <w:rPr>
                <w:b w:val="0"/>
                <w:sz w:val="20"/>
              </w:rPr>
              <w:t>Common geometric datum; both faces included in cost</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Addressable electrical section</w:t>
            </w:r>
          </w:p>
        </w:tc>
        <w:tc>
          <w:tcPr>
            <w:tcW w:type="dxa" w:w="2880"/>
            <w:vAlign w:val="center"/>
            <w:tcMar>
              <w:top w:w="85" w:type="dxa"/>
              <w:bottom w:w="85" w:type="dxa"/>
              <w:left w:w="90" w:type="dxa"/>
              <w:right w:w="90" w:type="dxa"/>
            </w:tcMar>
          </w:tcPr>
          <w:p>
            <w:pPr>
              <w:keepLines/>
              <w:spacing w:after="0" w:line="252" w:lineRule="auto"/>
            </w:pPr>
            <w:r>
              <w:rPr>
                <w:b w:val="0"/>
                <w:sz w:val="20"/>
              </w:rPr>
              <w:t>12.5 m; five paired sets</w:t>
            </w:r>
          </w:p>
        </w:tc>
        <w:tc>
          <w:tcPr>
            <w:tcW w:type="dxa" w:w="3888"/>
            <w:vAlign w:val="center"/>
            <w:tcMar>
              <w:top w:w="85" w:type="dxa"/>
              <w:bottom w:w="85" w:type="dxa"/>
              <w:left w:w="90" w:type="dxa"/>
              <w:right w:w="90" w:type="dxa"/>
            </w:tcMar>
          </w:tcPr>
          <w:p>
            <w:pPr>
              <w:keepLines/>
              <w:spacing w:after="0" w:line="252" w:lineRule="auto"/>
            </w:pPr>
            <w:r>
              <w:rPr>
                <w:b w:val="0"/>
                <w:sz w:val="20"/>
              </w:rPr>
              <w:t>Two sections fit a 25 m civil span</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Rounded costing zone</w:t>
            </w:r>
          </w:p>
        </w:tc>
        <w:tc>
          <w:tcPr>
            <w:tcW w:type="dxa" w:w="2880"/>
            <w:vAlign w:val="center"/>
            <w:tcMar>
              <w:top w:w="85" w:type="dxa"/>
              <w:bottom w:w="85" w:type="dxa"/>
              <w:left w:w="90" w:type="dxa"/>
              <w:right w:w="90" w:type="dxa"/>
            </w:tcMar>
          </w:tcPr>
          <w:p>
            <w:pPr>
              <w:keepLines/>
              <w:spacing w:after="0" w:line="252" w:lineRule="auto"/>
            </w:pPr>
            <w:r>
              <w:rPr>
                <w:b w:val="0"/>
                <w:sz w:val="20"/>
              </w:rPr>
              <w:t>200 m per direction</w:t>
            </w:r>
          </w:p>
        </w:tc>
        <w:tc>
          <w:tcPr>
            <w:tcW w:type="dxa" w:w="3888"/>
            <w:vAlign w:val="center"/>
            <w:tcMar>
              <w:top w:w="85" w:type="dxa"/>
              <w:bottom w:w="85" w:type="dxa"/>
              <w:left w:w="90" w:type="dxa"/>
              <w:right w:w="90" w:type="dxa"/>
            </w:tcMar>
          </w:tcPr>
          <w:p>
            <w:pPr>
              <w:keepLines/>
              <w:spacing w:after="0" w:line="252" w:lineRule="auto"/>
            </w:pPr>
            <w:r>
              <w:rPr>
                <w:b w:val="0"/>
                <w:sz w:val="20"/>
              </w:rPr>
              <w:t>Sixteen sections; compare longer alternatives</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Two-direction station</w:t>
            </w:r>
          </w:p>
        </w:tc>
        <w:tc>
          <w:tcPr>
            <w:tcW w:type="dxa" w:w="2880"/>
            <w:vAlign w:val="center"/>
            <w:tcMar>
              <w:top w:w="85" w:type="dxa"/>
              <w:bottom w:w="85" w:type="dxa"/>
              <w:left w:w="90" w:type="dxa"/>
              <w:right w:w="90" w:type="dxa"/>
            </w:tcMar>
          </w:tcPr>
          <w:p>
            <w:pPr>
              <w:keepLines/>
              <w:spacing w:after="0" w:line="252" w:lineRule="auto"/>
            </w:pPr>
            <w:r>
              <w:rPr>
                <w:b w:val="0"/>
                <w:sz w:val="20"/>
              </w:rPr>
              <w:t>32 sections; 160 paired sets</w:t>
            </w:r>
          </w:p>
        </w:tc>
        <w:tc>
          <w:tcPr>
            <w:tcW w:type="dxa" w:w="3888"/>
            <w:vAlign w:val="center"/>
            <w:tcMar>
              <w:top w:w="85" w:type="dxa"/>
              <w:bottom w:w="85" w:type="dxa"/>
              <w:left w:w="90" w:type="dxa"/>
              <w:right w:w="90" w:type="dxa"/>
            </w:tcMar>
          </w:tcPr>
          <w:p>
            <w:pPr>
              <w:keepLines/>
              <w:spacing w:after="0" w:line="252" w:lineRule="auto"/>
            </w:pPr>
            <w:r>
              <w:rPr>
                <w:b w:val="0"/>
                <w:sz w:val="20"/>
              </w:rPr>
              <w:t>320 individual face cassettes; 400 direction-m / 800 face-m</w:t>
            </w:r>
          </w:p>
        </w:tc>
      </w:tr>
    </w:tbl>
    <w:p>
      <w:pPr>
        <w:spacing w:after="40"/>
      </w:pPr>
    </w:p>
    <w:p>
      <w:pPr/>
      <w:r>
        <w:rPr>
          <w:b w:val="0"/>
        </w:rPr>
        <w:t>The addressable sections need not each have an inverter. They can be connected into fixed groups or selectively routed. Phase both faces so longitudinal thrust adds. Where motor faces oppose each other, normal-force cancellation requires matched gaps and fields; an offset can be destabilizing and local attachments still carry each face load. Shared support faces must retain their intended upward resultant. Resolve face orientation explicitly in CAD. Slot/pole choice, turns, conductor section, cooling and R/L still need electromagnetic design. Standardize datums, polarity, phase, insulation, connectors, handling and inspection before repeated manufacture.</w:t>
      </w:r>
    </w:p>
    <w:p>
      <w:pPr>
        <w:pStyle w:val="Heading2"/>
      </w:pPr>
      <w:r>
        <w:t>Calculated performance trade-off</w:t>
      </w:r>
    </w:p>
    <w:p>
      <w:pPr/>
      <w:r>
        <w:rPr>
          <w:b w:val="0"/>
        </w:rPr>
        <w:t>The calculation uses six fully loaded cars totaling 157.2 t, a flat 1 km distance between front stopping markers, R(v) = 6,000 + 10.8v² N, a maximum speed of 80 km/h and jerk of 0.6 m/s³. It solves launch speed and receiving-brake entry speed to meet both distance and time. Launch ends with zero electromagnetic thrust and the same deceleration as free coast; the receiving station then brakes and performs final position control. The 85% motoring efficiency is a comparison assumption, not a measured low-speed or partial-overlap motor efficiency.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296"/>
        <w:gridCol w:w="1224"/>
        <w:gridCol w:w="1656"/>
        <w:gridCol w:w="1656"/>
        <w:gridCol w:w="2376"/>
      </w:tblGrid>
      <w:tr>
        <w:trPr>
          <w:cantSplit/>
          <w:tblHeader/>
        </w:trPr>
        <w:tc>
          <w:tcPr>
            <w:tcW w:type="dxa" w:w="1584"/>
            <w:vAlign w:val="center"/>
            <w:tcMar>
              <w:top w:w="85" w:type="dxa"/>
              <w:bottom w:w="85" w:type="dxa"/>
              <w:left w:w="90" w:type="dxa"/>
              <w:right w:w="90" w:type="dxa"/>
            </w:tcMar>
            <w:shd w:fill="F2F2F2"/>
          </w:tcPr>
          <w:p>
            <w:pPr>
              <w:keepNext/>
              <w:keepLines/>
              <w:spacing w:after="0" w:line="252" w:lineRule="auto"/>
            </w:pPr>
            <w:r>
              <w:rPr>
                <w:b/>
                <w:sz w:val="20"/>
              </w:rPr>
              <w:t>Case / run time</w:t>
            </w:r>
          </w:p>
        </w:tc>
        <w:tc>
          <w:tcPr>
            <w:tcW w:type="dxa" w:w="1296"/>
            <w:vAlign w:val="center"/>
            <w:tcMar>
              <w:top w:w="85" w:type="dxa"/>
              <w:bottom w:w="85" w:type="dxa"/>
              <w:left w:w="90" w:type="dxa"/>
              <w:right w:w="90" w:type="dxa"/>
            </w:tcMar>
            <w:shd w:fill="F2F2F2"/>
          </w:tcPr>
          <w:p>
            <w:pPr>
              <w:keepNext/>
              <w:keepLines/>
              <w:spacing w:after="0" w:line="252" w:lineRule="auto"/>
            </w:pPr>
            <w:r>
              <w:rPr>
                <w:b/>
                <w:sz w:val="20"/>
              </w:rPr>
              <w:t>Accel. / decel. (m/s²)</w:t>
            </w:r>
          </w:p>
        </w:tc>
        <w:tc>
          <w:tcPr>
            <w:tcW w:type="dxa" w:w="1224"/>
            <w:vAlign w:val="center"/>
            <w:tcMar>
              <w:top w:w="85" w:type="dxa"/>
              <w:bottom w:w="85" w:type="dxa"/>
              <w:left w:w="90" w:type="dxa"/>
              <w:right w:w="90" w:type="dxa"/>
            </w:tcMar>
            <w:shd w:fill="F2F2F2"/>
          </w:tcPr>
          <w:p>
            <w:pPr>
              <w:keepNext/>
              <w:keepLines/>
              <w:spacing w:after="0" w:line="252" w:lineRule="auto"/>
            </w:pPr>
            <w:r>
              <w:rPr>
                <w:b/>
                <w:sz w:val="20"/>
              </w:rPr>
              <w:t>Peak speed (km/h)</w:t>
            </w:r>
          </w:p>
        </w:tc>
        <w:tc>
          <w:tcPr>
            <w:tcW w:type="dxa" w:w="1656"/>
            <w:vAlign w:val="center"/>
            <w:tcMar>
              <w:top w:w="85" w:type="dxa"/>
              <w:bottom w:w="85" w:type="dxa"/>
              <w:left w:w="90" w:type="dxa"/>
              <w:right w:w="90" w:type="dxa"/>
            </w:tcMar>
            <w:shd w:fill="F2F2F2"/>
          </w:tcPr>
          <w:p>
            <w:pPr>
              <w:keepNext/>
              <w:keepLines/>
              <w:spacing w:after="0" w:line="252" w:lineRule="auto"/>
            </w:pPr>
            <w:r>
              <w:rPr>
                <w:b/>
                <w:sz w:val="20"/>
              </w:rPr>
              <w:t>Peak traction input (MW)</w:t>
            </w:r>
          </w:p>
        </w:tc>
        <w:tc>
          <w:tcPr>
            <w:tcW w:type="dxa" w:w="1656"/>
            <w:vAlign w:val="center"/>
            <w:tcMar>
              <w:top w:w="85" w:type="dxa"/>
              <w:bottom w:w="85" w:type="dxa"/>
              <w:left w:w="90" w:type="dxa"/>
              <w:right w:w="90" w:type="dxa"/>
            </w:tcMar>
            <w:shd w:fill="F2F2F2"/>
          </w:tcPr>
          <w:p>
            <w:pPr>
              <w:keepNext/>
              <w:keepLines/>
              <w:spacing w:after="0" w:line="252" w:lineRule="auto"/>
            </w:pPr>
            <w:r>
              <w:rPr>
                <w:b/>
                <w:sz w:val="20"/>
              </w:rPr>
              <w:t>Launch input (kWh/train)</w:t>
            </w:r>
          </w:p>
        </w:tc>
        <w:tc>
          <w:tcPr>
            <w:tcW w:type="dxa" w:w="2376"/>
            <w:vAlign w:val="center"/>
            <w:tcMar>
              <w:top w:w="85" w:type="dxa"/>
              <w:bottom w:w="85" w:type="dxa"/>
              <w:left w:w="90" w:type="dxa"/>
              <w:right w:w="90" w:type="dxa"/>
            </w:tcMar>
            <w:shd w:fill="F2F2F2"/>
          </w:tcPr>
          <w:p>
            <w:pPr>
              <w:keepNext/>
              <w:keepLines/>
              <w:spacing w:after="0" w:line="252" w:lineRule="auto"/>
            </w:pPr>
            <w:r>
              <w:rPr>
                <w:b/>
                <w:sz w:val="20"/>
              </w:rPr>
              <w:t>Minimum winding per direction (m)</w:t>
            </w:r>
          </w:p>
        </w:tc>
      </w:tr>
      <w:tr>
        <w:trPr>
          <w:cantSplit/>
        </w:trPr>
        <w:tc>
          <w:tcPr>
            <w:tcW w:type="dxa" w:w="1584"/>
            <w:vAlign w:val="center"/>
            <w:tcMar>
              <w:top w:w="85" w:type="dxa"/>
              <w:bottom w:w="85" w:type="dxa"/>
              <w:left w:w="90" w:type="dxa"/>
              <w:right w:w="90" w:type="dxa"/>
            </w:tcMar>
          </w:tcPr>
          <w:p>
            <w:pPr>
              <w:keepLines/>
              <w:spacing w:after="0" w:line="252" w:lineRule="auto"/>
            </w:pPr>
            <w:r>
              <w:rPr>
                <w:b w:val="0"/>
                <w:sz w:val="20"/>
              </w:rPr>
              <w:t>Fast: 70 s</w:t>
            </w:r>
          </w:p>
        </w:tc>
        <w:tc>
          <w:tcPr>
            <w:tcW w:type="dxa" w:w="1296"/>
            <w:vAlign w:val="center"/>
            <w:tcMar>
              <w:top w:w="85" w:type="dxa"/>
              <w:bottom w:w="85" w:type="dxa"/>
              <w:left w:w="90" w:type="dxa"/>
              <w:right w:w="90" w:type="dxa"/>
            </w:tcMar>
          </w:tcPr>
          <w:p>
            <w:pPr>
              <w:keepLines/>
              <w:spacing w:after="0" w:line="252" w:lineRule="auto"/>
            </w:pPr>
            <w:r>
              <w:rPr>
                <w:b w:val="0"/>
                <w:sz w:val="20"/>
              </w:rPr>
              <w:t>1.0 / 1.0</w:t>
            </w:r>
          </w:p>
        </w:tc>
        <w:tc>
          <w:tcPr>
            <w:tcW w:type="dxa" w:w="1224"/>
            <w:vAlign w:val="center"/>
            <w:tcMar>
              <w:top w:w="85" w:type="dxa"/>
              <w:bottom w:w="85" w:type="dxa"/>
              <w:left w:w="90" w:type="dxa"/>
              <w:right w:w="90" w:type="dxa"/>
            </w:tcMar>
          </w:tcPr>
          <w:p>
            <w:pPr>
              <w:keepLines/>
              <w:spacing w:after="0" w:line="252" w:lineRule="auto"/>
            </w:pPr>
            <w:r>
              <w:rPr>
                <w:b w:val="0"/>
                <w:sz w:val="20"/>
              </w:rPr>
              <w:t>79.4</w:t>
            </w:r>
          </w:p>
        </w:tc>
        <w:tc>
          <w:tcPr>
            <w:tcW w:type="dxa" w:w="1656"/>
            <w:vAlign w:val="center"/>
            <w:tcMar>
              <w:top w:w="85" w:type="dxa"/>
              <w:bottom w:w="85" w:type="dxa"/>
              <w:left w:w="90" w:type="dxa"/>
              <w:right w:w="90" w:type="dxa"/>
            </w:tcMar>
          </w:tcPr>
          <w:p>
            <w:pPr>
              <w:keepLines/>
              <w:spacing w:after="0" w:line="252" w:lineRule="auto"/>
            </w:pPr>
            <w:r>
              <w:rPr>
                <w:b w:val="0"/>
                <w:sz w:val="20"/>
              </w:rPr>
              <w:t>4.19</w:t>
            </w:r>
          </w:p>
        </w:tc>
        <w:tc>
          <w:tcPr>
            <w:tcW w:type="dxa" w:w="1656"/>
            <w:vAlign w:val="center"/>
            <w:tcMar>
              <w:top w:w="85" w:type="dxa"/>
              <w:bottom w:w="85" w:type="dxa"/>
              <w:left w:w="90" w:type="dxa"/>
              <w:right w:w="90" w:type="dxa"/>
            </w:tcMar>
          </w:tcPr>
          <w:p>
            <w:pPr>
              <w:keepLines/>
              <w:spacing w:after="0" w:line="252" w:lineRule="auto"/>
            </w:pPr>
            <w:r>
              <w:rPr>
                <w:b w:val="0"/>
                <w:sz w:val="20"/>
              </w:rPr>
              <w:t>13.24</w:t>
            </w:r>
          </w:p>
        </w:tc>
        <w:tc>
          <w:tcPr>
            <w:tcW w:type="dxa" w:w="2376"/>
            <w:vAlign w:val="center"/>
            <w:tcMar>
              <w:top w:w="85" w:type="dxa"/>
              <w:bottom w:w="85" w:type="dxa"/>
              <w:left w:w="90" w:type="dxa"/>
              <w:right w:w="90" w:type="dxa"/>
            </w:tcMar>
          </w:tcPr>
          <w:p>
            <w:pPr>
              <w:keepLines/>
              <w:spacing w:after="0" w:line="252" w:lineRule="auto"/>
            </w:pPr>
            <w:r>
              <w:rPr>
                <w:b w:val="0"/>
                <w:sz w:val="20"/>
              </w:rPr>
              <w:t>394.7</w:t>
            </w:r>
          </w:p>
        </w:tc>
      </w:tr>
      <w:tr>
        <w:trPr>
          <w:cantSplit/>
        </w:trPr>
        <w:tc>
          <w:tcPr>
            <w:tcW w:type="dxa" w:w="1584"/>
            <w:vAlign w:val="center"/>
            <w:tcMar>
              <w:top w:w="85" w:type="dxa"/>
              <w:bottom w:w="85" w:type="dxa"/>
              <w:left w:w="90" w:type="dxa"/>
              <w:right w:w="90" w:type="dxa"/>
            </w:tcMar>
          </w:tcPr>
          <w:p>
            <w:pPr>
              <w:keepLines/>
              <w:spacing w:after="0" w:line="252" w:lineRule="auto"/>
            </w:pPr>
            <w:r>
              <w:rPr>
                <w:b w:val="0"/>
                <w:sz w:val="20"/>
              </w:rPr>
              <w:t>Gentle: 90 s</w:t>
            </w:r>
          </w:p>
        </w:tc>
        <w:tc>
          <w:tcPr>
            <w:tcW w:type="dxa" w:w="1296"/>
            <w:vAlign w:val="center"/>
            <w:tcMar>
              <w:top w:w="85" w:type="dxa"/>
              <w:bottom w:w="85" w:type="dxa"/>
              <w:left w:w="90" w:type="dxa"/>
              <w:right w:w="90" w:type="dxa"/>
            </w:tcMar>
          </w:tcPr>
          <w:p>
            <w:pPr>
              <w:keepLines/>
              <w:spacing w:after="0" w:line="252" w:lineRule="auto"/>
            </w:pPr>
            <w:r>
              <w:rPr>
                <w:b w:val="0"/>
                <w:sz w:val="20"/>
              </w:rPr>
              <w:t>0.6 / 0.8</w:t>
            </w:r>
          </w:p>
        </w:tc>
        <w:tc>
          <w:tcPr>
            <w:tcW w:type="dxa" w:w="1224"/>
            <w:vAlign w:val="center"/>
            <w:tcMar>
              <w:top w:w="85" w:type="dxa"/>
              <w:bottom w:w="85" w:type="dxa"/>
              <w:left w:w="90" w:type="dxa"/>
              <w:right w:w="90" w:type="dxa"/>
            </w:tcMar>
          </w:tcPr>
          <w:p>
            <w:pPr>
              <w:keepLines/>
              <w:spacing w:after="0" w:line="252" w:lineRule="auto"/>
            </w:pPr>
            <w:r>
              <w:rPr>
                <w:b w:val="0"/>
                <w:sz w:val="20"/>
              </w:rPr>
              <w:t>57.8</w:t>
            </w:r>
          </w:p>
        </w:tc>
        <w:tc>
          <w:tcPr>
            <w:tcW w:type="dxa" w:w="1656"/>
            <w:vAlign w:val="center"/>
            <w:tcMar>
              <w:top w:w="85" w:type="dxa"/>
              <w:bottom w:w="85" w:type="dxa"/>
              <w:left w:w="90" w:type="dxa"/>
              <w:right w:w="90" w:type="dxa"/>
            </w:tcMar>
          </w:tcPr>
          <w:p>
            <w:pPr>
              <w:keepLines/>
              <w:spacing w:after="0" w:line="252" w:lineRule="auto"/>
            </w:pPr>
            <w:r>
              <w:rPr>
                <w:b w:val="0"/>
                <w:sz w:val="20"/>
              </w:rPr>
              <w:t>1.91</w:t>
            </w:r>
          </w:p>
        </w:tc>
        <w:tc>
          <w:tcPr>
            <w:tcW w:type="dxa" w:w="1656"/>
            <w:vAlign w:val="center"/>
            <w:tcMar>
              <w:top w:w="85" w:type="dxa"/>
              <w:bottom w:w="85" w:type="dxa"/>
              <w:left w:w="90" w:type="dxa"/>
              <w:right w:w="90" w:type="dxa"/>
            </w:tcMar>
          </w:tcPr>
          <w:p>
            <w:pPr>
              <w:keepLines/>
              <w:spacing w:after="0" w:line="252" w:lineRule="auto"/>
            </w:pPr>
            <w:r>
              <w:rPr>
                <w:b w:val="0"/>
                <w:sz w:val="20"/>
              </w:rPr>
              <w:t>7.16</w:t>
            </w:r>
          </w:p>
        </w:tc>
        <w:tc>
          <w:tcPr>
            <w:tcW w:type="dxa" w:w="2376"/>
            <w:vAlign w:val="center"/>
            <w:tcMar>
              <w:top w:w="85" w:type="dxa"/>
              <w:bottom w:w="85" w:type="dxa"/>
              <w:left w:w="90" w:type="dxa"/>
              <w:right w:w="90" w:type="dxa"/>
            </w:tcMar>
          </w:tcPr>
          <w:p>
            <w:pPr>
              <w:keepLines/>
              <w:spacing w:after="0" w:line="252" w:lineRule="auto"/>
            </w:pPr>
            <w:r>
              <w:rPr>
                <w:b w:val="0"/>
                <w:sz w:val="20"/>
              </w:rPr>
              <w:t>264.8</w:t>
            </w:r>
          </w:p>
        </w:tc>
      </w:tr>
      <w:tr>
        <w:trPr>
          <w:cantSplit/>
        </w:trPr>
        <w:tc>
          <w:tcPr>
            <w:tcW w:type="dxa" w:w="1584"/>
            <w:vAlign w:val="center"/>
            <w:tcMar>
              <w:top w:w="85" w:type="dxa"/>
              <w:bottom w:w="85" w:type="dxa"/>
              <w:left w:w="90" w:type="dxa"/>
              <w:right w:w="90" w:type="dxa"/>
            </w:tcMar>
          </w:tcPr>
          <w:p>
            <w:pPr>
              <w:keepLines/>
              <w:spacing w:after="0" w:line="252" w:lineRule="auto"/>
            </w:pPr>
            <w:r>
              <w:rPr>
                <w:b w:val="0"/>
                <w:sz w:val="20"/>
              </w:rPr>
              <w:t>Reference: 90 s</w:t>
            </w:r>
          </w:p>
        </w:tc>
        <w:tc>
          <w:tcPr>
            <w:tcW w:type="dxa" w:w="1296"/>
            <w:vAlign w:val="center"/>
            <w:tcMar>
              <w:top w:w="85" w:type="dxa"/>
              <w:bottom w:w="85" w:type="dxa"/>
              <w:left w:w="90" w:type="dxa"/>
              <w:right w:w="90" w:type="dxa"/>
            </w:tcMar>
          </w:tcPr>
          <w:p>
            <w:pPr>
              <w:keepLines/>
              <w:spacing w:after="0" w:line="252" w:lineRule="auto"/>
            </w:pPr>
            <w:r>
              <w:rPr>
                <w:b w:val="0"/>
                <w:sz w:val="20"/>
              </w:rPr>
              <w:t>0.8 / 0.8</w:t>
            </w:r>
          </w:p>
        </w:tc>
        <w:tc>
          <w:tcPr>
            <w:tcW w:type="dxa" w:w="1224"/>
            <w:vAlign w:val="center"/>
            <w:tcMar>
              <w:top w:w="85" w:type="dxa"/>
              <w:bottom w:w="85" w:type="dxa"/>
              <w:left w:w="90" w:type="dxa"/>
              <w:right w:w="90" w:type="dxa"/>
            </w:tcMar>
          </w:tcPr>
          <w:p>
            <w:pPr>
              <w:keepLines/>
              <w:spacing w:after="0" w:line="252" w:lineRule="auto"/>
            </w:pPr>
            <w:r>
              <w:rPr>
                <w:b w:val="0"/>
                <w:sz w:val="20"/>
              </w:rPr>
              <w:t>55.4</w:t>
            </w:r>
          </w:p>
        </w:tc>
        <w:tc>
          <w:tcPr>
            <w:tcW w:type="dxa" w:w="1656"/>
            <w:vAlign w:val="center"/>
            <w:tcMar>
              <w:top w:w="85" w:type="dxa"/>
              <w:bottom w:w="85" w:type="dxa"/>
              <w:left w:w="90" w:type="dxa"/>
              <w:right w:w="90" w:type="dxa"/>
            </w:tcMar>
          </w:tcPr>
          <w:p>
            <w:pPr>
              <w:keepLines/>
              <w:spacing w:after="0" w:line="252" w:lineRule="auto"/>
            </w:pPr>
            <w:r>
              <w:rPr>
                <w:b w:val="0"/>
                <w:sz w:val="20"/>
              </w:rPr>
              <w:t>2.35</w:t>
            </w:r>
          </w:p>
        </w:tc>
        <w:tc>
          <w:tcPr>
            <w:tcW w:type="dxa" w:w="1656"/>
            <w:vAlign w:val="center"/>
            <w:tcMar>
              <w:top w:w="85" w:type="dxa"/>
              <w:bottom w:w="85" w:type="dxa"/>
              <w:left w:w="90" w:type="dxa"/>
              <w:right w:w="90" w:type="dxa"/>
            </w:tcMar>
          </w:tcPr>
          <w:p>
            <w:pPr>
              <w:keepLines/>
              <w:spacing w:after="0" w:line="252" w:lineRule="auto"/>
            </w:pPr>
            <w:r>
              <w:rPr>
                <w:b w:val="0"/>
                <w:sz w:val="20"/>
              </w:rPr>
              <w:t>6.47</w:t>
            </w:r>
          </w:p>
        </w:tc>
        <w:tc>
          <w:tcPr>
            <w:tcW w:type="dxa" w:w="2376"/>
            <w:vAlign w:val="center"/>
            <w:tcMar>
              <w:top w:w="85" w:type="dxa"/>
              <w:bottom w:w="85" w:type="dxa"/>
              <w:left w:w="90" w:type="dxa"/>
              <w:right w:w="90" w:type="dxa"/>
            </w:tcMar>
          </w:tcPr>
          <w:p>
            <w:pPr>
              <w:keepLines/>
              <w:spacing w:after="0" w:line="252" w:lineRule="auto"/>
            </w:pPr>
            <w:r>
              <w:rPr>
                <w:b w:val="0"/>
                <w:sz w:val="20"/>
              </w:rPr>
              <w:t>185.7</w:t>
            </w:r>
          </w:p>
        </w:tc>
      </w:tr>
      <w:tr>
        <w:trPr>
          <w:cantSplit/>
        </w:trPr>
        <w:tc>
          <w:tcPr>
            <w:tcW w:type="dxa" w:w="1584"/>
            <w:vAlign w:val="center"/>
            <w:tcMar>
              <w:top w:w="85" w:type="dxa"/>
              <w:bottom w:w="85" w:type="dxa"/>
              <w:left w:w="90" w:type="dxa"/>
              <w:right w:w="90" w:type="dxa"/>
            </w:tcMar>
          </w:tcPr>
          <w:p>
            <w:pPr>
              <w:keepLines/>
              <w:spacing w:after="0" w:line="252" w:lineRule="auto"/>
            </w:pPr>
            <w:r>
              <w:rPr>
                <w:b w:val="0"/>
                <w:sz w:val="20"/>
              </w:rPr>
              <w:t>Shorter winding: 90 s</w:t>
            </w:r>
          </w:p>
        </w:tc>
        <w:tc>
          <w:tcPr>
            <w:tcW w:type="dxa" w:w="1296"/>
            <w:vAlign w:val="center"/>
            <w:tcMar>
              <w:top w:w="85" w:type="dxa"/>
              <w:bottom w:w="85" w:type="dxa"/>
              <w:left w:w="90" w:type="dxa"/>
              <w:right w:w="90" w:type="dxa"/>
            </w:tcMar>
          </w:tcPr>
          <w:p>
            <w:pPr>
              <w:keepLines/>
              <w:spacing w:after="0" w:line="252" w:lineRule="auto"/>
            </w:pPr>
            <w:r>
              <w:rPr>
                <w:b w:val="0"/>
                <w:sz w:val="20"/>
              </w:rPr>
              <w:t>1.0 / 0.8</w:t>
            </w:r>
          </w:p>
        </w:tc>
        <w:tc>
          <w:tcPr>
            <w:tcW w:type="dxa" w:w="1224"/>
            <w:vAlign w:val="center"/>
            <w:tcMar>
              <w:top w:w="85" w:type="dxa"/>
              <w:bottom w:w="85" w:type="dxa"/>
              <w:left w:w="90" w:type="dxa"/>
              <w:right w:w="90" w:type="dxa"/>
            </w:tcMar>
          </w:tcPr>
          <w:p>
            <w:pPr>
              <w:keepLines/>
              <w:spacing w:after="0" w:line="252" w:lineRule="auto"/>
            </w:pPr>
            <w:r>
              <w:rPr>
                <w:b w:val="0"/>
                <w:sz w:val="20"/>
              </w:rPr>
              <w:t>54.4</w:t>
            </w:r>
          </w:p>
        </w:tc>
        <w:tc>
          <w:tcPr>
            <w:tcW w:type="dxa" w:w="1656"/>
            <w:vAlign w:val="center"/>
            <w:tcMar>
              <w:top w:w="85" w:type="dxa"/>
              <w:bottom w:w="85" w:type="dxa"/>
              <w:left w:w="90" w:type="dxa"/>
              <w:right w:w="90" w:type="dxa"/>
            </w:tcMar>
          </w:tcPr>
          <w:p>
            <w:pPr>
              <w:keepLines/>
              <w:spacing w:after="0" w:line="252" w:lineRule="auto"/>
            </w:pPr>
            <w:r>
              <w:rPr>
                <w:b w:val="0"/>
                <w:sz w:val="20"/>
              </w:rPr>
              <w:t>2.78</w:t>
            </w:r>
          </w:p>
        </w:tc>
        <w:tc>
          <w:tcPr>
            <w:tcW w:type="dxa" w:w="1656"/>
            <w:vAlign w:val="center"/>
            <w:tcMar>
              <w:top w:w="85" w:type="dxa"/>
              <w:bottom w:w="85" w:type="dxa"/>
              <w:left w:w="90" w:type="dxa"/>
              <w:right w:w="90" w:type="dxa"/>
            </w:tcMar>
          </w:tcPr>
          <w:p>
            <w:pPr>
              <w:keepLines/>
              <w:spacing w:after="0" w:line="252" w:lineRule="auto"/>
            </w:pPr>
            <w:r>
              <w:rPr>
                <w:b w:val="0"/>
                <w:sz w:val="20"/>
              </w:rPr>
              <w:t>6.16</w:t>
            </w:r>
          </w:p>
        </w:tc>
        <w:tc>
          <w:tcPr>
            <w:tcW w:type="dxa" w:w="2376"/>
            <w:vAlign w:val="center"/>
            <w:tcMar>
              <w:top w:w="85" w:type="dxa"/>
              <w:bottom w:w="85" w:type="dxa"/>
              <w:left w:w="90" w:type="dxa"/>
              <w:right w:w="90" w:type="dxa"/>
            </w:tcMar>
          </w:tcPr>
          <w:p>
            <w:pPr>
              <w:keepLines/>
              <w:spacing w:after="0" w:line="252" w:lineRule="auto"/>
            </w:pPr>
            <w:r>
              <w:rPr>
                <w:b w:val="0"/>
                <w:sz w:val="20"/>
              </w:rPr>
              <w:t>153.1</w:t>
            </w:r>
          </w:p>
        </w:tc>
      </w:tr>
      <w:tr>
        <w:trPr>
          <w:cantSplit/>
        </w:trPr>
        <w:tc>
          <w:tcPr>
            <w:tcW w:type="dxa" w:w="1584"/>
            <w:vAlign w:val="center"/>
            <w:tcMar>
              <w:top w:w="85" w:type="dxa"/>
              <w:bottom w:w="85" w:type="dxa"/>
              <w:left w:w="90" w:type="dxa"/>
              <w:right w:w="90" w:type="dxa"/>
            </w:tcMar>
          </w:tcPr>
          <w:p>
            <w:pPr>
              <w:keepLines/>
              <w:spacing w:after="0" w:line="252" w:lineRule="auto"/>
            </w:pPr>
            <w:r>
              <w:rPr>
                <w:b w:val="0"/>
                <w:sz w:val="20"/>
              </w:rPr>
              <w:t>Economy: 100 s</w:t>
            </w:r>
          </w:p>
        </w:tc>
        <w:tc>
          <w:tcPr>
            <w:tcW w:type="dxa" w:w="1296"/>
            <w:vAlign w:val="center"/>
            <w:tcMar>
              <w:top w:w="85" w:type="dxa"/>
              <w:bottom w:w="85" w:type="dxa"/>
              <w:left w:w="90" w:type="dxa"/>
              <w:right w:w="90" w:type="dxa"/>
            </w:tcMar>
          </w:tcPr>
          <w:p>
            <w:pPr>
              <w:keepLines/>
              <w:spacing w:after="0" w:line="252" w:lineRule="auto"/>
            </w:pPr>
            <w:r>
              <w:rPr>
                <w:b w:val="0"/>
                <w:sz w:val="20"/>
              </w:rPr>
              <w:t>0.8 / 0.8</w:t>
            </w:r>
          </w:p>
        </w:tc>
        <w:tc>
          <w:tcPr>
            <w:tcW w:type="dxa" w:w="1224"/>
            <w:vAlign w:val="center"/>
            <w:tcMar>
              <w:top w:w="85" w:type="dxa"/>
              <w:bottom w:w="85" w:type="dxa"/>
              <w:left w:w="90" w:type="dxa"/>
              <w:right w:w="90" w:type="dxa"/>
            </w:tcMar>
          </w:tcPr>
          <w:p>
            <w:pPr>
              <w:keepLines/>
              <w:spacing w:after="0" w:line="252" w:lineRule="auto"/>
            </w:pPr>
            <w:r>
              <w:rPr>
                <w:b w:val="0"/>
                <w:sz w:val="20"/>
              </w:rPr>
              <w:t>48.7</w:t>
            </w:r>
          </w:p>
        </w:tc>
        <w:tc>
          <w:tcPr>
            <w:tcW w:type="dxa" w:w="1656"/>
            <w:vAlign w:val="center"/>
            <w:tcMar>
              <w:top w:w="85" w:type="dxa"/>
              <w:bottom w:w="85" w:type="dxa"/>
              <w:left w:w="90" w:type="dxa"/>
              <w:right w:w="90" w:type="dxa"/>
            </w:tcMar>
          </w:tcPr>
          <w:p>
            <w:pPr>
              <w:keepLines/>
              <w:spacing w:after="0" w:line="252" w:lineRule="auto"/>
            </w:pPr>
            <w:r>
              <w:rPr>
                <w:b w:val="0"/>
                <w:sz w:val="20"/>
              </w:rPr>
              <w:t>2.04</w:t>
            </w:r>
          </w:p>
        </w:tc>
        <w:tc>
          <w:tcPr>
            <w:tcW w:type="dxa" w:w="1656"/>
            <w:vAlign w:val="center"/>
            <w:tcMar>
              <w:top w:w="85" w:type="dxa"/>
              <w:bottom w:w="85" w:type="dxa"/>
              <w:left w:w="90" w:type="dxa"/>
              <w:right w:w="90" w:type="dxa"/>
            </w:tcMar>
          </w:tcPr>
          <w:p>
            <w:pPr>
              <w:keepLines/>
              <w:spacing w:after="0" w:line="252" w:lineRule="auto"/>
            </w:pPr>
            <w:r>
              <w:rPr>
                <w:b w:val="0"/>
                <w:sz w:val="20"/>
              </w:rPr>
              <w:t>5.00</w:t>
            </w:r>
          </w:p>
        </w:tc>
        <w:tc>
          <w:tcPr>
            <w:tcW w:type="dxa" w:w="2376"/>
            <w:vAlign w:val="center"/>
            <w:tcMar>
              <w:top w:w="85" w:type="dxa"/>
              <w:bottom w:w="85" w:type="dxa"/>
              <w:left w:w="90" w:type="dxa"/>
              <w:right w:w="90" w:type="dxa"/>
            </w:tcMar>
          </w:tcPr>
          <w:p>
            <w:pPr>
              <w:keepLines/>
              <w:spacing w:after="0" w:line="252" w:lineRule="auto"/>
            </w:pPr>
            <w:r>
              <w:rPr>
                <w:b w:val="0"/>
                <w:sz w:val="20"/>
              </w:rPr>
              <w:t>120.5</w:t>
            </w:r>
          </w:p>
        </w:tc>
      </w:tr>
    </w:tbl>
    <w:p>
      <w:pPr>
        <w:spacing w:after="40"/>
      </w:pPr>
    </w:p>
    <w:p>
      <w:pPr/>
      <w:r>
        <w:rPr>
          <w:b w:val="0"/>
        </w:rPr>
        <w:t>Winding minima assume six 12 m magnetic bands and 4 kN/m equivalent train-envelope overlap force density, with no engineering reserve. They do not establish feasible voltage, phase current, losses or fault performance. The 70 s case is feasible only with 1 m/s² braking among the cases shown and approaches the 80 km/h limit. The 90 s reference divides into 20.67 s launch over 159.81 m, 52.21 s coast over 732.03 m, and 17.12 s braking over 108.16 m. It enters braking at about 45.7 km/h.</w:t>
      </w:r>
    </w:p>
    <w:p>
      <w:pPr/>
      <w:r>
        <w:rPr>
          <w:b w:val="0"/>
        </w:rPr>
        <w:t>Reducing acceleration from 0.8 to 0.6 m/s² while preserving the 90 s trip lowers peak motoring power by 18.7% but increases the minimum winding by 42.6%. Preserving the time forces the gently accelerating train to reach a higher speed. Increasing acceleration to 1.0 m/s² cuts winding length to 153 m but raises power. Extending the trip to 100 s cuts the reference winding minimum by 35% and launch input by 23%, at the expense of journey time and timetable margin. These are coupled choices to price, not automatic savings from a lower power rating.</w:t>
      </w:r>
    </w:p>
    <w:p>
      <w:pPr>
        <w:keepNext/>
      </w:pPr>
      <w:r>
        <w:drawing>
          <wp:inline xmlns:a="http://schemas.openxmlformats.org/drawingml/2006/main" xmlns:pic="http://schemas.openxmlformats.org/drawingml/2006/picture">
            <wp:extent cx="6217920" cy="4119372"/>
            <wp:docPr id="1" name="Picture 1"/>
            <wp:cNvGraphicFramePr>
              <a:graphicFrameLocks noChangeAspect="1"/>
            </wp:cNvGraphicFramePr>
            <a:graphic>
              <a:graphicData uri="http://schemas.openxmlformats.org/drawingml/2006/picture">
                <pic:pic>
                  <pic:nvPicPr>
                    <pic:cNvPr id="0" name="launch_power_profile.png"/>
                    <pic:cNvPicPr/>
                  </pic:nvPicPr>
                  <pic:blipFill>
                    <a:blip r:embed="rId10"/>
                    <a:stretch>
                      <a:fillRect/>
                    </a:stretch>
                  </pic:blipFill>
                  <pic:spPr>
                    <a:xfrm>
                      <a:off x="0" y="0"/>
                      <a:ext cx="6217920" cy="4119372"/>
                    </a:xfrm>
                    <a:prstGeom prst="rect"/>
                  </pic:spPr>
                </pic:pic>
              </a:graphicData>
            </a:graphic>
          </wp:inline>
        </w:drawing>
      </w:r>
    </w:p>
    <w:p>
      <w:pPr/>
      <w:r>
        <w:rPr>
          <w:b w:val="0"/>
          <w:sz w:val="20"/>
        </w:rPr>
        <w:t>Jerk-limited 90 s reference under the stated flat-route resistance, 157.2 t loaded mass and 85% motoring/generating conversion assumption. Power is traction only: the 360 kW hot-weather onboard services load continues during coasting and is supplied from the services battery.</w:t>
      </w:r>
    </w:p>
    <w:p>
      <w:pPr>
        <w:pStyle w:val="Heading2"/>
      </w:pPr>
      <w:r>
        <w:t>Partial overlap and the force-density trade</w:t>
      </w:r>
    </w:p>
    <w:p>
      <w:pPr/>
      <w:r>
        <w:rPr>
          <w:b w:val="0"/>
        </w:rPr>
        <w:t>A long magnet array does not need every magnet to be over energized track at once. Define the train front x relative to the stopping marker, train envelope [x−L,x], and a fixed winding [A,B]. At each point the motor must obtain the required force from the actual magnetic area overlapping that winding. The calculation scans six separate 12 m bands, including the 5.5 m nonmagnetic gaps between them. It sizes the same winding for arrival and departure, avoiding a double count of the platform section.</w:t>
      </w:r>
    </w:p>
    <w:p>
      <w:pPr/>
      <w:r>
        <w:rPr>
          <w:b w:val="0"/>
        </w:rPr>
        <w:t>For the reference trajectory, full engagement requires [−212.66,+159.81] m, or 372.47 m. The assumed 4 kN/m design can instead use a calculated [−120.93,+64.73] m minimum. A rounded [−125,+75] m zone is 200 m long. This geometry has only 17.8% minimum braking-force reserve in the simplified model; a full 20% reserve during both phases needs 205.38 m before rounding and other margins. Compare 200, 212.5 and 225 m layouts, and repeat the force/voltage/thermal/failure checks for the actual cassette positions.</w:t>
      </w:r>
    </w:p>
    <w:p>
      <w:pPr>
        <w:keepNext/>
      </w:pPr>
      <w:r>
        <w:drawing>
          <wp:inline xmlns:a="http://schemas.openxmlformats.org/drawingml/2006/main" xmlns:pic="http://schemas.openxmlformats.org/drawingml/2006/picture">
            <wp:extent cx="6217920" cy="2875788"/>
            <wp:docPr id="2" name="Picture 2"/>
            <wp:cNvGraphicFramePr>
              <a:graphicFrameLocks noChangeAspect="1"/>
            </wp:cNvGraphicFramePr>
            <a:graphic>
              <a:graphicData uri="http://schemas.openxmlformats.org/drawingml/2006/picture">
                <pic:pic>
                  <pic:nvPicPr>
                    <pic:cNvPr id="0" name="launch_zone_geometry.png"/>
                    <pic:cNvPicPr/>
                  </pic:nvPicPr>
                  <pic:blipFill>
                    <a:blip r:embed="rId11"/>
                    <a:stretch>
                      <a:fillRect/>
                    </a:stretch>
                  </pic:blipFill>
                  <pic:spPr>
                    <a:xfrm>
                      <a:off x="0" y="0"/>
                      <a:ext cx="6217920" cy="2875788"/>
                    </a:xfrm>
                    <a:prstGeom prst="rect"/>
                  </pic:spPr>
                </pic:pic>
              </a:graphicData>
            </a:graphic>
          </wp:inline>
        </w:drawing>
      </w:r>
    </w:p>
    <w:p>
      <w:pPr/>
      <w:r>
        <w:rPr>
          <w:b w:val="0"/>
          <w:sz w:val="20"/>
        </w:rPr>
        <w:t>Calculated geometry comparison for the 90 s reference. The green 200 m costing zone contains sixteen 12.5 m addressable sections per direction; these are not necessarily sixteen inverter channels. The assumed twelve-metre magnetic bands are shown in brown. This is an overlap study, not a construction drawing or validated force-margin design.</w:t>
      </w:r>
    </w:p>
    <w:p>
      <w:pPr/>
      <w:r>
        <w:rPr>
          <w:b w:val="0"/>
        </w:rPr>
        <w:t>The idealized current-sheet screen is F ≈ 0.5 B₁,peak K₁,peak Aactive cosδ. Here B₁ is the peak fundamental of the magnetic-field component normal to the motor face, varying periodically along the direction of travel. It is neither ferrite remanence nor the equivalent support field. K₁ is the fundamental current loading, not a coil current in amperes. For a combined face width of 1 m and 72/104.5 magnetic fill: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3888"/>
      </w:tblGrid>
      <w:tr>
        <w:trPr>
          <w:cantSplit/>
          <w:tblHeader/>
        </w:trPr>
        <w:tc>
          <w:tcPr>
            <w:tcW w:type="dxa" w:w="3024"/>
            <w:vAlign w:val="center"/>
            <w:tcMar>
              <w:top w:w="85" w:type="dxa"/>
              <w:bottom w:w="85" w:type="dxa"/>
              <w:left w:w="90" w:type="dxa"/>
              <w:right w:w="90" w:type="dxa"/>
            </w:tcMar>
            <w:shd w:fill="F2F2F2"/>
          </w:tcPr>
          <w:p>
            <w:pPr>
              <w:keepNext/>
              <w:keepLines/>
              <w:spacing w:after="0" w:line="252" w:lineRule="auto"/>
            </w:pPr>
            <w:r>
              <w:rPr>
                <w:b/>
                <w:sz w:val="20"/>
              </w:rPr>
              <w:t>Equivalent overlap force</w:t>
            </w:r>
          </w:p>
        </w:tc>
        <w:tc>
          <w:tcPr>
            <w:tcW w:type="dxa" w:w="2880"/>
            <w:vAlign w:val="center"/>
            <w:tcMar>
              <w:top w:w="85" w:type="dxa"/>
              <w:bottom w:w="85" w:type="dxa"/>
              <w:left w:w="90" w:type="dxa"/>
              <w:right w:w="90" w:type="dxa"/>
            </w:tcMar>
            <w:shd w:fill="F2F2F2"/>
          </w:tcPr>
          <w:p>
            <w:pPr>
              <w:keepNext/>
              <w:keepLines/>
              <w:spacing w:after="0" w:line="252" w:lineRule="auto"/>
            </w:pPr>
            <w:r>
              <w:rPr>
                <w:b/>
                <w:sz w:val="20"/>
              </w:rPr>
              <w:t>Six-band winding minimum</w:t>
            </w:r>
          </w:p>
        </w:tc>
        <w:tc>
          <w:tcPr>
            <w:tcW w:type="dxa" w:w="3888"/>
            <w:vAlign w:val="center"/>
            <w:tcMar>
              <w:top w:w="85" w:type="dxa"/>
              <w:bottom w:w="85" w:type="dxa"/>
              <w:left w:w="90" w:type="dxa"/>
              <w:right w:w="90" w:type="dxa"/>
            </w:tcMar>
            <w:shd w:fill="F2F2F2"/>
          </w:tcPr>
          <w:p>
            <w:pPr>
              <w:keepNext/>
              <w:keepLines/>
              <w:spacing w:after="0" w:line="252" w:lineRule="auto"/>
            </w:pPr>
            <w:r>
              <w:rPr>
                <w:b/>
                <w:sz w:val="20"/>
              </w:rPr>
              <w:t>Current loading at assumed B₁ = 0.20 T</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2 kN per envelope-metre</w:t>
            </w:r>
          </w:p>
        </w:tc>
        <w:tc>
          <w:tcPr>
            <w:tcW w:type="dxa" w:w="2880"/>
            <w:vAlign w:val="center"/>
            <w:tcMar>
              <w:top w:w="85" w:type="dxa"/>
              <w:bottom w:w="85" w:type="dxa"/>
              <w:left w:w="90" w:type="dxa"/>
              <w:right w:w="90" w:type="dxa"/>
            </w:tcMar>
          </w:tcPr>
          <w:p>
            <w:pPr>
              <w:keepLines/>
              <w:spacing w:after="0" w:line="252" w:lineRule="auto"/>
            </w:pPr>
            <w:r>
              <w:rPr>
                <w:b w:val="0"/>
                <w:sz w:val="20"/>
              </w:rPr>
              <w:t>251.1 m</w:t>
            </w:r>
          </w:p>
        </w:tc>
        <w:tc>
          <w:tcPr>
            <w:tcW w:type="dxa" w:w="3888"/>
            <w:vAlign w:val="center"/>
            <w:tcMar>
              <w:top w:w="85" w:type="dxa"/>
              <w:bottom w:w="85" w:type="dxa"/>
              <w:left w:w="90" w:type="dxa"/>
              <w:right w:w="90" w:type="dxa"/>
            </w:tcMar>
          </w:tcPr>
          <w:p>
            <w:pPr>
              <w:keepLines/>
              <w:spacing w:after="0" w:line="252" w:lineRule="auto"/>
            </w:pPr>
            <w:r>
              <w:rPr>
                <w:b w:val="0"/>
                <w:sz w:val="20"/>
              </w:rPr>
              <w:t>29 kA/m peak</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4 kN per envelope-metre</w:t>
            </w:r>
          </w:p>
        </w:tc>
        <w:tc>
          <w:tcPr>
            <w:tcW w:type="dxa" w:w="2880"/>
            <w:vAlign w:val="center"/>
            <w:tcMar>
              <w:top w:w="85" w:type="dxa"/>
              <w:bottom w:w="85" w:type="dxa"/>
              <w:left w:w="90" w:type="dxa"/>
              <w:right w:w="90" w:type="dxa"/>
            </w:tcMar>
          </w:tcPr>
          <w:p>
            <w:pPr>
              <w:keepLines/>
              <w:spacing w:after="0" w:line="252" w:lineRule="auto"/>
            </w:pPr>
            <w:r>
              <w:rPr>
                <w:b w:val="0"/>
                <w:sz w:val="20"/>
              </w:rPr>
              <w:t>185.7 m</w:t>
            </w:r>
          </w:p>
        </w:tc>
        <w:tc>
          <w:tcPr>
            <w:tcW w:type="dxa" w:w="3888"/>
            <w:vAlign w:val="center"/>
            <w:tcMar>
              <w:top w:w="85" w:type="dxa"/>
              <w:bottom w:w="85" w:type="dxa"/>
              <w:left w:w="90" w:type="dxa"/>
              <w:right w:w="90" w:type="dxa"/>
            </w:tcMar>
          </w:tcPr>
          <w:p>
            <w:pPr>
              <w:keepLines/>
              <w:spacing w:after="0" w:line="252" w:lineRule="auto"/>
            </w:pPr>
            <w:r>
              <w:rPr>
                <w:b w:val="0"/>
                <w:sz w:val="20"/>
              </w:rPr>
              <w:t>58 kA/m peak</w:t>
            </w:r>
          </w:p>
        </w:tc>
      </w:tr>
      <w:tr>
        <w:trPr>
          <w:cantSplit/>
        </w:trPr>
        <w:tc>
          <w:tcPr>
            <w:tcW w:type="dxa" w:w="3024"/>
            <w:vAlign w:val="center"/>
            <w:tcMar>
              <w:top w:w="85" w:type="dxa"/>
              <w:bottom w:w="85" w:type="dxa"/>
              <w:left w:w="90" w:type="dxa"/>
              <w:right w:w="90" w:type="dxa"/>
            </w:tcMar>
          </w:tcPr>
          <w:p>
            <w:pPr>
              <w:keepLines/>
              <w:spacing w:after="0" w:line="252" w:lineRule="auto"/>
            </w:pPr>
            <w:r>
              <w:rPr>
                <w:b w:val="0"/>
                <w:sz w:val="20"/>
              </w:rPr>
              <w:t>6 kN per envelope-metre</w:t>
            </w:r>
          </w:p>
        </w:tc>
        <w:tc>
          <w:tcPr>
            <w:tcW w:type="dxa" w:w="2880"/>
            <w:vAlign w:val="center"/>
            <w:tcMar>
              <w:top w:w="85" w:type="dxa"/>
              <w:bottom w:w="85" w:type="dxa"/>
              <w:left w:w="90" w:type="dxa"/>
              <w:right w:w="90" w:type="dxa"/>
            </w:tcMar>
          </w:tcPr>
          <w:p>
            <w:pPr>
              <w:keepLines/>
              <w:spacing w:after="0" w:line="252" w:lineRule="auto"/>
            </w:pPr>
            <w:r>
              <w:rPr>
                <w:b w:val="0"/>
                <w:sz w:val="20"/>
              </w:rPr>
              <w:t>172.6 m</w:t>
            </w:r>
          </w:p>
        </w:tc>
        <w:tc>
          <w:tcPr>
            <w:tcW w:type="dxa" w:w="3888"/>
            <w:vAlign w:val="center"/>
            <w:tcMar>
              <w:top w:w="85" w:type="dxa"/>
              <w:bottom w:w="85" w:type="dxa"/>
              <w:left w:w="90" w:type="dxa"/>
              <w:right w:w="90" w:type="dxa"/>
            </w:tcMar>
          </w:tcPr>
          <w:p>
            <w:pPr>
              <w:keepLines/>
              <w:spacing w:after="0" w:line="252" w:lineRule="auto"/>
            </w:pPr>
            <w:r>
              <w:rPr>
                <w:b w:val="0"/>
                <w:sz w:val="20"/>
              </w:rPr>
              <w:t>87 kA/m peak</w:t>
            </w:r>
          </w:p>
        </w:tc>
      </w:tr>
    </w:tbl>
    <w:p>
      <w:pPr>
        <w:spacing w:after="40"/>
      </w:pPr>
    </w:p>
    <w:p>
      <w:pPr/>
      <w:r>
        <w:rPr>
          <w:b w:val="0"/>
        </w:rPr>
        <w:t>Increasing current loading by 50% from the middle to the high case saves only about 13 m of winding. The longer, lower-current option therefore deserves a real price comparison. With only 0.5 m combined face width these current loadings double. Saturation, armature reaction, end effects, phase registration and suspension interaction remain outside this simple force screen.</w:t>
      </w:r>
    </w:p>
    <w:p>
      <w:pPr/>
      <w:r>
        <w:rPr>
          <w:b w:val="0"/>
        </w:rPr>
        <w:t>A conductor-volume screen also prevents unrealistically cheap coils. At 58 kA/m, energized RMS conductor current density of 10 A/mm², winding factor 0.9 and end-turn factors of 1.3–1.6, the idealized estimate is about 53–65 kg of copper per direction-metre, both faces combined. Four hundred direction-metres imply roughly 21–26 t. This is not a wound-coil BOM; the actual slot layout can change it substantially, and the high on-current density requires repeated-duty thermal proof. Under a purely assumed USD 10/kg copper price, copper alone would already represent about USD 530–650/m. Supplier prices and detailed manufacturing must replace this illustrative check.</w:t>
      </w:r>
    </w:p>
    <w:p>
      <w:pPr>
        <w:pStyle w:val="Heading2"/>
      </w:pPr>
      <w:r>
        <w:t>Power hardware: start with the smallest justified complexity</w:t>
      </w:r>
    </w:p>
    <w:p>
      <w:pPr/>
      <w:r>
        <w:rPr>
          <w:b w:val="0"/>
        </w:rPr>
        <w:t>Use a transformer/rectifier, protected common DC bus, independently controlled motor bridges, and a brake chopper/resistor. Industrial multidrive components provide this basic architecture. A 690 V-class supply is worth comparing with 400 V to reduce bus/feeder current; select winding turns, parallel paths and insulation together with it. A 690 V rectified supply does not leave unlimited back-EMF or L·di/dt voltage margin. Begin with industrial IGBT hardware as a procurement baseline and compare SiC by installed losses/cooling/cost. [R50]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592"/>
        <w:gridCol w:w="4752"/>
      </w:tblGrid>
      <w:tr>
        <w:trPr>
          <w:cantSplit/>
          <w:tblHeader/>
        </w:trPr>
        <w:tc>
          <w:tcPr>
            <w:tcW w:type="dxa" w:w="2448"/>
            <w:vAlign w:val="center"/>
            <w:tcMar>
              <w:top w:w="85" w:type="dxa"/>
              <w:bottom w:w="85" w:type="dxa"/>
              <w:left w:w="90" w:type="dxa"/>
              <w:right w:w="90" w:type="dxa"/>
            </w:tcMar>
            <w:shd w:fill="F2F2F2"/>
          </w:tcPr>
          <w:p>
            <w:pPr>
              <w:keepNext/>
              <w:keepLines/>
              <w:spacing w:after="0" w:line="252" w:lineRule="auto"/>
            </w:pPr>
            <w:r>
              <w:rPr>
                <w:b/>
                <w:sz w:val="20"/>
              </w:rPr>
              <w:t>Converter arrangement</w:t>
            </w:r>
          </w:p>
        </w:tc>
        <w:tc>
          <w:tcPr>
            <w:tcW w:type="dxa" w:w="2592"/>
            <w:vAlign w:val="center"/>
            <w:tcMar>
              <w:top w:w="85" w:type="dxa"/>
              <w:bottom w:w="85" w:type="dxa"/>
              <w:left w:w="90" w:type="dxa"/>
              <w:right w:w="90" w:type="dxa"/>
            </w:tcMar>
            <w:shd w:fill="F2F2F2"/>
          </w:tcPr>
          <w:p>
            <w:pPr>
              <w:keepNext/>
              <w:keepLines/>
              <w:spacing w:after="0" w:line="252" w:lineRule="auto"/>
            </w:pPr>
            <w:r>
              <w:rPr>
                <w:b/>
                <w:sz w:val="20"/>
              </w:rPr>
              <w:t>Two-direction equipment count</w:t>
            </w:r>
          </w:p>
        </w:tc>
        <w:tc>
          <w:tcPr>
            <w:tcW w:type="dxa" w:w="4752"/>
            <w:vAlign w:val="center"/>
            <w:tcMar>
              <w:top w:w="85" w:type="dxa"/>
              <w:bottom w:w="85" w:type="dxa"/>
              <w:left w:w="90" w:type="dxa"/>
              <w:right w:w="90" w:type="dxa"/>
            </w:tcMar>
            <w:shd w:fill="F2F2F2"/>
          </w:tcPr>
          <w:p>
            <w:pPr>
              <w:keepNext/>
              <w:keepLines/>
              <w:spacing w:after="0" w:line="252" w:lineRule="auto"/>
            </w:pPr>
            <w:r>
              <w:rPr>
                <w:b/>
                <w:sz w:val="20"/>
              </w:rPr>
              <w:t>Principal unresolved trade</w:t>
            </w:r>
          </w:p>
        </w:tc>
      </w:tr>
      <w:tr>
        <w:trPr>
          <w:cantSplit/>
        </w:trPr>
        <w:tc>
          <w:tcPr>
            <w:tcW w:type="dxa" w:w="2448"/>
            <w:vAlign w:val="center"/>
            <w:tcMar>
              <w:top w:w="85" w:type="dxa"/>
              <w:bottom w:w="85" w:type="dxa"/>
              <w:left w:w="90" w:type="dxa"/>
              <w:right w:w="90" w:type="dxa"/>
            </w:tcMar>
          </w:tcPr>
          <w:p>
            <w:pPr>
              <w:keepLines/>
              <w:spacing w:after="0" w:line="252" w:lineRule="auto"/>
            </w:pPr>
            <w:r>
              <w:rPr>
                <w:b w:val="0"/>
                <w:sz w:val="20"/>
              </w:rPr>
              <w:t>A: one fixed zone per lane</w:t>
            </w:r>
          </w:p>
        </w:tc>
        <w:tc>
          <w:tcPr>
            <w:tcW w:type="dxa" w:w="2592"/>
            <w:vAlign w:val="center"/>
            <w:tcMar>
              <w:top w:w="85" w:type="dxa"/>
              <w:bottom w:w="85" w:type="dxa"/>
              <w:left w:w="90" w:type="dxa"/>
              <w:right w:w="90" w:type="dxa"/>
            </w:tcMar>
          </w:tcPr>
          <w:p>
            <w:pPr>
              <w:keepLines/>
              <w:spacing w:after="0" w:line="252" w:lineRule="auto"/>
            </w:pPr>
            <w:r>
              <w:rPr>
                <w:b w:val="0"/>
                <w:sz w:val="20"/>
              </w:rPr>
              <w:t>Two bridges; no output selectors</w:t>
            </w:r>
          </w:p>
        </w:tc>
        <w:tc>
          <w:tcPr>
            <w:tcW w:type="dxa" w:w="4752"/>
            <w:vAlign w:val="center"/>
            <w:tcMar>
              <w:top w:w="85" w:type="dxa"/>
              <w:bottom w:w="85" w:type="dxa"/>
              <w:left w:w="90" w:type="dxa"/>
              <w:right w:w="90" w:type="dxa"/>
            </w:tcMar>
          </w:tcPr>
          <w:p>
            <w:pPr>
              <w:keepLines/>
              <w:spacing w:after="0" w:line="252" w:lineRule="auto"/>
            </w:pPr>
            <w:r>
              <w:rPr>
                <w:b w:val="0"/>
                <w:sz w:val="20"/>
              </w:rPr>
              <w:t>Fewest connections; long energized winding can raise R/L, VA and exit losses</w:t>
            </w:r>
          </w:p>
        </w:tc>
      </w:tr>
      <w:tr>
        <w:trPr>
          <w:cantSplit/>
        </w:trPr>
        <w:tc>
          <w:tcPr>
            <w:tcW w:type="dxa" w:w="2448"/>
            <w:vAlign w:val="center"/>
            <w:tcMar>
              <w:top w:w="85" w:type="dxa"/>
              <w:bottom w:w="85" w:type="dxa"/>
              <w:left w:w="90" w:type="dxa"/>
              <w:right w:w="90" w:type="dxa"/>
            </w:tcMar>
          </w:tcPr>
          <w:p>
            <w:pPr>
              <w:keepLines/>
              <w:spacing w:after="0" w:line="252" w:lineRule="auto"/>
            </w:pPr>
            <w:r>
              <w:rPr>
                <w:b w:val="0"/>
                <w:sz w:val="20"/>
              </w:rPr>
              <w:t>B: two fixed groups per lane</w:t>
            </w:r>
          </w:p>
        </w:tc>
        <w:tc>
          <w:tcPr>
            <w:tcW w:type="dxa" w:w="2592"/>
            <w:vAlign w:val="center"/>
            <w:tcMar>
              <w:top w:w="85" w:type="dxa"/>
              <w:bottom w:w="85" w:type="dxa"/>
              <w:left w:w="90" w:type="dxa"/>
              <w:right w:w="90" w:type="dxa"/>
            </w:tcMar>
          </w:tcPr>
          <w:p>
            <w:pPr>
              <w:keepLines/>
              <w:spacing w:after="0" w:line="252" w:lineRule="auto"/>
            </w:pPr>
            <w:r>
              <w:rPr>
                <w:b w:val="0"/>
                <w:sz w:val="20"/>
              </w:rPr>
              <w:t>Four bridges; no output selectors</w:t>
            </w:r>
          </w:p>
        </w:tc>
        <w:tc>
          <w:tcPr>
            <w:tcW w:type="dxa" w:w="4752"/>
            <w:vAlign w:val="center"/>
            <w:tcMar>
              <w:top w:w="85" w:type="dxa"/>
              <w:bottom w:w="85" w:type="dxa"/>
              <w:left w:w="90" w:type="dxa"/>
              <w:right w:w="90" w:type="dxa"/>
            </w:tcMar>
          </w:tcPr>
          <w:p>
            <w:pPr>
              <w:keepLines/>
              <w:spacing w:after="0" w:line="252" w:lineRule="auto"/>
            </w:pPr>
            <w:r>
              <w:rPr>
                <w:b w:val="0"/>
                <w:sz w:val="20"/>
              </w:rPr>
              <w:t>Leading simple circuit study; each group can carry most of the train thrust during part of the motion</w:t>
            </w:r>
          </w:p>
        </w:tc>
      </w:tr>
      <w:tr>
        <w:trPr>
          <w:cantSplit/>
        </w:trPr>
        <w:tc>
          <w:tcPr>
            <w:tcW w:type="dxa" w:w="2448"/>
            <w:vAlign w:val="center"/>
            <w:tcMar>
              <w:top w:w="85" w:type="dxa"/>
              <w:bottom w:w="85" w:type="dxa"/>
              <w:left w:w="90" w:type="dxa"/>
              <w:right w:w="90" w:type="dxa"/>
            </w:tcMar>
          </w:tcPr>
          <w:p>
            <w:pPr>
              <w:keepLines/>
              <w:spacing w:after="0" w:line="252" w:lineRule="auto"/>
            </w:pPr>
            <w:r>
              <w:rPr>
                <w:b w:val="0"/>
                <w:sz w:val="20"/>
              </w:rPr>
              <w:t>C: routed 12.5 m sections</w:t>
            </w:r>
          </w:p>
        </w:tc>
        <w:tc>
          <w:tcPr>
            <w:tcW w:type="dxa" w:w="2592"/>
            <w:vAlign w:val="center"/>
            <w:tcMar>
              <w:top w:w="85" w:type="dxa"/>
              <w:bottom w:w="85" w:type="dxa"/>
              <w:left w:w="90" w:type="dxa"/>
              <w:right w:w="90" w:type="dxa"/>
            </w:tcMar>
          </w:tcPr>
          <w:p>
            <w:pPr>
              <w:keepLines/>
              <w:spacing w:after="0" w:line="252" w:lineRule="auto"/>
            </w:pPr>
            <w:r>
              <w:rPr>
                <w:b w:val="0"/>
                <w:sz w:val="20"/>
              </w:rPr>
              <w:t>Eight banks initially; possibly ten</w:t>
            </w:r>
          </w:p>
        </w:tc>
        <w:tc>
          <w:tcPr>
            <w:tcW w:type="dxa" w:w="4752"/>
            <w:vAlign w:val="center"/>
            <w:tcMar>
              <w:top w:w="85" w:type="dxa"/>
              <w:bottom w:w="85" w:type="dxa"/>
              <w:left w:w="90" w:type="dxa"/>
              <w:right w:w="90" w:type="dxa"/>
            </w:tcMar>
          </w:tcPr>
          <w:p>
            <w:pPr>
              <w:keepLines/>
              <w:spacing w:after="0" w:line="252" w:lineRule="auto"/>
            </w:pPr>
            <w:r>
              <w:rPr>
                <w:b w:val="0"/>
                <w:sz w:val="20"/>
              </w:rPr>
              <w:t>Less energized winding, but selectors and force-continuous handover must justify their cost</w:t>
            </w:r>
          </w:p>
        </w:tc>
      </w:tr>
      <w:tr>
        <w:trPr>
          <w:cantSplit/>
        </w:trPr>
        <w:tc>
          <w:tcPr>
            <w:tcW w:type="dxa" w:w="2448"/>
            <w:vAlign w:val="center"/>
            <w:tcMar>
              <w:top w:w="85" w:type="dxa"/>
              <w:bottom w:w="85" w:type="dxa"/>
              <w:left w:w="90" w:type="dxa"/>
              <w:right w:w="90" w:type="dxa"/>
            </w:tcMar>
          </w:tcPr>
          <w:p>
            <w:pPr>
              <w:keepLines/>
              <w:spacing w:after="0" w:line="252" w:lineRule="auto"/>
            </w:pPr>
            <w:r>
              <w:rPr>
                <w:b w:val="0"/>
                <w:sz w:val="20"/>
              </w:rPr>
              <w:t>D: independent short sections</w:t>
            </w:r>
          </w:p>
        </w:tc>
        <w:tc>
          <w:tcPr>
            <w:tcW w:type="dxa" w:w="2592"/>
            <w:vAlign w:val="center"/>
            <w:tcMar>
              <w:top w:w="85" w:type="dxa"/>
              <w:bottom w:w="85" w:type="dxa"/>
              <w:left w:w="90" w:type="dxa"/>
              <w:right w:w="90" w:type="dxa"/>
            </w:tcMar>
          </w:tcPr>
          <w:p>
            <w:pPr>
              <w:keepLines/>
              <w:spacing w:after="0" w:line="252" w:lineRule="auto"/>
            </w:pPr>
            <w:r>
              <w:rPr>
                <w:b w:val="0"/>
                <w:sz w:val="20"/>
              </w:rPr>
              <w:t>Thirty-two bridges</w:t>
            </w:r>
          </w:p>
        </w:tc>
        <w:tc>
          <w:tcPr>
            <w:tcW w:type="dxa" w:w="4752"/>
            <w:vAlign w:val="center"/>
            <w:tcMar>
              <w:top w:w="85" w:type="dxa"/>
              <w:bottom w:w="85" w:type="dxa"/>
              <w:left w:w="90" w:type="dxa"/>
              <w:right w:w="90" w:type="dxa"/>
            </w:tcMar>
          </w:tcPr>
          <w:p>
            <w:pPr>
              <w:keepLines/>
              <w:spacing w:after="0" w:line="252" w:lineRule="auto"/>
            </w:pPr>
            <w:r>
              <w:rPr>
                <w:b w:val="0"/>
                <w:sz w:val="20"/>
              </w:rPr>
              <w:t>Useful allocation/reference design; large inventory of usually idle power hardware</w:t>
            </w:r>
          </w:p>
        </w:tc>
      </w:tr>
    </w:tbl>
    <w:p>
      <w:pPr>
        <w:spacing w:after="40"/>
      </w:pPr>
    </w:p>
    <w:p>
      <w:pPr/>
      <w:r>
        <w:rPr>
          <w:b w:val="0"/>
        </w:rPr>
        <w:t>For C, four interleaved one-of-four groups per lane can avoid a full crossbar: channel A selects sections 0/4/8/12, B selects 1/5/9/13, and similarly for C/D. This still requires 32 three-phase bidirectional branch-selection assemblies per station. Adjacent active sections use different channels. Prove that sufficient thrust remains while a channel ramps to zero, isolates, changes section and resynchronizes. Four channels are not accepted until that trajectory is demonstrated; a fifth channel or different grouping may be needed. Normal and fault states must account for induced voltage in unpowered windings. [R49]</w:t>
      </w:r>
    </w:p>
    <w:p>
      <w:pPr/>
      <w:r>
        <w:rPr>
          <w:b w:val="0"/>
        </w:rPr>
        <w:t>The 200 m short-section model gives a worst-section lower bound of 635 kW mechanical / 748 kW input under an optimistic independently allocated force schedule. This assumes all available short sections can be independently controlled; it does not demonstrate the rating of four routed channels or two fixed groups. Repeat allocation with their simultaneous-section, shared-current and handover constraints. Equal current loading raises the equivalent input to about 997 kW. Dividing 2.35 MW among all sixteen installed sections therefore does not justify 150–400 kW drives. At 225 m and eighteen sections the optimistic input bound falls to 551 kW. Real ratings require phase current, voltage, apparent power and thermal duty; these are not catalogue selections.</w:t>
      </w:r>
    </w:p>
    <w:p>
      <w:pPr/>
      <w:r>
        <w:rPr>
          <w:b w:val="0"/>
        </w:rPr>
        <w:t>Compare copper loss at equal train thrust. For identical winding per metre, the uniform approximation is P_Cu proportional to Lenergized × F² / Loverlap². Energizing a long winding can use more magnets at lower current, partly compensating its unused copper. Near exit, when only a short magnetic length overlaps, the long winding can become inefficient. Integrate the full trajectory before declaring output switching cheaper than two fixed groups.</w:t>
      </w:r>
    </w:p>
    <w:p>
      <w:pPr>
        <w:pStyle w:val="Heading2"/>
      </w:pPr>
      <w:r>
        <w:t>Station energy, charging, braking and optional buffer</w:t>
      </w:r>
    </w:p>
    <w:p>
      <w:pPr/>
      <w:r>
        <w:rPr>
          <w:b w:val="0"/>
        </w:rPr>
        <w:t>The reference launch uses only about 6.47 kWh electrical energy but demands 2.35 MW peak. The station receiver absorbs about 3.31 kWh mechanical work; at 85% generating efficiency, 2.81 kWh enters the DC bus. A resistor can absorb this without energy export or onboard regenerative traction equipment. Resistor branches must handle about 1.22 MW peak and 10.13 MJ per nominal arrival, plus actual adverse stopping cases and repeated duty. Direct reuse by another load on the same bus can save energy, but stopping cannot depend on that load being present. [R50]</w:t>
      </w:r>
    </w:p>
    <w:p>
      <w:pPr/>
      <w:r>
        <w:rPr>
          <w:b w:val="0"/>
        </w:rPr>
        <w:t>Hot onboard services remain 360 kW/train. A 90 s run uses 9 kWh before dwell. If only 45 s of the 60 s dwell is available for connected charging, replacement takes 720 kW, and direct services add 360 kW: 1.08 MW per berthed train before losses. One launch plus opposite-platform services can reach 3.43 MW. Full-60-second charging reduces these values to 0.90 and 3.25 MW. Two coincident launches need about 4.69 MW traction alone; simultaneous 45 s service/charging events can reach 2.16 MW. At twenty trains/hour in each direction, launch plus assumed run-and-dwell services averages about 0.86 MW/station; at the 190 s baseline it is 0.814 MW. Station loads and further losses are additional. A small average supply cannot be inferred from the short pulse.</w:t>
      </w:r>
    </w:p>
    <w:p>
      <w:pPr/>
      <w:r>
        <w:rPr>
          <w:b w:val="0"/>
        </w:rPr>
        <w:t>Grid supply plus resistor braking is the baseline. Evaluate buffering only against an actual site connection limit and cost. A 2 MW contribution lasting 15 s delivers 8.33 kWh; restoring it in 150 s at a provisional 90% round-trip efficiency requires 222 kW genuinely spare supply. A 10 kWh battery would need a 200C discharge rate. A practical battery or ultracapacitor system therefore needs a power rating, thermal model, useful SOC/voltage window, converter, protection and replacement budget. It cannot shrink the motor-bridge rating. Optimize the two-direction timetable and actual HVAC demand before buying storage.</w:t>
      </w:r>
    </w:p>
    <w:p>
      <w:pPr>
        <w:pStyle w:val="Heading2"/>
      </w:pPr>
      <w:r>
        <w:t>Throughput and protected station geometry</w:t>
      </w:r>
    </w:p>
    <w:p>
      <w:pPr/>
      <w:r>
        <w:rPr>
          <w:b w:val="0"/>
        </w:rPr>
        <w:t>The strict departure rule requires the preceding train to clear the receiving resource. With the whole rounded winding protected, the train front must move 104.5 + 75 = 179.5 m after departure to clear its tail. The jerk-limited model gives 21.95 s, yielding H ≥ 90 + 60 + 21.95 + 5 = 176.95 s. This is a planning lower bound with an illustrative five-second allowance; release still requires positive detection.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232"/>
        <w:gridCol w:w="3744"/>
      </w:tblGrid>
      <w:tr>
        <w:trPr>
          <w:cantSplit/>
          <w:tblHeader/>
        </w:trPr>
        <w:tc>
          <w:tcPr>
            <w:tcW w:type="dxa" w:w="3816"/>
            <w:vAlign w:val="center"/>
            <w:tcMar>
              <w:top w:w="85" w:type="dxa"/>
              <w:bottom w:w="85" w:type="dxa"/>
              <w:left w:w="90" w:type="dxa"/>
              <w:right w:w="90" w:type="dxa"/>
            </w:tcMar>
            <w:shd w:fill="F2F2F2"/>
          </w:tcPr>
          <w:p>
            <w:pPr>
              <w:keepNext/>
              <w:keepLines/>
              <w:spacing w:after="0" w:line="252" w:lineRule="auto"/>
            </w:pPr>
            <w:r>
              <w:rPr>
                <w:b/>
                <w:sz w:val="20"/>
              </w:rPr>
              <w:t>Operating study</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Planning minimum headway</w:t>
            </w:r>
          </w:p>
        </w:tc>
        <w:tc>
          <w:tcPr>
            <w:tcW w:type="dxa" w:w="3744"/>
            <w:vAlign w:val="center"/>
            <w:tcMar>
              <w:top w:w="85" w:type="dxa"/>
              <w:bottom w:w="85" w:type="dxa"/>
              <w:left w:w="90" w:type="dxa"/>
              <w:right w:w="90" w:type="dxa"/>
            </w:tcMar>
            <w:shd w:fill="F2F2F2"/>
          </w:tcPr>
          <w:p>
            <w:pPr>
              <w:keepNext/>
              <w:keepLines/>
              <w:spacing w:after="0" w:line="252" w:lineRule="auto"/>
            </w:pPr>
            <w:r>
              <w:rPr>
                <w:b/>
                <w:sz w:val="20"/>
              </w:rPr>
              <w:t>Scheduled headway / normal capacity</w:t>
            </w:r>
          </w:p>
        </w:tc>
      </w:tr>
      <w:tr>
        <w:trPr>
          <w:cantSplit/>
        </w:trPr>
        <w:tc>
          <w:tcPr>
            <w:tcW w:type="dxa" w:w="3816"/>
            <w:vAlign w:val="center"/>
            <w:tcMar>
              <w:top w:w="85" w:type="dxa"/>
              <w:bottom w:w="85" w:type="dxa"/>
              <w:left w:w="90" w:type="dxa"/>
              <w:right w:w="90" w:type="dxa"/>
            </w:tcMar>
          </w:tcPr>
          <w:p>
            <w:pPr>
              <w:keepLines/>
              <w:spacing w:after="0" w:line="252" w:lineRule="auto"/>
            </w:pPr>
            <w:r>
              <w:rPr>
                <w:b w:val="0"/>
                <w:sz w:val="20"/>
              </w:rPr>
              <w:t>90 s run, 60 s dwell, 200 m protected winding</w:t>
            </w:r>
          </w:p>
        </w:tc>
        <w:tc>
          <w:tcPr>
            <w:tcW w:type="dxa" w:w="2232"/>
            <w:vAlign w:val="center"/>
            <w:tcMar>
              <w:top w:w="85" w:type="dxa"/>
              <w:bottom w:w="85" w:type="dxa"/>
              <w:left w:w="90" w:type="dxa"/>
              <w:right w:w="90" w:type="dxa"/>
            </w:tcMar>
          </w:tcPr>
          <w:p>
            <w:pPr>
              <w:keepLines/>
              <w:spacing w:after="0" w:line="252" w:lineRule="auto"/>
            </w:pPr>
            <w:r>
              <w:rPr>
                <w:b w:val="0"/>
                <w:sz w:val="20"/>
              </w:rPr>
              <w:t>176.95 s</w:t>
            </w:r>
          </w:p>
        </w:tc>
        <w:tc>
          <w:tcPr>
            <w:tcW w:type="dxa" w:w="3744"/>
            <w:vAlign w:val="center"/>
            <w:tcMar>
              <w:top w:w="85" w:type="dxa"/>
              <w:bottom w:w="85" w:type="dxa"/>
              <w:left w:w="90" w:type="dxa"/>
              <w:right w:w="90" w:type="dxa"/>
            </w:tcMar>
          </w:tcPr>
          <w:p>
            <w:pPr>
              <w:keepLines/>
              <w:spacing w:after="0" w:line="252" w:lineRule="auto"/>
            </w:pPr>
            <w:r>
              <w:rPr>
                <w:b w:val="0"/>
                <w:sz w:val="20"/>
              </w:rPr>
              <w:t>190 s: 18.95 trains/h; 13,642 passengers/h/direction</w:t>
            </w:r>
          </w:p>
        </w:tc>
      </w:tr>
      <w:tr>
        <w:trPr>
          <w:cantSplit/>
        </w:trPr>
        <w:tc>
          <w:tcPr>
            <w:tcW w:type="dxa" w:w="3816"/>
            <w:vAlign w:val="center"/>
            <w:tcMar>
              <w:top w:w="85" w:type="dxa"/>
              <w:bottom w:w="85" w:type="dxa"/>
              <w:left w:w="90" w:type="dxa"/>
              <w:right w:w="90" w:type="dxa"/>
            </w:tcMar>
          </w:tcPr>
          <w:p>
            <w:pPr>
              <w:keepLines/>
              <w:spacing w:after="0" w:line="252" w:lineRule="auto"/>
            </w:pPr>
            <w:r>
              <w:rPr>
                <w:b w:val="0"/>
                <w:sz w:val="20"/>
              </w:rPr>
              <w:t>Same geometry and dwell</w:t>
            </w:r>
          </w:p>
        </w:tc>
        <w:tc>
          <w:tcPr>
            <w:tcW w:type="dxa" w:w="2232"/>
            <w:vAlign w:val="center"/>
            <w:tcMar>
              <w:top w:w="85" w:type="dxa"/>
              <w:bottom w:w="85" w:type="dxa"/>
              <w:left w:w="90" w:type="dxa"/>
              <w:right w:w="90" w:type="dxa"/>
            </w:tcMar>
          </w:tcPr>
          <w:p>
            <w:pPr>
              <w:keepLines/>
              <w:spacing w:after="0" w:line="252" w:lineRule="auto"/>
            </w:pPr>
            <w:r>
              <w:rPr>
                <w:b w:val="0"/>
                <w:sz w:val="20"/>
              </w:rPr>
              <w:t>176.95 s</w:t>
            </w:r>
          </w:p>
        </w:tc>
        <w:tc>
          <w:tcPr>
            <w:tcW w:type="dxa" w:w="3744"/>
            <w:vAlign w:val="center"/>
            <w:tcMar>
              <w:top w:w="85" w:type="dxa"/>
              <w:bottom w:w="85" w:type="dxa"/>
              <w:left w:w="90" w:type="dxa"/>
              <w:right w:w="90" w:type="dxa"/>
            </w:tcMar>
          </w:tcPr>
          <w:p>
            <w:pPr>
              <w:keepLines/>
              <w:spacing w:after="0" w:line="252" w:lineRule="auto"/>
            </w:pPr>
            <w:r>
              <w:rPr>
                <w:b w:val="0"/>
                <w:sz w:val="20"/>
              </w:rPr>
              <w:t>180 s: 20 trains/h; only 3.05 s additional margin</w:t>
            </w:r>
          </w:p>
        </w:tc>
      </w:tr>
      <w:tr>
        <w:trPr>
          <w:cantSplit/>
        </w:trPr>
        <w:tc>
          <w:tcPr>
            <w:tcW w:type="dxa" w:w="3816"/>
            <w:vAlign w:val="center"/>
            <w:tcMar>
              <w:top w:w="85" w:type="dxa"/>
              <w:bottom w:w="85" w:type="dxa"/>
              <w:left w:w="90" w:type="dxa"/>
              <w:right w:w="90" w:type="dxa"/>
            </w:tcMar>
          </w:tcPr>
          <w:p>
            <w:pPr>
              <w:keepLines/>
              <w:spacing w:after="0" w:line="252" w:lineRule="auto"/>
            </w:pPr>
            <w:r>
              <w:rPr>
                <w:b w:val="0"/>
                <w:sz w:val="20"/>
              </w:rPr>
              <w:t>90 s run, proven 50 s dwell</w:t>
            </w:r>
          </w:p>
        </w:tc>
        <w:tc>
          <w:tcPr>
            <w:tcW w:type="dxa" w:w="2232"/>
            <w:vAlign w:val="center"/>
            <w:tcMar>
              <w:top w:w="85" w:type="dxa"/>
              <w:bottom w:w="85" w:type="dxa"/>
              <w:left w:w="90" w:type="dxa"/>
              <w:right w:w="90" w:type="dxa"/>
            </w:tcMar>
          </w:tcPr>
          <w:p>
            <w:pPr>
              <w:keepLines/>
              <w:spacing w:after="0" w:line="252" w:lineRule="auto"/>
            </w:pPr>
            <w:r>
              <w:rPr>
                <w:b w:val="0"/>
                <w:sz w:val="20"/>
              </w:rPr>
              <w:t>166.95 s</w:t>
            </w:r>
          </w:p>
        </w:tc>
        <w:tc>
          <w:tcPr>
            <w:tcW w:type="dxa" w:w="3744"/>
            <w:vAlign w:val="center"/>
            <w:tcMar>
              <w:top w:w="85" w:type="dxa"/>
              <w:bottom w:w="85" w:type="dxa"/>
              <w:left w:w="90" w:type="dxa"/>
              <w:right w:w="90" w:type="dxa"/>
            </w:tcMar>
          </w:tcPr>
          <w:p>
            <w:pPr>
              <w:keepLines/>
              <w:spacing w:after="0" w:line="252" w:lineRule="auto"/>
            </w:pPr>
            <w:r>
              <w:rPr>
                <w:b w:val="0"/>
                <w:sz w:val="20"/>
              </w:rPr>
              <w:t>180 s: 20 trains/h; 13.05 s additional margin</w:t>
            </w:r>
          </w:p>
        </w:tc>
      </w:tr>
      <w:tr>
        <w:trPr>
          <w:cantSplit/>
        </w:trPr>
        <w:tc>
          <w:tcPr>
            <w:tcW w:type="dxa" w:w="3816"/>
            <w:vAlign w:val="center"/>
            <w:tcMar>
              <w:top w:w="85" w:type="dxa"/>
              <w:bottom w:w="85" w:type="dxa"/>
              <w:left w:w="90" w:type="dxa"/>
              <w:right w:w="90" w:type="dxa"/>
            </w:tcMar>
          </w:tcPr>
          <w:p>
            <w:pPr>
              <w:keepLines/>
              <w:spacing w:after="0" w:line="252" w:lineRule="auto"/>
            </w:pPr>
            <w:r>
              <w:rPr>
                <w:b w:val="0"/>
                <w:sz w:val="20"/>
              </w:rPr>
              <w:t>100 s run, 60 s dwell, 150 m protected winding</w:t>
            </w:r>
          </w:p>
        </w:tc>
        <w:tc>
          <w:tcPr>
            <w:tcW w:type="dxa" w:w="2232"/>
            <w:vAlign w:val="center"/>
            <w:tcMar>
              <w:top w:w="85" w:type="dxa"/>
              <w:bottom w:w="85" w:type="dxa"/>
              <w:left w:w="90" w:type="dxa"/>
              <w:right w:w="90" w:type="dxa"/>
            </w:tcMar>
          </w:tcPr>
          <w:p>
            <w:pPr>
              <w:keepLines/>
              <w:spacing w:after="0" w:line="252" w:lineRule="auto"/>
            </w:pPr>
            <w:r>
              <w:rPr>
                <w:b w:val="0"/>
                <w:sz w:val="20"/>
              </w:rPr>
              <w:t>185.55 s</w:t>
            </w:r>
          </w:p>
        </w:tc>
        <w:tc>
          <w:tcPr>
            <w:tcW w:type="dxa" w:w="3744"/>
            <w:vAlign w:val="center"/>
            <w:tcMar>
              <w:top w:w="85" w:type="dxa"/>
              <w:bottom w:w="85" w:type="dxa"/>
              <w:left w:w="90" w:type="dxa"/>
              <w:right w:w="90" w:type="dxa"/>
            </w:tcMar>
          </w:tcPr>
          <w:p>
            <w:pPr>
              <w:keepLines/>
              <w:spacing w:after="0" w:line="252" w:lineRule="auto"/>
            </w:pPr>
            <w:r>
              <w:rPr>
                <w:b w:val="0"/>
                <w:sz w:val="20"/>
              </w:rPr>
              <w:t>200 s: 18 trains/h; 12,960 passengers/h/direction</w:t>
            </w:r>
          </w:p>
        </w:tc>
      </w:tr>
    </w:tbl>
    <w:p>
      <w:pPr>
        <w:spacing w:after="40"/>
      </w:pPr>
    </w:p>
    <w:p>
      <w:pPr/>
      <w:r>
        <w:rPr>
          <w:b w:val="0"/>
        </w:rPr>
        <w:t>At 55 s dwell the three-minute reference gains another five seconds of margin. Passenger flow, doors, charging and platform layout must prove shorter dwell. A 45 s phase offset between directions avoids motion-pulse overlap in the ideal reference timetable, whereas a 90 s offset overlaps one train’s launch with the other’s arrival brake. Preserve independent receiving capability and model disturbances before sharing main power channels across directions. Shared DC infrastructure does not require shared commutation.</w:t>
      </w:r>
    </w:p>
    <w:p>
      <w:pPr>
        <w:pStyle w:val="Heading2"/>
      </w:pPr>
      <w:r>
        <w:t>Purchasing targets and the next acceptance package</w:t>
      </w:r>
    </w:p>
    <w:p>
      <w:pPr/>
      <w:r>
        <w:rPr>
          <w:b w:val="0"/>
        </w:rPr>
        <w:t>The following budget is a transparent target-rate exercise, not a supplier quotation or a validated first-series estimate. Both motor faces and both directions are included. Stator allowances cover the added active assemblies and their ordinary mounts/connections; passive support iron already priced in the civil scope is not purchased twice. Deduct actual replaced iron only from a reconciled interface BOM. Reserve is arithmetic and does not price omitted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1656"/>
        <w:gridCol w:w="1656"/>
        <w:gridCol w:w="1656"/>
      </w:tblGrid>
      <w:tr>
        <w:trPr>
          <w:cantSplit/>
          <w:tblHeader/>
        </w:trPr>
        <w:tc>
          <w:tcPr>
            <w:tcW w:type="dxa" w:w="4824"/>
            <w:vAlign w:val="center"/>
            <w:tcMar>
              <w:top w:w="85" w:type="dxa"/>
              <w:bottom w:w="85" w:type="dxa"/>
              <w:left w:w="90" w:type="dxa"/>
              <w:right w:w="90" w:type="dxa"/>
            </w:tcMar>
            <w:shd w:fill="F2F2F2"/>
          </w:tcPr>
          <w:p>
            <w:pPr>
              <w:keepNext/>
              <w:keepLines/>
              <w:spacing w:after="0" w:line="252" w:lineRule="auto"/>
            </w:pPr>
            <w:r>
              <w:rPr>
                <w:b/>
                <w:sz w:val="20"/>
              </w:rPr>
              <w:t>Station item</w:t>
            </w:r>
          </w:p>
        </w:tc>
        <w:tc>
          <w:tcPr>
            <w:tcW w:type="dxa" w:w="1656"/>
            <w:vAlign w:val="center"/>
            <w:tcMar>
              <w:top w:w="85" w:type="dxa"/>
              <w:bottom w:w="85" w:type="dxa"/>
              <w:left w:w="90" w:type="dxa"/>
              <w:right w:w="90" w:type="dxa"/>
            </w:tcMar>
            <w:shd w:fill="F2F2F2"/>
          </w:tcPr>
          <w:p>
            <w:pPr>
              <w:keepNext/>
              <w:keepLines/>
              <w:spacing w:after="0" w:line="252" w:lineRule="auto"/>
            </w:pPr>
            <w:r>
              <w:rPr>
                <w:b/>
                <w:sz w:val="20"/>
              </w:rPr>
              <w:t>Aggressive target</w:t>
            </w:r>
          </w:p>
        </w:tc>
        <w:tc>
          <w:tcPr>
            <w:tcW w:type="dxa" w:w="1656"/>
            <w:vAlign w:val="center"/>
            <w:tcMar>
              <w:top w:w="85" w:type="dxa"/>
              <w:bottom w:w="85" w:type="dxa"/>
              <w:left w:w="90" w:type="dxa"/>
              <w:right w:w="90" w:type="dxa"/>
            </w:tcMar>
            <w:shd w:fill="F2F2F2"/>
          </w:tcPr>
          <w:p>
            <w:pPr>
              <w:keepNext/>
              <w:keepLines/>
              <w:spacing w:after="0" w:line="252" w:lineRule="auto"/>
            </w:pPr>
            <w:r>
              <w:rPr>
                <w:b/>
                <w:sz w:val="20"/>
              </w:rPr>
              <w:t>Middle test</w:t>
            </w:r>
          </w:p>
        </w:tc>
        <w:tc>
          <w:tcPr>
            <w:tcW w:type="dxa" w:w="1656"/>
            <w:vAlign w:val="center"/>
            <w:tcMar>
              <w:top w:w="85" w:type="dxa"/>
              <w:bottom w:w="85" w:type="dxa"/>
              <w:left w:w="90" w:type="dxa"/>
              <w:right w:w="90" w:type="dxa"/>
            </w:tcMar>
            <w:shd w:fill="F2F2F2"/>
          </w:tcPr>
          <w:p>
            <w:pPr>
              <w:keepNext/>
              <w:keepLines/>
              <w:spacing w:after="0" w:line="252" w:lineRule="auto"/>
            </w:pPr>
            <w:r>
              <w:rPr>
                <w:b/>
                <w:sz w:val="20"/>
              </w:rPr>
              <w:t>Stress test</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Active stators, 400 direction-m at USD 750 / 1,250 / 2,000</w:t>
            </w:r>
          </w:p>
        </w:tc>
        <w:tc>
          <w:tcPr>
            <w:tcW w:type="dxa" w:w="1656"/>
            <w:vAlign w:val="center"/>
            <w:tcMar>
              <w:top w:w="85" w:type="dxa"/>
              <w:bottom w:w="85" w:type="dxa"/>
              <w:left w:w="90" w:type="dxa"/>
              <w:right w:w="90" w:type="dxa"/>
            </w:tcMar>
          </w:tcPr>
          <w:p>
            <w:pPr>
              <w:keepLines/>
              <w:spacing w:after="0" w:line="252" w:lineRule="auto"/>
            </w:pPr>
            <w:r>
              <w:rPr>
                <w:b w:val="0"/>
                <w:sz w:val="20"/>
              </w:rPr>
              <w:t>USD 0.300m</w:t>
            </w:r>
          </w:p>
        </w:tc>
        <w:tc>
          <w:tcPr>
            <w:tcW w:type="dxa" w:w="1656"/>
            <w:vAlign w:val="center"/>
            <w:tcMar>
              <w:top w:w="85" w:type="dxa"/>
              <w:bottom w:w="85" w:type="dxa"/>
              <w:left w:w="90" w:type="dxa"/>
              <w:right w:w="90" w:type="dxa"/>
            </w:tcMar>
          </w:tcPr>
          <w:p>
            <w:pPr>
              <w:keepLines/>
              <w:spacing w:after="0" w:line="252" w:lineRule="auto"/>
            </w:pPr>
            <w:r>
              <w:rPr>
                <w:b w:val="0"/>
                <w:sz w:val="20"/>
              </w:rPr>
              <w:t>USD 0.500m</w:t>
            </w:r>
          </w:p>
        </w:tc>
        <w:tc>
          <w:tcPr>
            <w:tcW w:type="dxa" w:w="1656"/>
            <w:vAlign w:val="center"/>
            <w:tcMar>
              <w:top w:w="85" w:type="dxa"/>
              <w:bottom w:w="85" w:type="dxa"/>
              <w:left w:w="90" w:type="dxa"/>
              <w:right w:w="90" w:type="dxa"/>
            </w:tcMar>
          </w:tcPr>
          <w:p>
            <w:pPr>
              <w:keepLines/>
              <w:spacing w:after="0" w:line="252" w:lineRule="auto"/>
            </w:pPr>
            <w:r>
              <w:rPr>
                <w:b w:val="0"/>
                <w:sz w:val="20"/>
              </w:rPr>
              <w:t>USD 0.800m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Supply, rectifier and DC protection/distribution</w:t>
            </w:r>
          </w:p>
        </w:tc>
        <w:tc>
          <w:tcPr>
            <w:tcW w:type="dxa" w:w="1656"/>
            <w:vAlign w:val="center"/>
            <w:tcMar>
              <w:top w:w="85" w:type="dxa"/>
              <w:bottom w:w="85" w:type="dxa"/>
              <w:left w:w="90" w:type="dxa"/>
              <w:right w:w="90" w:type="dxa"/>
            </w:tcMar>
          </w:tcPr>
          <w:p>
            <w:pPr>
              <w:keepLines/>
              <w:spacing w:after="0" w:line="252" w:lineRule="auto"/>
            </w:pPr>
            <w:r>
              <w:rPr>
                <w:b w:val="0"/>
                <w:sz w:val="20"/>
              </w:rPr>
              <w:t>USD 0.250m</w:t>
            </w:r>
          </w:p>
        </w:tc>
        <w:tc>
          <w:tcPr>
            <w:tcW w:type="dxa" w:w="1656"/>
            <w:vAlign w:val="center"/>
            <w:tcMar>
              <w:top w:w="85" w:type="dxa"/>
              <w:bottom w:w="85" w:type="dxa"/>
              <w:left w:w="90" w:type="dxa"/>
              <w:right w:w="90" w:type="dxa"/>
            </w:tcMar>
          </w:tcPr>
          <w:p>
            <w:pPr>
              <w:keepLines/>
              <w:spacing w:after="0" w:line="252" w:lineRule="auto"/>
            </w:pPr>
            <w:r>
              <w:rPr>
                <w:b w:val="0"/>
                <w:sz w:val="20"/>
              </w:rPr>
              <w:t>USD 0.400m</w:t>
            </w:r>
          </w:p>
        </w:tc>
        <w:tc>
          <w:tcPr>
            <w:tcW w:type="dxa" w:w="1656"/>
            <w:vAlign w:val="center"/>
            <w:tcMar>
              <w:top w:w="85" w:type="dxa"/>
              <w:bottom w:w="85" w:type="dxa"/>
              <w:left w:w="90" w:type="dxa"/>
              <w:right w:w="90" w:type="dxa"/>
            </w:tcMar>
          </w:tcPr>
          <w:p>
            <w:pPr>
              <w:keepLines/>
              <w:spacing w:after="0" w:line="252" w:lineRule="auto"/>
            </w:pPr>
            <w:r>
              <w:rPr>
                <w:b w:val="0"/>
                <w:sz w:val="20"/>
              </w:rPr>
              <w:t>USD 0.650m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Brake chopper/resistor equipment</w:t>
            </w:r>
          </w:p>
        </w:tc>
        <w:tc>
          <w:tcPr>
            <w:tcW w:type="dxa" w:w="1656"/>
            <w:vAlign w:val="center"/>
            <w:tcMar>
              <w:top w:w="85" w:type="dxa"/>
              <w:bottom w:w="85" w:type="dxa"/>
              <w:left w:w="90" w:type="dxa"/>
              <w:right w:w="90" w:type="dxa"/>
            </w:tcMar>
          </w:tcPr>
          <w:p>
            <w:pPr>
              <w:keepLines/>
              <w:spacing w:after="0" w:line="252" w:lineRule="auto"/>
            </w:pPr>
            <w:r>
              <w:rPr>
                <w:b w:val="0"/>
                <w:sz w:val="20"/>
              </w:rPr>
              <w:t>USD 0.060m</w:t>
            </w:r>
          </w:p>
        </w:tc>
        <w:tc>
          <w:tcPr>
            <w:tcW w:type="dxa" w:w="1656"/>
            <w:vAlign w:val="center"/>
            <w:tcMar>
              <w:top w:w="85" w:type="dxa"/>
              <w:bottom w:w="85" w:type="dxa"/>
              <w:left w:w="90" w:type="dxa"/>
              <w:right w:w="90" w:type="dxa"/>
            </w:tcMar>
          </w:tcPr>
          <w:p>
            <w:pPr>
              <w:keepLines/>
              <w:spacing w:after="0" w:line="252" w:lineRule="auto"/>
            </w:pPr>
            <w:r>
              <w:rPr>
                <w:b w:val="0"/>
                <w:sz w:val="20"/>
              </w:rPr>
              <w:t>USD 0.120m</w:t>
            </w:r>
          </w:p>
        </w:tc>
        <w:tc>
          <w:tcPr>
            <w:tcW w:type="dxa" w:w="1656"/>
            <w:vAlign w:val="center"/>
            <w:tcMar>
              <w:top w:w="85" w:type="dxa"/>
              <w:bottom w:w="85" w:type="dxa"/>
              <w:left w:w="90" w:type="dxa"/>
              <w:right w:w="90" w:type="dxa"/>
            </w:tcMar>
          </w:tcPr>
          <w:p>
            <w:pPr>
              <w:keepLines/>
              <w:spacing w:after="0" w:line="252" w:lineRule="auto"/>
            </w:pPr>
            <w:r>
              <w:rPr>
                <w:b w:val="0"/>
                <w:sz w:val="20"/>
              </w:rPr>
              <w:t>USD 0.200m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Two-platform services interfaces and chargers</w:t>
            </w:r>
          </w:p>
        </w:tc>
        <w:tc>
          <w:tcPr>
            <w:tcW w:type="dxa" w:w="1656"/>
            <w:vAlign w:val="center"/>
            <w:tcMar>
              <w:top w:w="85" w:type="dxa"/>
              <w:bottom w:w="85" w:type="dxa"/>
              <w:left w:w="90" w:type="dxa"/>
              <w:right w:w="90" w:type="dxa"/>
            </w:tcMar>
          </w:tcPr>
          <w:p>
            <w:pPr>
              <w:keepLines/>
              <w:spacing w:after="0" w:line="252" w:lineRule="auto"/>
            </w:pPr>
            <w:r>
              <w:rPr>
                <w:b w:val="0"/>
                <w:sz w:val="20"/>
              </w:rPr>
              <w:t>USD 0.120m</w:t>
            </w:r>
          </w:p>
        </w:tc>
        <w:tc>
          <w:tcPr>
            <w:tcW w:type="dxa" w:w="1656"/>
            <w:vAlign w:val="center"/>
            <w:tcMar>
              <w:top w:w="85" w:type="dxa"/>
              <w:bottom w:w="85" w:type="dxa"/>
              <w:left w:w="90" w:type="dxa"/>
              <w:right w:w="90" w:type="dxa"/>
            </w:tcMar>
          </w:tcPr>
          <w:p>
            <w:pPr>
              <w:keepLines/>
              <w:spacing w:after="0" w:line="252" w:lineRule="auto"/>
            </w:pPr>
            <w:r>
              <w:rPr>
                <w:b w:val="0"/>
                <w:sz w:val="20"/>
              </w:rPr>
              <w:t>USD 0.240m</w:t>
            </w:r>
          </w:p>
        </w:tc>
        <w:tc>
          <w:tcPr>
            <w:tcW w:type="dxa" w:w="1656"/>
            <w:vAlign w:val="center"/>
            <w:tcMar>
              <w:top w:w="85" w:type="dxa"/>
              <w:bottom w:w="85" w:type="dxa"/>
              <w:left w:w="90" w:type="dxa"/>
              <w:right w:w="90" w:type="dxa"/>
            </w:tcMar>
          </w:tcPr>
          <w:p>
            <w:pPr>
              <w:keepLines/>
              <w:spacing w:after="0" w:line="252" w:lineRule="auto"/>
            </w:pPr>
            <w:r>
              <w:rPr>
                <w:b w:val="0"/>
                <w:sz w:val="20"/>
              </w:rPr>
              <w:t>USD 0.400m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Motion/sensing/safety interfaces</w:t>
            </w:r>
          </w:p>
        </w:tc>
        <w:tc>
          <w:tcPr>
            <w:tcW w:type="dxa" w:w="1656"/>
            <w:vAlign w:val="center"/>
            <w:tcMar>
              <w:top w:w="85" w:type="dxa"/>
              <w:bottom w:w="85" w:type="dxa"/>
              <w:left w:w="90" w:type="dxa"/>
              <w:right w:w="90" w:type="dxa"/>
            </w:tcMar>
          </w:tcPr>
          <w:p>
            <w:pPr>
              <w:keepLines/>
              <w:spacing w:after="0" w:line="252" w:lineRule="auto"/>
            </w:pPr>
            <w:r>
              <w:rPr>
                <w:b w:val="0"/>
                <w:sz w:val="20"/>
              </w:rPr>
              <w:t>USD 0.080m</w:t>
            </w:r>
          </w:p>
        </w:tc>
        <w:tc>
          <w:tcPr>
            <w:tcW w:type="dxa" w:w="1656"/>
            <w:vAlign w:val="center"/>
            <w:tcMar>
              <w:top w:w="85" w:type="dxa"/>
              <w:bottom w:w="85" w:type="dxa"/>
              <w:left w:w="90" w:type="dxa"/>
              <w:right w:w="90" w:type="dxa"/>
            </w:tcMar>
          </w:tcPr>
          <w:p>
            <w:pPr>
              <w:keepLines/>
              <w:spacing w:after="0" w:line="252" w:lineRule="auto"/>
            </w:pPr>
            <w:r>
              <w:rPr>
                <w:b w:val="0"/>
                <w:sz w:val="20"/>
              </w:rPr>
              <w:t>USD 0.150m</w:t>
            </w:r>
          </w:p>
        </w:tc>
        <w:tc>
          <w:tcPr>
            <w:tcW w:type="dxa" w:w="1656"/>
            <w:vAlign w:val="center"/>
            <w:tcMar>
              <w:top w:w="85" w:type="dxa"/>
              <w:bottom w:w="85" w:type="dxa"/>
              <w:left w:w="90" w:type="dxa"/>
              <w:right w:w="90" w:type="dxa"/>
            </w:tcMar>
          </w:tcPr>
          <w:p>
            <w:pPr>
              <w:keepLines/>
              <w:spacing w:after="0" w:line="252" w:lineRule="auto"/>
            </w:pPr>
            <w:r>
              <w:rPr>
                <w:b w:val="0"/>
                <w:sz w:val="20"/>
              </w:rPr>
              <w:t>USD 0.250m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Site thermal plant, field installation and acceptance</w:t>
            </w:r>
          </w:p>
        </w:tc>
        <w:tc>
          <w:tcPr>
            <w:tcW w:type="dxa" w:w="1656"/>
            <w:vAlign w:val="center"/>
            <w:tcMar>
              <w:top w:w="85" w:type="dxa"/>
              <w:bottom w:w="85" w:type="dxa"/>
              <w:left w:w="90" w:type="dxa"/>
              <w:right w:w="90" w:type="dxa"/>
            </w:tcMar>
          </w:tcPr>
          <w:p>
            <w:pPr>
              <w:keepLines/>
              <w:spacing w:after="0" w:line="252" w:lineRule="auto"/>
            </w:pPr>
            <w:r>
              <w:rPr>
                <w:b w:val="0"/>
                <w:sz w:val="20"/>
              </w:rPr>
              <w:t>USD 0.150m</w:t>
            </w:r>
          </w:p>
        </w:tc>
        <w:tc>
          <w:tcPr>
            <w:tcW w:type="dxa" w:w="1656"/>
            <w:vAlign w:val="center"/>
            <w:tcMar>
              <w:top w:w="85" w:type="dxa"/>
              <w:bottom w:w="85" w:type="dxa"/>
              <w:left w:w="90" w:type="dxa"/>
              <w:right w:w="90" w:type="dxa"/>
            </w:tcMar>
          </w:tcPr>
          <w:p>
            <w:pPr>
              <w:keepLines/>
              <w:spacing w:after="0" w:line="252" w:lineRule="auto"/>
            </w:pPr>
            <w:r>
              <w:rPr>
                <w:b w:val="0"/>
                <w:sz w:val="20"/>
              </w:rPr>
              <w:t>USD 0.250m</w:t>
            </w:r>
          </w:p>
        </w:tc>
        <w:tc>
          <w:tcPr>
            <w:tcW w:type="dxa" w:w="1656"/>
            <w:vAlign w:val="center"/>
            <w:tcMar>
              <w:top w:w="85" w:type="dxa"/>
              <w:bottom w:w="85" w:type="dxa"/>
              <w:left w:w="90" w:type="dxa"/>
              <w:right w:w="90" w:type="dxa"/>
            </w:tcMar>
          </w:tcPr>
          <w:p>
            <w:pPr>
              <w:keepLines/>
              <w:spacing w:after="0" w:line="252" w:lineRule="auto"/>
            </w:pPr>
            <w:r>
              <w:rPr>
                <w:b w:val="0"/>
                <w:sz w:val="20"/>
              </w:rPr>
              <w:t>USD 0.400m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Fixed-group B bridge test: 10 MW-equivalent total</w:t>
            </w:r>
          </w:p>
        </w:tc>
        <w:tc>
          <w:tcPr>
            <w:tcW w:type="dxa" w:w="1656"/>
            <w:vAlign w:val="center"/>
            <w:tcMar>
              <w:top w:w="85" w:type="dxa"/>
              <w:bottom w:w="85" w:type="dxa"/>
              <w:left w:w="90" w:type="dxa"/>
              <w:right w:w="90" w:type="dxa"/>
            </w:tcMar>
          </w:tcPr>
          <w:p>
            <w:pPr>
              <w:keepLines/>
              <w:spacing w:after="0" w:line="252" w:lineRule="auto"/>
            </w:pPr>
            <w:r>
              <w:rPr>
                <w:b w:val="0"/>
                <w:sz w:val="20"/>
              </w:rPr>
              <w:t>USD 0.400m</w:t>
            </w:r>
          </w:p>
        </w:tc>
        <w:tc>
          <w:tcPr>
            <w:tcW w:type="dxa" w:w="1656"/>
            <w:vAlign w:val="center"/>
            <w:tcMar>
              <w:top w:w="85" w:type="dxa"/>
              <w:bottom w:w="85" w:type="dxa"/>
              <w:left w:w="90" w:type="dxa"/>
              <w:right w:w="90" w:type="dxa"/>
            </w:tcMar>
          </w:tcPr>
          <w:p>
            <w:pPr>
              <w:keepLines/>
              <w:spacing w:after="0" w:line="252" w:lineRule="auto"/>
            </w:pPr>
            <w:r>
              <w:rPr>
                <w:b w:val="0"/>
                <w:sz w:val="20"/>
              </w:rPr>
              <w:t>USD 0.800m</w:t>
            </w:r>
          </w:p>
        </w:tc>
        <w:tc>
          <w:tcPr>
            <w:tcW w:type="dxa" w:w="1656"/>
            <w:vAlign w:val="center"/>
            <w:tcMar>
              <w:top w:w="85" w:type="dxa"/>
              <w:bottom w:w="85" w:type="dxa"/>
              <w:left w:w="90" w:type="dxa"/>
              <w:right w:w="90" w:type="dxa"/>
            </w:tcMar>
          </w:tcPr>
          <w:p>
            <w:pPr>
              <w:keepLines/>
              <w:spacing w:after="0" w:line="252" w:lineRule="auto"/>
            </w:pPr>
            <w:r>
              <w:rPr>
                <w:b w:val="0"/>
                <w:sz w:val="20"/>
              </w:rPr>
              <w:t>USD 1.200m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r>
            <w:r>
              <w:rPr>
                <w:b w:val="0"/>
                <w:sz w:val="20"/>
              </w:rPr>
              <w:t>B direct-cost target</w:t>
            </w:r>
            <w:r>
              <w:rPr>
                <w:b w:val="0"/>
                <w:sz w:val="20"/>
              </w:rPr>
            </w:r>
          </w:p>
        </w:tc>
        <w:tc>
          <w:tcPr>
            <w:tcW w:type="dxa" w:w="1656"/>
            <w:vAlign w:val="center"/>
            <w:tcMar>
              <w:top w:w="85" w:type="dxa"/>
              <w:bottom w:w="85" w:type="dxa"/>
              <w:left w:w="90" w:type="dxa"/>
              <w:right w:w="90" w:type="dxa"/>
            </w:tcMar>
          </w:tcPr>
          <w:p>
            <w:pPr>
              <w:keepLines/>
              <w:spacing w:after="0" w:line="252" w:lineRule="auto"/>
            </w:pPr>
            <w:r>
              <w:rPr>
                <w:b w:val="0"/>
                <w:sz w:val="20"/>
              </w:rPr>
            </w:r>
            <w:r>
              <w:rPr>
                <w:b w:val="0"/>
                <w:sz w:val="20"/>
              </w:rPr>
              <w:t>USD 1.360m</w:t>
            </w:r>
            <w:r>
              <w:rPr>
                <w:b w:val="0"/>
                <w:sz w:val="20"/>
              </w:rPr>
            </w:r>
          </w:p>
        </w:tc>
        <w:tc>
          <w:tcPr>
            <w:tcW w:type="dxa" w:w="1656"/>
            <w:vAlign w:val="center"/>
            <w:tcMar>
              <w:top w:w="85" w:type="dxa"/>
              <w:bottom w:w="85" w:type="dxa"/>
              <w:left w:w="90" w:type="dxa"/>
              <w:right w:w="90" w:type="dxa"/>
            </w:tcMar>
          </w:tcPr>
          <w:p>
            <w:pPr>
              <w:keepLines/>
              <w:spacing w:after="0" w:line="252" w:lineRule="auto"/>
            </w:pPr>
            <w:r>
              <w:rPr>
                <w:b w:val="0"/>
                <w:sz w:val="20"/>
              </w:rPr>
            </w:r>
            <w:r>
              <w:rPr>
                <w:b w:val="0"/>
                <w:sz w:val="20"/>
              </w:rPr>
              <w:t>USD 2.460m</w:t>
            </w:r>
            <w:r>
              <w:rPr>
                <w:b w:val="0"/>
                <w:sz w:val="20"/>
              </w:rPr>
            </w:r>
          </w:p>
        </w:tc>
        <w:tc>
          <w:tcPr>
            <w:tcW w:type="dxa" w:w="1656"/>
            <w:vAlign w:val="center"/>
            <w:tcMar>
              <w:top w:w="85" w:type="dxa"/>
              <w:bottom w:w="85" w:type="dxa"/>
              <w:left w:w="90" w:type="dxa"/>
              <w:right w:w="90" w:type="dxa"/>
            </w:tcMar>
          </w:tcPr>
          <w:p>
            <w:pPr>
              <w:keepLines/>
              <w:spacing w:after="0" w:line="252" w:lineRule="auto"/>
            </w:pPr>
            <w:r>
              <w:rPr>
                <w:b w:val="0"/>
                <w:sz w:val="20"/>
              </w:rPr>
            </w:r>
            <w:r>
              <w:rPr>
                <w:b w:val="0"/>
                <w:sz w:val="20"/>
              </w:rPr>
              <w:t>USD 3.900m</w:t>
            </w:r>
            <w:r>
              <w:rPr>
                <w:b w:val="0"/>
                <w:sz w:val="20"/>
              </w:rPr>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r>
            <w:r>
              <w:rPr>
                <w:b w:val="0"/>
                <w:sz w:val="20"/>
              </w:rPr>
              <w:t>B including 20% estimating reserve</w:t>
            </w:r>
            <w:r>
              <w:rPr>
                <w:b w:val="0"/>
                <w:sz w:val="20"/>
              </w:rPr>
            </w:r>
          </w:p>
        </w:tc>
        <w:tc>
          <w:tcPr>
            <w:tcW w:type="dxa" w:w="1656"/>
            <w:vAlign w:val="center"/>
            <w:tcMar>
              <w:top w:w="85" w:type="dxa"/>
              <w:bottom w:w="85" w:type="dxa"/>
              <w:left w:w="90" w:type="dxa"/>
              <w:right w:w="90" w:type="dxa"/>
            </w:tcMar>
          </w:tcPr>
          <w:p>
            <w:pPr>
              <w:keepLines/>
              <w:spacing w:after="0" w:line="252" w:lineRule="auto"/>
            </w:pPr>
            <w:r>
              <w:rPr>
                <w:b w:val="0"/>
                <w:sz w:val="20"/>
              </w:rPr>
            </w:r>
            <w:r>
              <w:rPr>
                <w:b w:val="0"/>
                <w:sz w:val="20"/>
              </w:rPr>
              <w:t>USD 1.632m</w:t>
            </w:r>
            <w:r>
              <w:rPr>
                <w:b w:val="0"/>
                <w:sz w:val="20"/>
              </w:rPr>
            </w:r>
          </w:p>
        </w:tc>
        <w:tc>
          <w:tcPr>
            <w:tcW w:type="dxa" w:w="1656"/>
            <w:vAlign w:val="center"/>
            <w:tcMar>
              <w:top w:w="85" w:type="dxa"/>
              <w:bottom w:w="85" w:type="dxa"/>
              <w:left w:w="90" w:type="dxa"/>
              <w:right w:w="90" w:type="dxa"/>
            </w:tcMar>
          </w:tcPr>
          <w:p>
            <w:pPr>
              <w:keepLines/>
              <w:spacing w:after="0" w:line="252" w:lineRule="auto"/>
            </w:pPr>
            <w:r>
              <w:rPr>
                <w:b w:val="0"/>
                <w:sz w:val="20"/>
              </w:rPr>
            </w:r>
            <w:r>
              <w:rPr>
                <w:b w:val="0"/>
                <w:sz w:val="20"/>
              </w:rPr>
              <w:t>USD 2.952m</w:t>
            </w:r>
            <w:r>
              <w:rPr>
                <w:b w:val="0"/>
                <w:sz w:val="20"/>
              </w:rPr>
            </w:r>
          </w:p>
        </w:tc>
        <w:tc>
          <w:tcPr>
            <w:tcW w:type="dxa" w:w="1656"/>
            <w:vAlign w:val="center"/>
            <w:tcMar>
              <w:top w:w="85" w:type="dxa"/>
              <w:bottom w:w="85" w:type="dxa"/>
              <w:left w:w="90" w:type="dxa"/>
              <w:right w:w="90" w:type="dxa"/>
            </w:tcMar>
          </w:tcPr>
          <w:p>
            <w:pPr>
              <w:keepLines/>
              <w:spacing w:after="0" w:line="252" w:lineRule="auto"/>
            </w:pPr>
            <w:r>
              <w:rPr>
                <w:b w:val="0"/>
                <w:sz w:val="20"/>
              </w:rPr>
            </w:r>
            <w:r>
              <w:rPr>
                <w:b w:val="0"/>
                <w:sz w:val="20"/>
              </w:rPr>
              <w:t>USD 4.680m</w:t>
            </w:r>
            <w:r>
              <w:rPr>
                <w:b w:val="0"/>
                <w:sz w:val="20"/>
              </w:rPr>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C, eight routed banks, including 20% reserve</w:t>
            </w:r>
          </w:p>
        </w:tc>
        <w:tc>
          <w:tcPr>
            <w:tcW w:type="dxa" w:w="1656"/>
            <w:vAlign w:val="center"/>
            <w:tcMar>
              <w:top w:w="85" w:type="dxa"/>
              <w:bottom w:w="85" w:type="dxa"/>
              <w:left w:w="90" w:type="dxa"/>
              <w:right w:w="90" w:type="dxa"/>
            </w:tcMar>
          </w:tcPr>
          <w:p>
            <w:pPr>
              <w:keepLines/>
              <w:spacing w:after="0" w:line="252" w:lineRule="auto"/>
            </w:pPr>
            <w:r>
              <w:rPr>
                <w:b w:val="0"/>
                <w:sz w:val="20"/>
              </w:rPr>
              <w:t>USD 1.680m</w:t>
            </w:r>
          </w:p>
        </w:tc>
        <w:tc>
          <w:tcPr>
            <w:tcW w:type="dxa" w:w="1656"/>
            <w:vAlign w:val="center"/>
            <w:tcMar>
              <w:top w:w="85" w:type="dxa"/>
              <w:bottom w:w="85" w:type="dxa"/>
              <w:left w:w="90" w:type="dxa"/>
              <w:right w:w="90" w:type="dxa"/>
            </w:tcMar>
          </w:tcPr>
          <w:p>
            <w:pPr>
              <w:keepLines/>
              <w:spacing w:after="0" w:line="252" w:lineRule="auto"/>
            </w:pPr>
            <w:r>
              <w:rPr>
                <w:b w:val="0"/>
                <w:sz w:val="20"/>
              </w:rPr>
              <w:t>USD 3.120m</w:t>
            </w:r>
          </w:p>
        </w:tc>
        <w:tc>
          <w:tcPr>
            <w:tcW w:type="dxa" w:w="1656"/>
            <w:vAlign w:val="center"/>
            <w:tcMar>
              <w:top w:w="85" w:type="dxa"/>
              <w:bottom w:w="85" w:type="dxa"/>
              <w:left w:w="90" w:type="dxa"/>
              <w:right w:w="90" w:type="dxa"/>
            </w:tcMar>
          </w:tcPr>
          <w:p>
            <w:pPr>
              <w:keepLines/>
              <w:spacing w:after="0" w:line="252" w:lineRule="auto"/>
            </w:pPr>
            <w:r>
              <w:rPr>
                <w:b w:val="0"/>
                <w:sz w:val="20"/>
              </w:rPr>
              <w:t>USD 5.112m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C, ten routed banks, including 20% reserve</w:t>
            </w:r>
          </w:p>
        </w:tc>
        <w:tc>
          <w:tcPr>
            <w:tcW w:type="dxa" w:w="1656"/>
            <w:vAlign w:val="center"/>
            <w:tcMar>
              <w:top w:w="85" w:type="dxa"/>
              <w:bottom w:w="85" w:type="dxa"/>
              <w:left w:w="90" w:type="dxa"/>
              <w:right w:w="90" w:type="dxa"/>
            </w:tcMar>
          </w:tcPr>
          <w:p>
            <w:pPr>
              <w:keepLines/>
              <w:spacing w:after="0" w:line="252" w:lineRule="auto"/>
            </w:pPr>
            <w:r>
              <w:rPr>
                <w:b w:val="0"/>
                <w:sz w:val="20"/>
              </w:rPr>
              <w:t>USD 1.776m</w:t>
            </w:r>
          </w:p>
        </w:tc>
        <w:tc>
          <w:tcPr>
            <w:tcW w:type="dxa" w:w="1656"/>
            <w:vAlign w:val="center"/>
            <w:tcMar>
              <w:top w:w="85" w:type="dxa"/>
              <w:bottom w:w="85" w:type="dxa"/>
              <w:left w:w="90" w:type="dxa"/>
              <w:right w:w="90" w:type="dxa"/>
            </w:tcMar>
          </w:tcPr>
          <w:p>
            <w:pPr>
              <w:keepLines/>
              <w:spacing w:after="0" w:line="252" w:lineRule="auto"/>
            </w:pPr>
            <w:r>
              <w:rPr>
                <w:b w:val="0"/>
                <w:sz w:val="20"/>
              </w:rPr>
              <w:t>USD 3.312m</w:t>
            </w:r>
          </w:p>
        </w:tc>
        <w:tc>
          <w:tcPr>
            <w:tcW w:type="dxa" w:w="1656"/>
            <w:vAlign w:val="center"/>
            <w:tcMar>
              <w:top w:w="85" w:type="dxa"/>
              <w:bottom w:w="85" w:type="dxa"/>
              <w:left w:w="90" w:type="dxa"/>
              <w:right w:w="90" w:type="dxa"/>
            </w:tcMar>
          </w:tcPr>
          <w:p>
            <w:pPr>
              <w:keepLines/>
              <w:spacing w:after="0" w:line="252" w:lineRule="auto"/>
            </w:pPr>
            <w:r>
              <w:rPr>
                <w:b w:val="0"/>
                <w:sz w:val="20"/>
              </w:rPr>
              <w:t>USD 5.400m</w:t>
            </w:r>
          </w:p>
        </w:tc>
      </w:tr>
      <w:tr>
        <w:trPr>
          <w:cantSplit/>
        </w:trPr>
        <w:tc>
          <w:tcPr>
            <w:tcW w:type="dxa" w:w="4824"/>
            <w:vAlign w:val="center"/>
            <w:tcMar>
              <w:top w:w="85" w:type="dxa"/>
              <w:bottom w:w="85" w:type="dxa"/>
              <w:left w:w="90" w:type="dxa"/>
              <w:right w:w="90" w:type="dxa"/>
            </w:tcMar>
          </w:tcPr>
          <w:p>
            <w:pPr>
              <w:keepLines/>
              <w:spacing w:after="0" w:line="252" w:lineRule="auto"/>
            </w:pPr>
            <w:r>
              <w:rPr>
                <w:b w:val="0"/>
                <w:sz w:val="20"/>
              </w:rPr>
              <w:t>D independent-section reference, including 20% reserve</w:t>
            </w:r>
          </w:p>
        </w:tc>
        <w:tc>
          <w:tcPr>
            <w:tcW w:type="dxa" w:w="1656"/>
            <w:vAlign w:val="center"/>
            <w:tcMar>
              <w:top w:w="85" w:type="dxa"/>
              <w:bottom w:w="85" w:type="dxa"/>
              <w:left w:w="90" w:type="dxa"/>
              <w:right w:w="90" w:type="dxa"/>
            </w:tcMar>
          </w:tcPr>
          <w:p>
            <w:pPr>
              <w:keepLines/>
              <w:spacing w:after="0" w:line="252" w:lineRule="auto"/>
            </w:pPr>
            <w:r>
              <w:rPr>
                <w:b w:val="0"/>
                <w:sz w:val="20"/>
              </w:rPr>
              <w:t>USD 2.381m</w:t>
            </w:r>
          </w:p>
        </w:tc>
        <w:tc>
          <w:tcPr>
            <w:tcW w:type="dxa" w:w="1656"/>
            <w:vAlign w:val="center"/>
            <w:tcMar>
              <w:top w:w="85" w:type="dxa"/>
              <w:bottom w:w="85" w:type="dxa"/>
              <w:left w:w="90" w:type="dxa"/>
              <w:right w:w="90" w:type="dxa"/>
            </w:tcMar>
          </w:tcPr>
          <w:p>
            <w:pPr>
              <w:keepLines/>
              <w:spacing w:after="0" w:line="252" w:lineRule="auto"/>
            </w:pPr>
            <w:r>
              <w:rPr>
                <w:b w:val="0"/>
                <w:sz w:val="20"/>
              </w:rPr>
              <w:t>USD 4.450m</w:t>
            </w:r>
          </w:p>
        </w:tc>
        <w:tc>
          <w:tcPr>
            <w:tcW w:type="dxa" w:w="1656"/>
            <w:vAlign w:val="center"/>
            <w:tcMar>
              <w:top w:w="85" w:type="dxa"/>
              <w:bottom w:w="85" w:type="dxa"/>
              <w:left w:w="90" w:type="dxa"/>
              <w:right w:w="90" w:type="dxa"/>
            </w:tcMar>
          </w:tcPr>
          <w:p>
            <w:pPr>
              <w:keepLines/>
              <w:spacing w:after="0" w:line="252" w:lineRule="auto"/>
            </w:pPr>
            <w:r>
              <w:rPr>
                <w:b w:val="0"/>
                <w:sz w:val="20"/>
              </w:rPr>
              <w:t>USD 6.926m</w:t>
            </w:r>
          </w:p>
        </w:tc>
      </w:tr>
    </w:tbl>
    <w:p>
      <w:pPr>
        <w:spacing w:after="40"/>
      </w:pPr>
    </w:p>
    <w:p>
      <w:pPr/>
      <w:r>
        <w:rPr>
          <w:b w:val="0"/>
        </w:rPr>
        <w:t>Bridge rates are deliberately assumed USD 40/80/120 per kW-equivalent, including bridge, gate drive, local sensing/protection/controller and cabinet share. These are aggressive repeat-manufacture/custom-industrial targets, not established market prices. B assumes four 2.5 MW-equivalent bridges; C assumes eight or ten 1 MW-equivalent banks plus USD 0.12/0.30/0.60m routing equipment; D assumes thirty-two 0.8 MW-equivalent channels. None is a qualified current/kVA rating. Actual quotations must specify voltage, peak/RMS current, pulse and repeated duty, isolation, cooling, ambient rating and fault behavior. The services allowance initially targets 60 s charging; the 45 s alternative needs a separately adequate rating and price.</w:t>
      </w:r>
    </w:p>
    <w:p>
      <w:pPr/>
      <w:r>
        <w:rPr>
          <w:b w:val="0"/>
        </w:rPr>
        <w:t>At the middle rates, an eight-bank routed design saves USD 160,000 in bridge allowance versus B but adds USD 300,000 for selectors. It is therefore USD 140,000 more expensive before reserve. Under that model, routing breaks even only if the fixed-group design needs more than 11.75 MW-equivalent hardware, before loss, maintenance and qualification effects. A 225 m independent-section variant could exchange more winding for lower channel ratings; that also needs a complete quote. Price long, low-current fixed groups seriously before assuming that the shortest winding and elaborate switching are cheapest.</w:t>
      </w:r>
    </w:p>
    <w:p>
      <w:pPr/>
      <w:r>
        <w:rPr>
          <w:b w:val="0"/>
        </w:rPr>
        <w:t>The table excludes non-recurring magnetic/control development, qualification, factory capital/tooling, external utility reinforcement, platform/station buildings, depot/recovery, land, taxes/duties, financing and omitted contractor/programme costs. Twenty per cent reserve is not a substitute for those items. For one two-direction station per route-km, the middle B direct subtotal adds USD 2.46m/km to the existing USD 3.313m/km incomplete guideway scope: USD 5.773m/km for the two counted scopes, or USD 6.928m/km with a common 20% reserve. Count terminals explicitly. This is not a complete railway price or an equal-scope comparison against conventional light rail.</w:t>
      </w:r>
    </w:p>
    <w:p>
      <w:pPr/>
      <w:r>
        <w:rPr>
          <w:b w:val="0"/>
        </w:rPr>
        <w:t>The next package should resolve the largest uncertainty first: useful force and electrical loading from the actual ferrite geometry. Use FEMM only for appropriate two-dimensional checks, Gmsh/Elmer for nonlinear three-dimensional fields and transient losses, and OpenModelica for winding, supply, thermal and storage behavior. The current SciPy trajectory study supplies demand and overlap histories; it is not an electromagnetic simulation. Generate R/L/flux/force maps, then integrate group selection, controller firmware, two-direction power and the resource timetable. Link every cassette, bridge, selector, wire, sensor, calibration and acceptance test to the same CAD/BOM revision. [R25–R28]</w:t>
      </w:r>
    </w:p>
    <w:p>
      <w:pPr/>
      <w:r>
        <w:rPr>
          <w:b w:val="0"/>
        </w:rPr>
        <w:t>Build one full-scale cross-section/cassette first, then two sections with controlled movement, low-energy current control and measured force handover. Demonstrate thrust with acceptable normal-force disturbance, phase sensing at zero speed, braking into the resistor, supply-fault behavior and repeated thermal duty. Use an STM32 bench controller or an open algorithm reference as a development aid; independently qualify protection and railway authority. Procurement should follow the force/current/voltage evidence, allowing the simple fixed-group design to win if its losses and ratings are acceptable. [R51–R53]</w:t>
      </w:r>
    </w:p>
    <w:p>
      <w:pPr>
        <w:pStyle w:val="Heading1"/>
        <w:pageBreakBefore/>
      </w:pPr>
      <w:r>
        <w:t>GFRP body takeoff and design cases</w:t>
      </w:r>
    </w:p>
    <w:p>
      <w:pPr/>
      <w:r>
        <w:rPr>
          <w:b w:val="0"/>
        </w:rPr>
        <w:t>The body study uses a 17.0 m length, 2.65 m width and 2.80 m exterior body height, excluding the suspension envelope. Four 1.40 m by 2.10 m door openings, 24.0 m² side glazing and 6.5 m² combined end glazing/gangway openings leave 112.83 m² of upper-shell sandwich including the roof. The floor is 45.05 m². End and intermediate cars need separate final takeoffs. These dimensions and openings are explicit study assumptions.</w:t>
      </w:r>
    </w:p>
    <w:p>
      <w:pPr/>
      <w:r>
        <w:rPr>
          <w:b w:val="0"/>
        </w:rPr>
        <w:t>Panel mass = area × [GFRP density × total face thickness + core density × core thickness + bonding/finish area mass].</w:t>
      </w:r>
    </w:p>
    <w:p>
      <w:pPr/>
      <w:r>
        <w:rPr>
          <w:b w:val="0"/>
        </w:rPr>
        <w:t>The central upper panel uses two 2.0 mm GFRP faces, 40 mm of 80 kg/m³ core and 0.7 kg/m² bonding/surface material: 11.50 kg/m² and 1,297.5 kg total. The central floor uses 4.5 mm combined faces, 60 mm of 100 kg/m³ core and 1.0 kg/m² allowance: 15.55 kg/m² and 700.5 kg total. The GFRP density assumption is 1,900 kg/m³. Supplier data provide context for density and process options, but these are unvalidated layups. [R37, R38]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1800"/>
        <w:gridCol w:w="1800"/>
        <w:gridCol w:w="1800"/>
      </w:tblGrid>
      <w:tr>
        <w:trPr>
          <w:cantSplit/>
          <w:tblHeader/>
        </w:trPr>
        <w:tc>
          <w:tcPr>
            <w:tcW w:type="dxa" w:w="4392"/>
            <w:vAlign w:val="center"/>
            <w:tcMar>
              <w:top w:w="85" w:type="dxa"/>
              <w:bottom w:w="85" w:type="dxa"/>
              <w:left w:w="90" w:type="dxa"/>
              <w:right w:w="90" w:type="dxa"/>
            </w:tcMar>
            <w:shd w:fill="F2F2F2"/>
          </w:tcPr>
          <w:p>
            <w:pPr>
              <w:keepNext/>
              <w:keepLines/>
              <w:spacing w:after="0" w:line="252" w:lineRule="auto"/>
            </w:pPr>
            <w:r>
              <w:rPr>
                <w:b/>
                <w:sz w:val="20"/>
              </w:rPr>
              <w:t>Body component, kg/car</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Stretch</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Central</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Conservative</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Roof, side and end panel stock</w:t>
            </w:r>
          </w:p>
        </w:tc>
        <w:tc>
          <w:tcPr>
            <w:tcW w:type="dxa" w:w="1800"/>
            <w:vAlign w:val="center"/>
            <w:tcMar>
              <w:top w:w="85" w:type="dxa"/>
              <w:bottom w:w="85" w:type="dxa"/>
              <w:left w:w="90" w:type="dxa"/>
              <w:right w:w="90" w:type="dxa"/>
            </w:tcMar>
          </w:tcPr>
          <w:p>
            <w:pPr>
              <w:keepLines/>
              <w:spacing w:after="0" w:line="252" w:lineRule="auto"/>
            </w:pPr>
            <w:r>
              <w:rPr>
                <w:b w:val="0"/>
                <w:sz w:val="20"/>
              </w:rPr>
              <w:t>1,070</w:t>
            </w:r>
          </w:p>
        </w:tc>
        <w:tc>
          <w:tcPr>
            <w:tcW w:type="dxa" w:w="1800"/>
            <w:vAlign w:val="center"/>
            <w:tcMar>
              <w:top w:w="85" w:type="dxa"/>
              <w:bottom w:w="85" w:type="dxa"/>
              <w:left w:w="90" w:type="dxa"/>
              <w:right w:w="90" w:type="dxa"/>
            </w:tcMar>
          </w:tcPr>
          <w:p>
            <w:pPr>
              <w:keepLines/>
              <w:spacing w:after="0" w:line="252" w:lineRule="auto"/>
            </w:pPr>
            <w:r>
              <w:rPr>
                <w:b w:val="0"/>
                <w:sz w:val="20"/>
              </w:rPr>
              <w:t>1,300</w:t>
            </w:r>
          </w:p>
        </w:tc>
        <w:tc>
          <w:tcPr>
            <w:tcW w:type="dxa" w:w="1800"/>
            <w:vAlign w:val="center"/>
            <w:tcMar>
              <w:top w:w="85" w:type="dxa"/>
              <w:bottom w:w="85" w:type="dxa"/>
              <w:left w:w="90" w:type="dxa"/>
              <w:right w:w="90" w:type="dxa"/>
            </w:tcMar>
          </w:tcPr>
          <w:p>
            <w:pPr>
              <w:keepLines/>
              <w:spacing w:after="0" w:line="252" w:lineRule="auto"/>
            </w:pPr>
            <w:r>
              <w:rPr>
                <w:b w:val="0"/>
                <w:sz w:val="20"/>
              </w:rPr>
              <w:t>1,530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Structural floor panel stock</w:t>
            </w:r>
          </w:p>
        </w:tc>
        <w:tc>
          <w:tcPr>
            <w:tcW w:type="dxa" w:w="1800"/>
            <w:vAlign w:val="center"/>
            <w:tcMar>
              <w:top w:w="85" w:type="dxa"/>
              <w:bottom w:w="85" w:type="dxa"/>
              <w:left w:w="90" w:type="dxa"/>
              <w:right w:w="90" w:type="dxa"/>
            </w:tcMar>
          </w:tcPr>
          <w:p>
            <w:pPr>
              <w:keepLines/>
              <w:spacing w:after="0" w:line="252" w:lineRule="auto"/>
            </w:pPr>
            <w:r>
              <w:rPr>
                <w:b w:val="0"/>
                <w:sz w:val="20"/>
              </w:rPr>
              <w:t>560</w:t>
            </w:r>
          </w:p>
        </w:tc>
        <w:tc>
          <w:tcPr>
            <w:tcW w:type="dxa" w:w="1800"/>
            <w:vAlign w:val="center"/>
            <w:tcMar>
              <w:top w:w="85" w:type="dxa"/>
              <w:bottom w:w="85" w:type="dxa"/>
              <w:left w:w="90" w:type="dxa"/>
              <w:right w:w="90" w:type="dxa"/>
            </w:tcMar>
          </w:tcPr>
          <w:p>
            <w:pPr>
              <w:keepLines/>
              <w:spacing w:after="0" w:line="252" w:lineRule="auto"/>
            </w:pPr>
            <w:r>
              <w:rPr>
                <w:b w:val="0"/>
                <w:sz w:val="20"/>
              </w:rPr>
              <w:t>700</w:t>
            </w:r>
          </w:p>
        </w:tc>
        <w:tc>
          <w:tcPr>
            <w:tcW w:type="dxa" w:w="1800"/>
            <w:vAlign w:val="center"/>
            <w:tcMar>
              <w:top w:w="85" w:type="dxa"/>
              <w:bottom w:w="85" w:type="dxa"/>
              <w:left w:w="90" w:type="dxa"/>
              <w:right w:w="90" w:type="dxa"/>
            </w:tcMar>
          </w:tcPr>
          <w:p>
            <w:pPr>
              <w:keepLines/>
              <w:spacing w:after="0" w:line="252" w:lineRule="auto"/>
            </w:pPr>
            <w:r>
              <w:rPr>
                <w:b w:val="0"/>
                <w:sz w:val="20"/>
              </w:rPr>
              <w:t>880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Primary load paths and body-side hardpoints</w:t>
            </w:r>
          </w:p>
        </w:tc>
        <w:tc>
          <w:tcPr>
            <w:tcW w:type="dxa" w:w="1800"/>
            <w:vAlign w:val="center"/>
            <w:tcMar>
              <w:top w:w="85" w:type="dxa"/>
              <w:bottom w:w="85" w:type="dxa"/>
              <w:left w:w="90" w:type="dxa"/>
              <w:right w:w="90" w:type="dxa"/>
            </w:tcMar>
          </w:tcPr>
          <w:p>
            <w:pPr>
              <w:keepLines/>
              <w:spacing w:after="0" w:line="252" w:lineRule="auto"/>
            </w:pPr>
            <w:r>
              <w:rPr>
                <w:b w:val="0"/>
                <w:sz w:val="20"/>
              </w:rPr>
              <w:t>700</w:t>
            </w:r>
          </w:p>
        </w:tc>
        <w:tc>
          <w:tcPr>
            <w:tcW w:type="dxa" w:w="1800"/>
            <w:vAlign w:val="center"/>
            <w:tcMar>
              <w:top w:w="85" w:type="dxa"/>
              <w:bottom w:w="85" w:type="dxa"/>
              <w:left w:w="90" w:type="dxa"/>
              <w:right w:w="90" w:type="dxa"/>
            </w:tcMar>
          </w:tcPr>
          <w:p>
            <w:pPr>
              <w:keepLines/>
              <w:spacing w:after="0" w:line="252" w:lineRule="auto"/>
            </w:pPr>
            <w:r>
              <w:rPr>
                <w:b w:val="0"/>
                <w:sz w:val="20"/>
              </w:rPr>
              <w:t>800</w:t>
            </w:r>
          </w:p>
        </w:tc>
        <w:tc>
          <w:tcPr>
            <w:tcW w:type="dxa" w:w="1800"/>
            <w:vAlign w:val="center"/>
            <w:tcMar>
              <w:top w:w="85" w:type="dxa"/>
              <w:bottom w:w="85" w:type="dxa"/>
              <w:left w:w="90" w:type="dxa"/>
              <w:right w:w="90" w:type="dxa"/>
            </w:tcMar>
          </w:tcPr>
          <w:p>
            <w:pPr>
              <w:keepLines/>
              <w:spacing w:after="0" w:line="252" w:lineRule="auto"/>
            </w:pPr>
            <w:r>
              <w:rPr>
                <w:b w:val="0"/>
                <w:sz w:val="20"/>
              </w:rPr>
              <w:t>1,000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Opening frames, joints, local reinforcement and inserts</w:t>
            </w:r>
          </w:p>
        </w:tc>
        <w:tc>
          <w:tcPr>
            <w:tcW w:type="dxa" w:w="1800"/>
            <w:vAlign w:val="center"/>
            <w:tcMar>
              <w:top w:w="85" w:type="dxa"/>
              <w:bottom w:w="85" w:type="dxa"/>
              <w:left w:w="90" w:type="dxa"/>
              <w:right w:w="90" w:type="dxa"/>
            </w:tcMar>
          </w:tcPr>
          <w:p>
            <w:pPr>
              <w:keepLines/>
              <w:spacing w:after="0" w:line="252" w:lineRule="auto"/>
            </w:pPr>
            <w:r>
              <w:rPr>
                <w:b w:val="0"/>
                <w:sz w:val="20"/>
              </w:rPr>
              <w:t>350</w:t>
            </w:r>
          </w:p>
        </w:tc>
        <w:tc>
          <w:tcPr>
            <w:tcW w:type="dxa" w:w="1800"/>
            <w:vAlign w:val="center"/>
            <w:tcMar>
              <w:top w:w="85" w:type="dxa"/>
              <w:bottom w:w="85" w:type="dxa"/>
              <w:left w:w="90" w:type="dxa"/>
              <w:right w:w="90" w:type="dxa"/>
            </w:tcMar>
          </w:tcPr>
          <w:p>
            <w:pPr>
              <w:keepLines/>
              <w:spacing w:after="0" w:line="252" w:lineRule="auto"/>
            </w:pPr>
            <w:r>
              <w:rPr>
                <w:b w:val="0"/>
                <w:sz w:val="20"/>
              </w:rPr>
              <w:t>400</w:t>
            </w:r>
          </w:p>
        </w:tc>
        <w:tc>
          <w:tcPr>
            <w:tcW w:type="dxa" w:w="1800"/>
            <w:vAlign w:val="center"/>
            <w:tcMar>
              <w:top w:w="85" w:type="dxa"/>
              <w:bottom w:w="85" w:type="dxa"/>
              <w:left w:w="90" w:type="dxa"/>
              <w:right w:w="90" w:type="dxa"/>
            </w:tcMar>
          </w:tcPr>
          <w:p>
            <w:pPr>
              <w:keepLines/>
              <w:spacing w:after="0" w:line="252" w:lineRule="auto"/>
            </w:pPr>
            <w:r>
              <w:rPr>
                <w:b w:val="0"/>
                <w:sz w:val="20"/>
              </w:rPr>
              <w:t>500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Bare structural body subtotal</w:t>
            </w:r>
          </w:p>
        </w:tc>
        <w:tc>
          <w:tcPr>
            <w:tcW w:type="dxa" w:w="1800"/>
            <w:vAlign w:val="center"/>
            <w:tcMar>
              <w:top w:w="85" w:type="dxa"/>
              <w:bottom w:w="85" w:type="dxa"/>
              <w:left w:w="90" w:type="dxa"/>
              <w:right w:w="90" w:type="dxa"/>
            </w:tcMar>
          </w:tcPr>
          <w:p>
            <w:pPr>
              <w:keepLines/>
              <w:spacing w:after="0" w:line="252" w:lineRule="auto"/>
            </w:pPr>
            <w:r>
              <w:rPr>
                <w:b w:val="0"/>
                <w:sz w:val="20"/>
              </w:rPr>
              <w:t>2,680</w:t>
            </w:r>
          </w:p>
        </w:tc>
        <w:tc>
          <w:tcPr>
            <w:tcW w:type="dxa" w:w="1800"/>
            <w:vAlign w:val="center"/>
            <w:tcMar>
              <w:top w:w="85" w:type="dxa"/>
              <w:bottom w:w="85" w:type="dxa"/>
              <w:left w:w="90" w:type="dxa"/>
              <w:right w:w="90" w:type="dxa"/>
            </w:tcMar>
          </w:tcPr>
          <w:p>
            <w:pPr>
              <w:keepLines/>
              <w:spacing w:after="0" w:line="252" w:lineRule="auto"/>
            </w:pPr>
            <w:r>
              <w:rPr>
                <w:b w:val="0"/>
                <w:sz w:val="20"/>
              </w:rPr>
              <w:t>3,200</w:t>
            </w:r>
          </w:p>
        </w:tc>
        <w:tc>
          <w:tcPr>
            <w:tcW w:type="dxa" w:w="1800"/>
            <w:vAlign w:val="center"/>
            <w:tcMar>
              <w:top w:w="85" w:type="dxa"/>
              <w:bottom w:w="85" w:type="dxa"/>
              <w:left w:w="90" w:type="dxa"/>
              <w:right w:w="90" w:type="dxa"/>
            </w:tcMar>
          </w:tcPr>
          <w:p>
            <w:pPr>
              <w:keepLines/>
              <w:spacing w:after="0" w:line="252" w:lineRule="auto"/>
            </w:pPr>
            <w:r>
              <w:rPr>
                <w:b w:val="0"/>
                <w:sz w:val="20"/>
              </w:rPr>
              <w:t>3,910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Complete doors, drives, guides, seals and locks</w:t>
            </w:r>
          </w:p>
        </w:tc>
        <w:tc>
          <w:tcPr>
            <w:tcW w:type="dxa" w:w="1800"/>
            <w:vAlign w:val="center"/>
            <w:tcMar>
              <w:top w:w="85" w:type="dxa"/>
              <w:bottom w:w="85" w:type="dxa"/>
              <w:left w:w="90" w:type="dxa"/>
              <w:right w:w="90" w:type="dxa"/>
            </w:tcMar>
          </w:tcPr>
          <w:p>
            <w:pPr>
              <w:keepLines/>
              <w:spacing w:after="0" w:line="252" w:lineRule="auto"/>
            </w:pPr>
            <w:r>
              <w:rPr>
                <w:b w:val="0"/>
                <w:sz w:val="20"/>
              </w:rPr>
              <w:t>450</w:t>
            </w:r>
          </w:p>
        </w:tc>
        <w:tc>
          <w:tcPr>
            <w:tcW w:type="dxa" w:w="1800"/>
            <w:vAlign w:val="center"/>
            <w:tcMar>
              <w:top w:w="85" w:type="dxa"/>
              <w:bottom w:w="85" w:type="dxa"/>
              <w:left w:w="90" w:type="dxa"/>
              <w:right w:w="90" w:type="dxa"/>
            </w:tcMar>
          </w:tcPr>
          <w:p>
            <w:pPr>
              <w:keepLines/>
              <w:spacing w:after="0" w:line="252" w:lineRule="auto"/>
            </w:pPr>
            <w:r>
              <w:rPr>
                <w:b w:val="0"/>
                <w:sz w:val="20"/>
              </w:rPr>
              <w:t>500</w:t>
            </w:r>
          </w:p>
        </w:tc>
        <w:tc>
          <w:tcPr>
            <w:tcW w:type="dxa" w:w="1800"/>
            <w:vAlign w:val="center"/>
            <w:tcMar>
              <w:top w:w="85" w:type="dxa"/>
              <w:bottom w:w="85" w:type="dxa"/>
              <w:left w:w="90" w:type="dxa"/>
              <w:right w:w="90" w:type="dxa"/>
            </w:tcMar>
          </w:tcPr>
          <w:p>
            <w:pPr>
              <w:keepLines/>
              <w:spacing w:after="0" w:line="252" w:lineRule="auto"/>
            </w:pPr>
            <w:r>
              <w:rPr>
                <w:b w:val="0"/>
                <w:sz w:val="20"/>
              </w:rPr>
              <w:t>600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Glazing, seals and glazing fixtures</w:t>
            </w:r>
          </w:p>
        </w:tc>
        <w:tc>
          <w:tcPr>
            <w:tcW w:type="dxa" w:w="1800"/>
            <w:vAlign w:val="center"/>
            <w:tcMar>
              <w:top w:w="85" w:type="dxa"/>
              <w:bottom w:w="85" w:type="dxa"/>
              <w:left w:w="90" w:type="dxa"/>
              <w:right w:w="90" w:type="dxa"/>
            </w:tcMar>
          </w:tcPr>
          <w:p>
            <w:pPr>
              <w:keepLines/>
              <w:spacing w:after="0" w:line="252" w:lineRule="auto"/>
            </w:pPr>
            <w:r>
              <w:rPr>
                <w:b w:val="0"/>
                <w:sz w:val="20"/>
              </w:rPr>
              <w:t>450</w:t>
            </w:r>
          </w:p>
        </w:tc>
        <w:tc>
          <w:tcPr>
            <w:tcW w:type="dxa" w:w="1800"/>
            <w:vAlign w:val="center"/>
            <w:tcMar>
              <w:top w:w="85" w:type="dxa"/>
              <w:bottom w:w="85" w:type="dxa"/>
              <w:left w:w="90" w:type="dxa"/>
              <w:right w:w="90" w:type="dxa"/>
            </w:tcMar>
          </w:tcPr>
          <w:p>
            <w:pPr>
              <w:keepLines/>
              <w:spacing w:after="0" w:line="252" w:lineRule="auto"/>
            </w:pPr>
            <w:r>
              <w:rPr>
                <w:b w:val="0"/>
                <w:sz w:val="20"/>
              </w:rPr>
              <w:t>500</w:t>
            </w:r>
          </w:p>
        </w:tc>
        <w:tc>
          <w:tcPr>
            <w:tcW w:type="dxa" w:w="1800"/>
            <w:vAlign w:val="center"/>
            <w:tcMar>
              <w:top w:w="85" w:type="dxa"/>
              <w:bottom w:w="85" w:type="dxa"/>
              <w:left w:w="90" w:type="dxa"/>
              <w:right w:w="90" w:type="dxa"/>
            </w:tcMar>
          </w:tcPr>
          <w:p>
            <w:pPr>
              <w:keepLines/>
              <w:spacing w:after="0" w:line="252" w:lineRule="auto"/>
            </w:pPr>
            <w:r>
              <w:rPr>
                <w:b w:val="0"/>
                <w:sz w:val="20"/>
              </w:rPr>
              <w:t>600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Seats, handrails, trim, fittings and floor wear finish</w:t>
            </w:r>
          </w:p>
        </w:tc>
        <w:tc>
          <w:tcPr>
            <w:tcW w:type="dxa" w:w="1800"/>
            <w:vAlign w:val="center"/>
            <w:tcMar>
              <w:top w:w="85" w:type="dxa"/>
              <w:bottom w:w="85" w:type="dxa"/>
              <w:left w:w="90" w:type="dxa"/>
              <w:right w:w="90" w:type="dxa"/>
            </w:tcMar>
          </w:tcPr>
          <w:p>
            <w:pPr>
              <w:keepLines/>
              <w:spacing w:after="0" w:line="252" w:lineRule="auto"/>
            </w:pPr>
            <w:r>
              <w:rPr>
                <w:b w:val="0"/>
                <w:sz w:val="20"/>
              </w:rPr>
              <w:t>650</w:t>
            </w:r>
          </w:p>
        </w:tc>
        <w:tc>
          <w:tcPr>
            <w:tcW w:type="dxa" w:w="1800"/>
            <w:vAlign w:val="center"/>
            <w:tcMar>
              <w:top w:w="85" w:type="dxa"/>
              <w:bottom w:w="85" w:type="dxa"/>
              <w:left w:w="90" w:type="dxa"/>
              <w:right w:w="90" w:type="dxa"/>
            </w:tcMar>
          </w:tcPr>
          <w:p>
            <w:pPr>
              <w:keepLines/>
              <w:spacing w:after="0" w:line="252" w:lineRule="auto"/>
            </w:pPr>
            <w:r>
              <w:rPr>
                <w:b w:val="0"/>
                <w:sz w:val="20"/>
              </w:rPr>
              <w:t>800</w:t>
            </w:r>
          </w:p>
        </w:tc>
        <w:tc>
          <w:tcPr>
            <w:tcW w:type="dxa" w:w="1800"/>
            <w:vAlign w:val="center"/>
            <w:tcMar>
              <w:top w:w="85" w:type="dxa"/>
              <w:bottom w:w="85" w:type="dxa"/>
              <w:left w:w="90" w:type="dxa"/>
              <w:right w:w="90" w:type="dxa"/>
            </w:tcMar>
          </w:tcPr>
          <w:p>
            <w:pPr>
              <w:keepLines/>
              <w:spacing w:after="0" w:line="252" w:lineRule="auto"/>
            </w:pPr>
            <w:r>
              <w:rPr>
                <w:b w:val="0"/>
                <w:sz w:val="20"/>
              </w:rPr>
              <w:t>900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Additional acoustic, thermal and fire treatment</w:t>
            </w:r>
          </w:p>
        </w:tc>
        <w:tc>
          <w:tcPr>
            <w:tcW w:type="dxa" w:w="1800"/>
            <w:vAlign w:val="center"/>
            <w:tcMar>
              <w:top w:w="85" w:type="dxa"/>
              <w:bottom w:w="85" w:type="dxa"/>
              <w:left w:w="90" w:type="dxa"/>
              <w:right w:w="90" w:type="dxa"/>
            </w:tcMar>
          </w:tcPr>
          <w:p>
            <w:pPr>
              <w:keepLines/>
              <w:spacing w:after="0" w:line="252" w:lineRule="auto"/>
            </w:pPr>
            <w:r>
              <w:rPr>
                <w:b w:val="0"/>
                <w:sz w:val="20"/>
              </w:rPr>
              <w:t>150</w:t>
            </w:r>
          </w:p>
        </w:tc>
        <w:tc>
          <w:tcPr>
            <w:tcW w:type="dxa" w:w="1800"/>
            <w:vAlign w:val="center"/>
            <w:tcMar>
              <w:top w:w="85" w:type="dxa"/>
              <w:bottom w:w="85" w:type="dxa"/>
              <w:left w:w="90" w:type="dxa"/>
              <w:right w:w="90" w:type="dxa"/>
            </w:tcMar>
          </w:tcPr>
          <w:p>
            <w:pPr>
              <w:keepLines/>
              <w:spacing w:after="0" w:line="252" w:lineRule="auto"/>
            </w:pPr>
            <w:r>
              <w:rPr>
                <w:b w:val="0"/>
                <w:sz w:val="20"/>
              </w:rPr>
              <w:t>200</w:t>
            </w:r>
          </w:p>
        </w:tc>
        <w:tc>
          <w:tcPr>
            <w:tcW w:type="dxa" w:w="1800"/>
            <w:vAlign w:val="center"/>
            <w:tcMar>
              <w:top w:w="85" w:type="dxa"/>
              <w:bottom w:w="85" w:type="dxa"/>
              <w:left w:w="90" w:type="dxa"/>
              <w:right w:w="90" w:type="dxa"/>
            </w:tcMar>
          </w:tcPr>
          <w:p>
            <w:pPr>
              <w:keepLines/>
              <w:spacing w:after="0" w:line="252" w:lineRule="auto"/>
            </w:pPr>
            <w:r>
              <w:rPr>
                <w:b w:val="0"/>
                <w:sz w:val="20"/>
              </w:rPr>
              <w:t>300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Calculated equipped total</w:t>
            </w:r>
          </w:p>
        </w:tc>
        <w:tc>
          <w:tcPr>
            <w:tcW w:type="dxa" w:w="1800"/>
            <w:vAlign w:val="center"/>
            <w:tcMar>
              <w:top w:w="85" w:type="dxa"/>
              <w:bottom w:w="85" w:type="dxa"/>
              <w:left w:w="90" w:type="dxa"/>
              <w:right w:w="90" w:type="dxa"/>
            </w:tcMar>
          </w:tcPr>
          <w:p>
            <w:pPr>
              <w:keepLines/>
              <w:spacing w:after="0" w:line="252" w:lineRule="auto"/>
            </w:pPr>
            <w:r>
              <w:rPr>
                <w:b w:val="0"/>
                <w:sz w:val="20"/>
              </w:rPr>
              <w:t>4,380</w:t>
            </w:r>
          </w:p>
        </w:tc>
        <w:tc>
          <w:tcPr>
            <w:tcW w:type="dxa" w:w="1800"/>
            <w:vAlign w:val="center"/>
            <w:tcMar>
              <w:top w:w="85" w:type="dxa"/>
              <w:bottom w:w="85" w:type="dxa"/>
              <w:left w:w="90" w:type="dxa"/>
              <w:right w:w="90" w:type="dxa"/>
            </w:tcMar>
          </w:tcPr>
          <w:p>
            <w:pPr>
              <w:keepLines/>
              <w:spacing w:after="0" w:line="252" w:lineRule="auto"/>
            </w:pPr>
            <w:r>
              <w:rPr>
                <w:b w:val="0"/>
                <w:sz w:val="20"/>
              </w:rPr>
              <w:t>5,200</w:t>
            </w:r>
          </w:p>
        </w:tc>
        <w:tc>
          <w:tcPr>
            <w:tcW w:type="dxa" w:w="1800"/>
            <w:vAlign w:val="center"/>
            <w:tcMar>
              <w:top w:w="85" w:type="dxa"/>
              <w:bottom w:w="85" w:type="dxa"/>
              <w:left w:w="90" w:type="dxa"/>
              <w:right w:w="90" w:type="dxa"/>
            </w:tcMar>
          </w:tcPr>
          <w:p>
            <w:pPr>
              <w:keepLines/>
              <w:spacing w:after="0" w:line="252" w:lineRule="auto"/>
            </w:pPr>
            <w:r>
              <w:rPr>
                <w:b w:val="0"/>
                <w:sz w:val="20"/>
              </w:rPr>
              <w:t>6,310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Rounded equipped-body target</w:t>
            </w:r>
          </w:p>
        </w:tc>
        <w:tc>
          <w:tcPr>
            <w:tcW w:type="dxa" w:w="1800"/>
            <w:vAlign w:val="center"/>
            <w:tcMar>
              <w:top w:w="85" w:type="dxa"/>
              <w:bottom w:w="85" w:type="dxa"/>
              <w:left w:w="90" w:type="dxa"/>
              <w:right w:w="90" w:type="dxa"/>
            </w:tcMar>
          </w:tcPr>
          <w:p>
            <w:pPr>
              <w:keepLines/>
              <w:spacing w:after="0" w:line="252" w:lineRule="auto"/>
            </w:pPr>
            <w:r>
              <w:rPr>
                <w:b w:val="0"/>
                <w:sz w:val="20"/>
              </w:rPr>
              <w:t>4,400</w:t>
            </w:r>
          </w:p>
        </w:tc>
        <w:tc>
          <w:tcPr>
            <w:tcW w:type="dxa" w:w="1800"/>
            <w:vAlign w:val="center"/>
            <w:tcMar>
              <w:top w:w="85" w:type="dxa"/>
              <w:bottom w:w="85" w:type="dxa"/>
              <w:left w:w="90" w:type="dxa"/>
              <w:right w:w="90" w:type="dxa"/>
            </w:tcMar>
          </w:tcPr>
          <w:p>
            <w:pPr>
              <w:keepLines/>
              <w:spacing w:after="0" w:line="252" w:lineRule="auto"/>
            </w:pPr>
            <w:r>
              <w:rPr>
                <w:b w:val="0"/>
                <w:sz w:val="20"/>
              </w:rPr>
              <w:t>5,200</w:t>
            </w:r>
          </w:p>
        </w:tc>
        <w:tc>
          <w:tcPr>
            <w:tcW w:type="dxa" w:w="1800"/>
            <w:vAlign w:val="center"/>
            <w:tcMar>
              <w:top w:w="85" w:type="dxa"/>
              <w:bottom w:w="85" w:type="dxa"/>
              <w:left w:w="90" w:type="dxa"/>
              <w:right w:w="90" w:type="dxa"/>
            </w:tcMar>
          </w:tcPr>
          <w:p>
            <w:pPr>
              <w:keepLines/>
              <w:spacing w:after="0" w:line="252" w:lineRule="auto"/>
            </w:pPr>
            <w:r>
              <w:rPr>
                <w:b w:val="0"/>
                <w:sz w:val="20"/>
              </w:rPr>
              <w:t>6,300</w:t>
            </w:r>
          </w:p>
        </w:tc>
      </w:tr>
    </w:tbl>
    <w:p>
      <w:pPr>
        <w:spacing w:after="40"/>
      </w:pPr>
    </w:p>
    <w:p>
      <w:pPr/>
      <w:r>
        <w:rPr>
          <w:b w:val="0"/>
        </w:rPr>
        <w:t>The stretch upper-panel layup uses 1.6 mm faces each, 35 mm of 80 kg/m³ core and 0.6 kg/m² surface/bond allowance; its floor uses 4.0 mm combined faces, 50 mm of 80 kg/m³ core and 0.8 kg/m² allowance. The conservative upper panel uses 2.3 mm faces each, 40 mm of 100 kg/m³ core and 0.8 kg/m² allowance; its floor uses 5.5 mm combined faces, 80 mm of 100 kg/m³ core and 1.0 kg/m² allowance. Replace the frame, joint, insert and local-reinforcement allocations with sized parts. Adjust panel masses for measured process tolerances and charge only growth beyond the existing allocations to reserve.</w:t>
      </w:r>
    </w:p>
    <w:p>
      <w:pPr/>
      <w:r>
        <w:rPr>
          <w:b w:val="0"/>
        </w:rPr>
        <w:t>The door allowance includes door leaves, their glazing and complete operating hardware; the separate glazing line covers fixed side/end glazing. Panel bonding/surface allowances cover bond material and basic coatings; floor wear finish and added acoustic/fire treatments are separate layers. Body-side hardpoints are included here; magnetic carriers remain in the separate support/guidance equipment allowance.</w:t>
      </w:r>
    </w:p>
    <w:p>
      <w:pPr/>
      <w:r>
        <w:rPr>
          <w:b w:val="0"/>
        </w:rPr>
      </w:r>
      <w:r>
        <w:rPr>
          <w:b/>
        </w:rPr>
        <w:t>Structural implications.</w:t>
      </w:r>
      <w:r>
        <w:rPr>
          <w:b w:val="0"/>
        </w:rPr>
        <w:t xml:space="preserve"> Maximum passengers impose 117.7 kN, equivalent to 2.61 kPa averaged over the entire floor. Real occupied areas have higher local loads. Check cross-floor bending/shear, door openings, longitudinal/coupler forces, unequal magnetic reactions, body torsion, lifting, landing and roof equipment. The central 800 kg primary-structure allocation is awaiting member sizing. Distributed lift can reduce the global bending associated with two bogie support points, but it does not eliminate these load paths.</w:t>
      </w:r>
    </w:p>
    <w:p>
      <w:pPr/>
      <w:r>
        <w:rPr>
          <w:b w:val="0"/>
        </w:rPr>
      </w:r>
      <w:r>
        <w:rPr>
          <w:b/>
        </w:rPr>
        <w:t>Material choice.</w:t>
      </w:r>
      <w:r>
        <w:rPr>
          <w:b w:val="0"/>
        </w:rPr>
        <w:t xml:space="preserve"> AIREX T90 provides a rail-oriented foam family with supplier-stated FST and thermal properties and infusion/RTM processing options. AIREX R82 provides a higher-temperature alternative with 60, 80 and 110 kg/m³ grades. Gurit PET provides the study density/process reference. Qualification belongs to the full laminate/core/adhesive/coating system. Use actual procurement density rather than a grade label: the July 2025 T90 datasheet lists T90.100 at an average 110 kg/m³. Substitution at 110 kg/m³ throughout both central cores adds about 162 kg/car at unchanged thickness. For example, substituting a 180 kg/m³ core throughout the central panels at unchanged thickness would add about 668 kg/car; a fire-retardant product label must not silently inherit the lighter density. [R38–R41]</w:t>
      </w:r>
    </w:p>
    <w:p>
      <w:pPr/>
      <w:r>
        <w:rPr>
          <w:b w:val="0"/>
        </w:rPr>
      </w:r>
      <w:r>
        <w:rPr>
          <w:b/>
        </w:rPr>
        <w:t>Manufacturing route.</w:t>
      </w:r>
      <w:r>
        <w:rPr>
          <w:b w:val="0"/>
        </w:rPr>
        <w:t xml:space="preserve"> Start with repeatable flat or gently curved sandwich parts, controlled vacuum infusion or light RTM, and bonded joints with appropriate local mechanical retention. Specify resin fraction, cure, bondline thickness, inserts, joint inspection and repair. Keep magnetic blocks and coils replaceable after body assembly. Avoid resin-rich hand manufacture consuming the saving. Every additional 0.1 mm on both upper-panel faces adds approximately 43 kg/car; 10 mm more upper-shell core at 80 kg/m³ adds about 90 kg.</w:t>
      </w:r>
    </w:p>
    <w:p>
      <w:pPr/>
      <w:r>
        <w:rPr>
          <w:b w:val="0"/>
        </w:rPr>
      </w:r>
      <w:r>
        <w:rPr>
          <w:b/>
        </w:rPr>
        <w:t>Purchasing quantities.</w:t>
      </w:r>
      <w:r>
        <w:rPr>
          <w:b w:val="0"/>
        </w:rPr>
        <w:t xml:space="preserve"> The central panel stock contains about 1,243 kg GFRP face laminate, 361 kg upper core, 270 kg floor core and 124 kg bonding/surface allowance. Using illustrative constituent densities of 2,550 kg/m³ glass and 1,200 kg/m³ resin, the face laminate corresponds to approximately 865 kg glass and 378 kg resin. Replace those with the selected process fibre fraction. Record cutting waste and discarded consumables in purchased quantities. Any extra resin, adhesive or coating retained in a part also increases installed mass; reconcile it against the laminate and surface allowances to prevent double-counting. Raw panel stock excludes primary members, fittings, equipment, labor, tooling and qualification.</w:t>
      </w:r>
    </w:p>
    <w:p>
      <w:pPr>
        <w:pStyle w:val="Heading1"/>
        <w:pageBreakBefore w:val="0"/>
      </w:pPr>
      <w:r>
        <w:t>Finite-magnet optimization and acceptance</w:t>
      </w:r>
    </w:p>
    <w:p>
      <w:pPr/>
      <w:r>
        <w:rPr>
          <w:b w:val="0"/>
        </w:rPr>
        <w:t>Rehberg and Blümler derive orientations for finite dipoles in rings and stacked rings. Their near-centre example gives approximately 2.8% more field and 40% more near-centre homogeneous area; these are different metrics. Their focused arrangements also improve field at selected off-plane distances. Laboratory rings used NdFeB cubes. OSR adapts the finite-magnet optimization method to ferrite linear cartridges; none of these ring percentages is a demonstrated railway lift or material saving. [R34]</w:t>
      </w:r>
    </w:p>
    <w:p>
      <w:pPr/>
      <w:r>
        <w:rPr>
          <w:b w:val="0"/>
        </w:rPr>
        <w:t>For a unit target direction e and unit vector r̂ from a dipole to the target, an air-core point-dipole initial orientation is m̂ parallel to 3r̂(r̂·e) − e. This maximizes one field component at one point. For a circular in-plane target it gives α = atan2(3 sin 2φ, 6 cos²φ − 2), rather than α = 2φ. Use this only as an initial estimate and reference benchmark; the rail problem involves a finite force area, steel permeability/saturation, coil fields and longitudinal periodicity.</w:t>
      </w:r>
    </w:p>
    <w:p>
      <w:pPr/>
      <w:r>
        <w:rPr>
          <w:b w:val="0"/>
        </w:rPr>
        <w:t>A direct reproduction uses 16 equal dipoles on a ring in the xy-plane, targeting the Bx component at (0, 0, hR). Orientations are re-optimized separately for each height. The table compares optimized and classical patterns at the same point; it benchmarks the calculation, not railway lift.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cantSplit/>
          <w:tblHeader/>
        </w:trPr>
        <w:tc>
          <w:tcPr>
            <w:tcW w:type="dxa" w:w="5328"/>
            <w:vAlign w:val="center"/>
            <w:tcMar>
              <w:top w:w="85" w:type="dxa"/>
              <w:bottom w:w="85" w:type="dxa"/>
              <w:left w:w="90" w:type="dxa"/>
              <w:right w:w="90" w:type="dxa"/>
            </w:tcMar>
            <w:shd w:fill="F2F2F2"/>
          </w:tcPr>
          <w:p>
            <w:pPr>
              <w:keepNext/>
              <w:keepLines/>
              <w:spacing w:after="0" w:line="252" w:lineRule="auto"/>
            </w:pPr>
            <w:r>
              <w:rPr>
                <w:b/>
                <w:sz w:val="20"/>
              </w:rPr>
              <w:t>Target height divided by ring radius</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Optimized/classical target field</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Field gain</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0.0</w:t>
            </w:r>
          </w:p>
        </w:tc>
        <w:tc>
          <w:tcPr>
            <w:tcW w:type="dxa" w:w="2232"/>
            <w:vAlign w:val="center"/>
            <w:tcMar>
              <w:top w:w="85" w:type="dxa"/>
              <w:bottom w:w="85" w:type="dxa"/>
              <w:left w:w="90" w:type="dxa"/>
              <w:right w:w="90" w:type="dxa"/>
            </w:tcMar>
          </w:tcPr>
          <w:p>
            <w:pPr>
              <w:keepLines/>
              <w:spacing w:after="0" w:line="252" w:lineRule="auto"/>
            </w:pPr>
            <w:r>
              <w:rPr>
                <w:b w:val="0"/>
                <w:sz w:val="20"/>
              </w:rPr>
              <w:t>1.02797</w:t>
            </w:r>
          </w:p>
        </w:tc>
        <w:tc>
          <w:tcPr>
            <w:tcW w:type="dxa" w:w="2232"/>
            <w:vAlign w:val="center"/>
            <w:tcMar>
              <w:top w:w="85" w:type="dxa"/>
              <w:bottom w:w="85" w:type="dxa"/>
              <w:left w:w="90" w:type="dxa"/>
              <w:right w:w="90" w:type="dxa"/>
            </w:tcMar>
          </w:tcPr>
          <w:p>
            <w:pPr>
              <w:keepLines/>
              <w:spacing w:after="0" w:line="252" w:lineRule="auto"/>
            </w:pPr>
            <w:r>
              <w:rPr>
                <w:b w:val="0"/>
                <w:sz w:val="20"/>
              </w:rPr>
              <w:t>2.80%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0.4</w:t>
            </w:r>
          </w:p>
        </w:tc>
        <w:tc>
          <w:tcPr>
            <w:tcW w:type="dxa" w:w="2232"/>
            <w:vAlign w:val="center"/>
            <w:tcMar>
              <w:top w:w="85" w:type="dxa"/>
              <w:bottom w:w="85" w:type="dxa"/>
              <w:left w:w="90" w:type="dxa"/>
              <w:right w:w="90" w:type="dxa"/>
            </w:tcMar>
          </w:tcPr>
          <w:p>
            <w:pPr>
              <w:keepLines/>
              <w:spacing w:after="0" w:line="252" w:lineRule="auto"/>
            </w:pPr>
            <w:r>
              <w:rPr>
                <w:b w:val="0"/>
                <w:sz w:val="20"/>
              </w:rPr>
              <w:t>1.14575</w:t>
            </w:r>
          </w:p>
        </w:tc>
        <w:tc>
          <w:tcPr>
            <w:tcW w:type="dxa" w:w="2232"/>
            <w:vAlign w:val="center"/>
            <w:tcMar>
              <w:top w:w="85" w:type="dxa"/>
              <w:bottom w:w="85" w:type="dxa"/>
              <w:left w:w="90" w:type="dxa"/>
              <w:right w:w="90" w:type="dxa"/>
            </w:tcMar>
          </w:tcPr>
          <w:p>
            <w:pPr>
              <w:keepLines/>
              <w:spacing w:after="0" w:line="252" w:lineRule="auto"/>
            </w:pPr>
            <w:r>
              <w:rPr>
                <w:b w:val="0"/>
                <w:sz w:val="20"/>
              </w:rPr>
              <w:t>14.58%</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0.8</w:t>
            </w:r>
          </w:p>
        </w:tc>
        <w:tc>
          <w:tcPr>
            <w:tcW w:type="dxa" w:w="2232"/>
            <w:vAlign w:val="center"/>
            <w:tcMar>
              <w:top w:w="85" w:type="dxa"/>
              <w:bottom w:w="85" w:type="dxa"/>
              <w:left w:w="90" w:type="dxa"/>
              <w:right w:w="90" w:type="dxa"/>
            </w:tcMar>
          </w:tcPr>
          <w:p>
            <w:pPr>
              <w:keepLines/>
              <w:spacing w:after="0" w:line="252" w:lineRule="auto"/>
            </w:pPr>
            <w:r>
              <w:rPr>
                <w:b w:val="0"/>
                <w:sz w:val="20"/>
              </w:rPr>
              <w:t>1.48998</w:t>
            </w:r>
          </w:p>
        </w:tc>
        <w:tc>
          <w:tcPr>
            <w:tcW w:type="dxa" w:w="2232"/>
            <w:vAlign w:val="center"/>
            <w:tcMar>
              <w:top w:w="85" w:type="dxa"/>
              <w:bottom w:w="85" w:type="dxa"/>
              <w:left w:w="90" w:type="dxa"/>
              <w:right w:w="90" w:type="dxa"/>
            </w:tcMar>
          </w:tcPr>
          <w:p>
            <w:pPr>
              <w:keepLines/>
              <w:spacing w:after="0" w:line="252" w:lineRule="auto"/>
            </w:pPr>
            <w:r>
              <w:rPr>
                <w:b w:val="0"/>
                <w:sz w:val="20"/>
              </w:rPr>
              <w:t>49.00%</w:t>
            </w:r>
          </w:p>
        </w:tc>
      </w:tr>
    </w:tbl>
    <w:p>
      <w:pPr>
        <w:spacing w:after="40"/>
      </w:pPr>
    </w:p>
    <w:p>
      <w:pPr/>
      <w:r>
        <w:rPr>
          <w:b w:val="0"/>
        </w:rPr>
      </w:r>
      <w:r>
        <w:rPr>
          <w:b/>
        </w:rPr>
        <w:t>Linear-cartridge candidates.</w:t>
      </w:r>
      <w:r>
        <w:rPr>
          <w:b w:val="0"/>
        </w:rPr>
        <w:t xml:space="preserve"> Compare four-orientation stock blocks, a more finely segmented linear Halbach pattern with end corrections, a finite-block orientation-optimized pattern, and an iron-backed flux-concentrating circuit. Penalize unique block angles, part numbers, complex pockets and assembly time. Retain the vehicle/rail cross-section, positive magnet retention and realistic access. Shared suspension/thrust and separate-field-zone designs should be compared at the same supported mass and station thrust.</w:t>
      </w:r>
    </w:p>
    <w:p>
      <w:pPr/>
      <w:r>
        <w:rPr>
          <w:b w:val="0"/>
        </w:rPr>
      </w:r>
      <w:r>
        <w:rPr>
          <w:b/>
        </w:rPr>
        <w:t>Objectives and constraints.</w:t>
      </w:r>
      <w:r>
        <w:rPr>
          <w:b w:val="0"/>
        </w:rPr>
        <w:t xml:space="preserve"> Minimize complete installed cost subject to minimum support and guidance force over gap, temperature and load; control authority and stability; station thrust and normal-force ripple; rail losses; demagnetization; body/beam motion; failed channels; and manufacturable geometry. Retain competing designs for lower ferrite mass, larger usable gap, lower trim loss and lower guideway steel. These are tradeoffs, not automatically simultaneous improvements. Higher useful flux can raise return-steel saturation demands.</w:t>
      </w:r>
    </w:p>
    <w:p>
      <w:pPr/>
      <w:r>
        <w:rPr>
          <w:b w:val="0"/>
        </w:rPr>
      </w:r>
      <w:r>
        <w:rPr>
          <w:b/>
        </w:rPr>
        <w:t>Tool sequence.</w:t>
      </w:r>
      <w:r>
        <w:rPr>
          <w:b w:val="0"/>
        </w:rPr>
        <w:t xml:space="preserve"> Use analytical finite-cuboid fields and constrained searches, then nonlinear 3D Elmer/Gmsh models for steel, coils and losses. The authors’ Halbach_two_point_oh v2.2.1 is a reference explorer; verify its reuse licence before integration. Magpylib provides BSD-2-Clause licensed analytical calculations. Pin the selected versions. [R25, R26, R42, R43]</w:t>
      </w:r>
    </w:p>
    <w:p>
      <w:pPr/>
      <w:r>
        <w:rPr>
          <w:b w:val="0"/>
        </w:rPr>
      </w:r>
      <w:r>
        <w:rPr>
          <w:b/>
        </w:rPr>
        <w:t>Required result package.</w:t>
      </w:r>
      <w:r>
        <w:rPr>
          <w:b w:val="0"/>
        </w:rPr>
        <w:t xml:space="preserve"> Retain materials, orientations, CAD/mesh versions, tolerances, coils, baseline comparisons and uncertainty. Measure the same cartridge interfaces. Publish force, loss and control-authority maps over gap, offset, temperature, current, speed and pole phase. Add coil resistance/inductance and actuator dynamics for closed-loop body/beam stability. Release savings only when the revised assembly preserves operating margins.</w:t>
      </w:r>
    </w:p>
    <w:p>
      <w:pPr>
        <w:pStyle w:val="Heading1"/>
        <w:pageBreakBefore w:val="0"/>
      </w:pPr>
      <w:r>
        <w:t>Mass feedback and operating comparison</w:t>
      </w:r>
    </w:p>
    <w:p>
      <w:pPr/>
      <w:r>
        <w:rPr>
          <w:b w:val="0"/>
        </w:rPr>
        <w:t>This conditional sizing screen assumes 3.0 t ferrite is demonstrated to support the earlier 27.4 t loaded reference at the required margins. Let q multiply validated useful support force per kilogram while preserving all constraints; it is not peak-field gain. N is loaded non-ferrite mass in tonnes. The formula includes the magnets supporting their own mass.</w:t>
      </w:r>
    </w:p>
    <w:p>
      <w:pPr/>
      <w:r>
        <w:rPr>
          <w:b w:val="0"/>
        </w:rPr>
        <w:t>Ferrite mass m_PM = 3N / (27.4q − 3).</w:t>
      </w:r>
    </w:p>
    <w:p>
      <w:pPr/>
      <w:r>
        <w:rPr>
          <w:b w:val="0"/>
        </w:rPr>
        <w:t>For the central GFRP body, N = 23.2 t. At q = 1, the result is 2.852 t ferrite and 14.052 t tare. For the stretch body, N = 22.4 t gives 2.754 t ferrite and 13.154 t tare. This is a self-similar sizing hypothesis: actual magnet dimensions change leakage, current/force relationships and manufacturing quantities, so each result needs a new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440"/>
        <w:gridCol w:w="1440"/>
        <w:gridCol w:w="3672"/>
      </w:tblGrid>
      <w:tr>
        <w:trPr>
          <w:cantSplit/>
          <w:tblHeader/>
        </w:trPr>
        <w:tc>
          <w:tcPr>
            <w:tcW w:type="dxa" w:w="3240"/>
            <w:vAlign w:val="center"/>
            <w:tcMar>
              <w:top w:w="85" w:type="dxa"/>
              <w:bottom w:w="85" w:type="dxa"/>
              <w:left w:w="90" w:type="dxa"/>
              <w:right w:w="90" w:type="dxa"/>
            </w:tcMar>
            <w:shd w:fill="F2F2F2"/>
          </w:tcPr>
          <w:p>
            <w:pPr>
              <w:keepNext/>
              <w:keepLines/>
              <w:spacing w:after="0" w:line="252" w:lineRule="auto"/>
            </w:pPr>
            <w:r>
              <w:rPr>
                <w:b/>
                <w:sz w:val="20"/>
              </w:rPr>
              <w:t>Central-body magnetic sensitivity</w:t>
            </w:r>
          </w:p>
        </w:tc>
        <w:tc>
          <w:tcPr>
            <w:tcW w:type="dxa" w:w="1440"/>
            <w:vAlign w:val="center"/>
            <w:tcMar>
              <w:top w:w="85" w:type="dxa"/>
              <w:bottom w:w="85" w:type="dxa"/>
              <w:left w:w="90" w:type="dxa"/>
              <w:right w:w="90" w:type="dxa"/>
            </w:tcMar>
            <w:shd w:fill="F2F2F2"/>
          </w:tcPr>
          <w:p>
            <w:pPr>
              <w:keepNext/>
              <w:keepLines/>
              <w:spacing w:after="0" w:line="252" w:lineRule="auto"/>
            </w:pPr>
            <w:r>
              <w:rPr>
                <w:b/>
                <w:sz w:val="20"/>
              </w:rPr>
              <w:t>Ferrite/car</w:t>
            </w:r>
          </w:p>
        </w:tc>
        <w:tc>
          <w:tcPr>
            <w:tcW w:type="dxa" w:w="1440"/>
            <w:vAlign w:val="center"/>
            <w:tcMar>
              <w:top w:w="85" w:type="dxa"/>
              <w:bottom w:w="85" w:type="dxa"/>
              <w:left w:w="90" w:type="dxa"/>
              <w:right w:w="90" w:type="dxa"/>
            </w:tcMar>
            <w:shd w:fill="F2F2F2"/>
          </w:tcPr>
          <w:p>
            <w:pPr>
              <w:keepNext/>
              <w:keepLines/>
              <w:spacing w:after="0" w:line="252" w:lineRule="auto"/>
            </w:pPr>
            <w:r>
              <w:rPr>
                <w:b/>
                <w:sz w:val="20"/>
              </w:rPr>
              <w:t>Tare/car</w:t>
            </w:r>
          </w:p>
        </w:tc>
        <w:tc>
          <w:tcPr>
            <w:tcW w:type="dxa" w:w="3672"/>
            <w:vAlign w:val="center"/>
            <w:tcMar>
              <w:top w:w="85" w:type="dxa"/>
              <w:bottom w:w="85" w:type="dxa"/>
              <w:left w:w="90" w:type="dxa"/>
              <w:right w:w="90" w:type="dxa"/>
            </w:tcMar>
            <w:shd w:fill="F2F2F2"/>
          </w:tcPr>
          <w:p>
            <w:pPr>
              <w:keepNext/>
              <w:keepLines/>
              <w:spacing w:after="0" w:line="252" w:lineRule="auto"/>
            </w:pPr>
            <w:r>
              <w:rPr>
                <w:b/>
                <w:sz w:val="20"/>
              </w:rPr>
              <w:t>Ferrite-line saving per train with 20% reserve</w:t>
            </w:r>
          </w:p>
        </w:tc>
      </w:tr>
      <w:tr>
        <w:trPr>
          <w:cantSplit/>
        </w:trPr>
        <w:tc>
          <w:tcPr>
            <w:tcW w:type="dxa" w:w="3240"/>
            <w:vAlign w:val="center"/>
            <w:tcMar>
              <w:top w:w="85" w:type="dxa"/>
              <w:bottom w:w="85" w:type="dxa"/>
              <w:left w:w="90" w:type="dxa"/>
              <w:right w:w="90" w:type="dxa"/>
            </w:tcMar>
          </w:tcPr>
          <w:p>
            <w:pPr>
              <w:keepLines/>
              <w:spacing w:after="0" w:line="252" w:lineRule="auto"/>
            </w:pPr>
            <w:r>
              <w:rPr>
                <w:b w:val="0"/>
                <w:sz w:val="20"/>
              </w:rPr>
              <w:t>Retain existing allocation</w:t>
            </w:r>
          </w:p>
        </w:tc>
        <w:tc>
          <w:tcPr>
            <w:tcW w:type="dxa" w:w="1440"/>
            <w:vAlign w:val="center"/>
            <w:tcMar>
              <w:top w:w="85" w:type="dxa"/>
              <w:bottom w:w="85" w:type="dxa"/>
              <w:left w:w="90" w:type="dxa"/>
              <w:right w:w="90" w:type="dxa"/>
            </w:tcMar>
          </w:tcPr>
          <w:p>
            <w:pPr>
              <w:keepLines/>
              <w:spacing w:after="0" w:line="252" w:lineRule="auto"/>
            </w:pPr>
            <w:r>
              <w:rPr>
                <w:b w:val="0"/>
                <w:sz w:val="20"/>
              </w:rPr>
              <w:t>3.000 t</w:t>
            </w:r>
          </w:p>
        </w:tc>
        <w:tc>
          <w:tcPr>
            <w:tcW w:type="dxa" w:w="1440"/>
            <w:vAlign w:val="center"/>
            <w:tcMar>
              <w:top w:w="85" w:type="dxa"/>
              <w:bottom w:w="85" w:type="dxa"/>
              <w:left w:w="90" w:type="dxa"/>
              <w:right w:w="90" w:type="dxa"/>
            </w:tcMar>
          </w:tcPr>
          <w:p>
            <w:pPr>
              <w:keepLines/>
              <w:spacing w:after="0" w:line="252" w:lineRule="auto"/>
            </w:pPr>
            <w:r>
              <w:rPr>
                <w:b w:val="0"/>
                <w:sz w:val="20"/>
              </w:rPr>
              <w:t>14.200 t</w:t>
            </w:r>
          </w:p>
        </w:tc>
        <w:tc>
          <w:tcPr>
            <w:tcW w:type="dxa" w:w="3672"/>
            <w:vAlign w:val="center"/>
            <w:tcMar>
              <w:top w:w="85" w:type="dxa"/>
              <w:bottom w:w="85" w:type="dxa"/>
              <w:left w:w="90" w:type="dxa"/>
              <w:right w:w="90" w:type="dxa"/>
            </w:tcMar>
          </w:tcPr>
          <w:p>
            <w:pPr>
              <w:keepLines/>
              <w:spacing w:after="0" w:line="252" w:lineRule="auto"/>
            </w:pPr>
            <w:r>
              <w:rPr>
                <w:b w:val="0"/>
                <w:sz w:val="20"/>
              </w:rPr>
              <w:t>None</w:t>
            </w:r>
          </w:p>
        </w:tc>
      </w:tr>
      <w:tr>
        <w:trPr>
          <w:cantSplit/>
        </w:trPr>
        <w:tc>
          <w:tcPr>
            <w:tcW w:type="dxa" w:w="3240"/>
            <w:vAlign w:val="center"/>
            <w:tcMar>
              <w:top w:w="85" w:type="dxa"/>
              <w:bottom w:w="85" w:type="dxa"/>
              <w:left w:w="90" w:type="dxa"/>
              <w:right w:w="90" w:type="dxa"/>
            </w:tcMar>
          </w:tcPr>
          <w:p>
            <w:pPr>
              <w:keepLines/>
              <w:spacing w:after="0" w:line="252" w:lineRule="auto"/>
            </w:pPr>
            <w:r>
              <w:rPr>
                <w:b w:val="0"/>
                <w:sz w:val="20"/>
              </w:rPr>
              <w:t>Constant force/kg, q = 1.00</w:t>
            </w:r>
          </w:p>
        </w:tc>
        <w:tc>
          <w:tcPr>
            <w:tcW w:type="dxa" w:w="1440"/>
            <w:vAlign w:val="center"/>
            <w:tcMar>
              <w:top w:w="85" w:type="dxa"/>
              <w:bottom w:w="85" w:type="dxa"/>
              <w:left w:w="90" w:type="dxa"/>
              <w:right w:w="90" w:type="dxa"/>
            </w:tcMar>
          </w:tcPr>
          <w:p>
            <w:pPr>
              <w:keepLines/>
              <w:spacing w:after="0" w:line="252" w:lineRule="auto"/>
            </w:pPr>
            <w:r>
              <w:rPr>
                <w:b w:val="0"/>
                <w:sz w:val="20"/>
              </w:rPr>
              <w:t>2.852 t</w:t>
            </w:r>
          </w:p>
        </w:tc>
        <w:tc>
          <w:tcPr>
            <w:tcW w:type="dxa" w:w="1440"/>
            <w:vAlign w:val="center"/>
            <w:tcMar>
              <w:top w:w="85" w:type="dxa"/>
              <w:bottom w:w="85" w:type="dxa"/>
              <w:left w:w="90" w:type="dxa"/>
              <w:right w:w="90" w:type="dxa"/>
            </w:tcMar>
          </w:tcPr>
          <w:p>
            <w:pPr>
              <w:keepLines/>
              <w:spacing w:after="0" w:line="252" w:lineRule="auto"/>
            </w:pPr>
            <w:r>
              <w:rPr>
                <w:b w:val="0"/>
                <w:sz w:val="20"/>
              </w:rPr>
              <w:t>14.052 t</w:t>
            </w:r>
          </w:p>
        </w:tc>
        <w:tc>
          <w:tcPr>
            <w:tcW w:type="dxa" w:w="3672"/>
            <w:vAlign w:val="center"/>
            <w:tcMar>
              <w:top w:w="85" w:type="dxa"/>
              <w:bottom w:w="85" w:type="dxa"/>
              <w:left w:w="90" w:type="dxa"/>
              <w:right w:w="90" w:type="dxa"/>
            </w:tcMar>
          </w:tcPr>
          <w:p>
            <w:pPr>
              <w:keepLines/>
              <w:spacing w:after="0" w:line="252" w:lineRule="auto"/>
            </w:pPr>
            <w:r>
              <w:rPr>
                <w:b w:val="0"/>
                <w:sz w:val="20"/>
              </w:rPr>
              <w:t>USD 2,479</w:t>
            </w:r>
          </w:p>
        </w:tc>
      </w:tr>
      <w:tr>
        <w:trPr>
          <w:cantSplit/>
        </w:trPr>
        <w:tc>
          <w:tcPr>
            <w:tcW w:type="dxa" w:w="3240"/>
            <w:vAlign w:val="center"/>
            <w:tcMar>
              <w:top w:w="85" w:type="dxa"/>
              <w:bottom w:w="85" w:type="dxa"/>
              <w:left w:w="90" w:type="dxa"/>
              <w:right w:w="90" w:type="dxa"/>
            </w:tcMar>
          </w:tcPr>
          <w:p>
            <w:pPr>
              <w:keepLines/>
              <w:spacing w:after="0" w:line="252" w:lineRule="auto"/>
            </w:pPr>
            <w:r>
              <w:rPr>
                <w:b w:val="0"/>
                <w:sz w:val="20"/>
              </w:rPr>
              <w:t>q = 1.05 (hypothetical)</w:t>
            </w:r>
          </w:p>
        </w:tc>
        <w:tc>
          <w:tcPr>
            <w:tcW w:type="dxa" w:w="1440"/>
            <w:vAlign w:val="center"/>
            <w:tcMar>
              <w:top w:w="85" w:type="dxa"/>
              <w:bottom w:w="85" w:type="dxa"/>
              <w:left w:w="90" w:type="dxa"/>
              <w:right w:w="90" w:type="dxa"/>
            </w:tcMar>
          </w:tcPr>
          <w:p>
            <w:pPr>
              <w:keepLines/>
              <w:spacing w:after="0" w:line="252" w:lineRule="auto"/>
            </w:pPr>
            <w:r>
              <w:rPr>
                <w:b w:val="0"/>
                <w:sz w:val="20"/>
              </w:rPr>
              <w:t>2.701 t</w:t>
            </w:r>
          </w:p>
        </w:tc>
        <w:tc>
          <w:tcPr>
            <w:tcW w:type="dxa" w:w="1440"/>
            <w:vAlign w:val="center"/>
            <w:tcMar>
              <w:top w:w="85" w:type="dxa"/>
              <w:bottom w:w="85" w:type="dxa"/>
              <w:left w:w="90" w:type="dxa"/>
              <w:right w:w="90" w:type="dxa"/>
            </w:tcMar>
          </w:tcPr>
          <w:p>
            <w:pPr>
              <w:keepLines/>
              <w:spacing w:after="0" w:line="252" w:lineRule="auto"/>
            </w:pPr>
            <w:r>
              <w:rPr>
                <w:b w:val="0"/>
                <w:sz w:val="20"/>
              </w:rPr>
              <w:t>13.901 t</w:t>
            </w:r>
          </w:p>
        </w:tc>
        <w:tc>
          <w:tcPr>
            <w:tcW w:type="dxa" w:w="3672"/>
            <w:vAlign w:val="center"/>
            <w:tcMar>
              <w:top w:w="85" w:type="dxa"/>
              <w:bottom w:w="85" w:type="dxa"/>
              <w:left w:w="90" w:type="dxa"/>
              <w:right w:w="90" w:type="dxa"/>
            </w:tcMar>
          </w:tcPr>
          <w:p>
            <w:pPr>
              <w:keepLines/>
              <w:spacing w:after="0" w:line="252" w:lineRule="auto"/>
            </w:pPr>
            <w:r>
              <w:rPr>
                <w:b w:val="0"/>
                <w:sz w:val="20"/>
              </w:rPr>
              <w:t>USD 5,026</w:t>
            </w:r>
          </w:p>
        </w:tc>
      </w:tr>
      <w:tr>
        <w:trPr>
          <w:cantSplit/>
        </w:trPr>
        <w:tc>
          <w:tcPr>
            <w:tcW w:type="dxa" w:w="3240"/>
            <w:vAlign w:val="center"/>
            <w:tcMar>
              <w:top w:w="85" w:type="dxa"/>
              <w:bottom w:w="85" w:type="dxa"/>
              <w:left w:w="90" w:type="dxa"/>
              <w:right w:w="90" w:type="dxa"/>
            </w:tcMar>
          </w:tcPr>
          <w:p>
            <w:pPr>
              <w:keepLines/>
              <w:spacing w:after="0" w:line="252" w:lineRule="auto"/>
            </w:pPr>
            <w:r>
              <w:rPr>
                <w:b w:val="0"/>
                <w:sz w:val="20"/>
              </w:rPr>
              <w:t>q = 1.10 (hypothetical)</w:t>
            </w:r>
          </w:p>
        </w:tc>
        <w:tc>
          <w:tcPr>
            <w:tcW w:type="dxa" w:w="1440"/>
            <w:vAlign w:val="center"/>
            <w:tcMar>
              <w:top w:w="85" w:type="dxa"/>
              <w:bottom w:w="85" w:type="dxa"/>
              <w:left w:w="90" w:type="dxa"/>
              <w:right w:w="90" w:type="dxa"/>
            </w:tcMar>
          </w:tcPr>
          <w:p>
            <w:pPr>
              <w:keepLines/>
              <w:spacing w:after="0" w:line="252" w:lineRule="auto"/>
            </w:pPr>
            <w:r>
              <w:rPr>
                <w:b w:val="0"/>
                <w:sz w:val="20"/>
              </w:rPr>
              <w:t>2.564 t</w:t>
            </w:r>
          </w:p>
        </w:tc>
        <w:tc>
          <w:tcPr>
            <w:tcW w:type="dxa" w:w="1440"/>
            <w:vAlign w:val="center"/>
            <w:tcMar>
              <w:top w:w="85" w:type="dxa"/>
              <w:bottom w:w="85" w:type="dxa"/>
              <w:left w:w="90" w:type="dxa"/>
              <w:right w:w="90" w:type="dxa"/>
            </w:tcMar>
          </w:tcPr>
          <w:p>
            <w:pPr>
              <w:keepLines/>
              <w:spacing w:after="0" w:line="252" w:lineRule="auto"/>
            </w:pPr>
            <w:r>
              <w:rPr>
                <w:b w:val="0"/>
                <w:sz w:val="20"/>
              </w:rPr>
              <w:t>13.764 t</w:t>
            </w:r>
          </w:p>
        </w:tc>
        <w:tc>
          <w:tcPr>
            <w:tcW w:type="dxa" w:w="3672"/>
            <w:vAlign w:val="center"/>
            <w:tcMar>
              <w:top w:w="85" w:type="dxa"/>
              <w:bottom w:w="85" w:type="dxa"/>
              <w:left w:w="90" w:type="dxa"/>
              <w:right w:w="90" w:type="dxa"/>
            </w:tcMar>
          </w:tcPr>
          <w:p>
            <w:pPr>
              <w:keepLines/>
              <w:spacing w:after="0" w:line="252" w:lineRule="auto"/>
            </w:pPr>
            <w:r>
              <w:rPr>
                <w:b w:val="0"/>
                <w:sz w:val="20"/>
              </w:rPr>
              <w:t>USD 7,317</w:t>
            </w:r>
          </w:p>
        </w:tc>
      </w:tr>
    </w:tbl>
    <w:p>
      <w:pPr>
        <w:spacing w:after="40"/>
      </w:pPr>
    </w:p>
    <w:p>
      <w:pPr/>
      <w:r>
        <w:rPr>
          <w:b w:val="0"/>
        </w:rPr>
        <w:t>The 5% and 10% factors are hypothetical, with no credited paper gain. Costs use unrounded masses. Retain 3.0 t for the first prototype; useful gap margin or lower guideway/coil cost may be worth more than removing cheap ferrite. The unchanged payload retains a 117.7 kN force swing, so coils and services batteries do not scale directly with tare.</w:t>
      </w:r>
    </w:p>
    <w:p>
      <w:pPr/>
      <w:r>
        <w:rPr>
          <w:b w:val="0"/>
        </w:rPr>
        <w:t>The following comparison uses the same 1 km, 90 s, flat, no-jerk model and unchanged resistance. It retains 3.0 t ferrite in all three body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1800"/>
        <w:gridCol w:w="1800"/>
        <w:gridCol w:w="1800"/>
      </w:tblGrid>
      <w:tr>
        <w:trPr>
          <w:cantSplit/>
          <w:tblHeader/>
        </w:trPr>
        <w:tc>
          <w:tcPr>
            <w:tcW w:type="dxa" w:w="4392"/>
            <w:vAlign w:val="center"/>
            <w:tcMar>
              <w:top w:w="85" w:type="dxa"/>
              <w:bottom w:w="85" w:type="dxa"/>
              <w:left w:w="90" w:type="dxa"/>
              <w:right w:w="90" w:type="dxa"/>
            </w:tcMar>
            <w:shd w:fill="F2F2F2"/>
          </w:tcPr>
          <w:p>
            <w:pPr>
              <w:keepNext/>
              <w:keepLines/>
              <w:spacing w:after="0" w:line="252" w:lineRule="auto"/>
            </w:pPr>
            <w:r>
              <w:rPr>
                <w:b/>
                <w:sz w:val="20"/>
              </w:rPr>
              <w:t>Operating quantity</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Earlier 15.4 t tare</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Central 14.2 t</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Stretch 13.4 t</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Loaded mass/car</w:t>
            </w:r>
          </w:p>
        </w:tc>
        <w:tc>
          <w:tcPr>
            <w:tcW w:type="dxa" w:w="1800"/>
            <w:vAlign w:val="center"/>
            <w:tcMar>
              <w:top w:w="85" w:type="dxa"/>
              <w:bottom w:w="85" w:type="dxa"/>
              <w:left w:w="90" w:type="dxa"/>
              <w:right w:w="90" w:type="dxa"/>
            </w:tcMar>
          </w:tcPr>
          <w:p>
            <w:pPr>
              <w:keepLines/>
              <w:spacing w:after="0" w:line="252" w:lineRule="auto"/>
            </w:pPr>
            <w:r>
              <w:rPr>
                <w:b w:val="0"/>
                <w:sz w:val="20"/>
              </w:rPr>
              <w:t>27.4 t</w:t>
            </w:r>
          </w:p>
        </w:tc>
        <w:tc>
          <w:tcPr>
            <w:tcW w:type="dxa" w:w="1800"/>
            <w:vAlign w:val="center"/>
            <w:tcMar>
              <w:top w:w="85" w:type="dxa"/>
              <w:bottom w:w="85" w:type="dxa"/>
              <w:left w:w="90" w:type="dxa"/>
              <w:right w:w="90" w:type="dxa"/>
            </w:tcMar>
          </w:tcPr>
          <w:p>
            <w:pPr>
              <w:keepLines/>
              <w:spacing w:after="0" w:line="252" w:lineRule="auto"/>
            </w:pPr>
            <w:r>
              <w:rPr>
                <w:b w:val="0"/>
                <w:sz w:val="20"/>
              </w:rPr>
              <w:t>26.2 t</w:t>
            </w:r>
          </w:p>
        </w:tc>
        <w:tc>
          <w:tcPr>
            <w:tcW w:type="dxa" w:w="1800"/>
            <w:vAlign w:val="center"/>
            <w:tcMar>
              <w:top w:w="85" w:type="dxa"/>
              <w:bottom w:w="85" w:type="dxa"/>
              <w:left w:w="90" w:type="dxa"/>
              <w:right w:w="90" w:type="dxa"/>
            </w:tcMar>
          </w:tcPr>
          <w:p>
            <w:pPr>
              <w:keepLines/>
              <w:spacing w:after="0" w:line="252" w:lineRule="auto"/>
            </w:pPr>
            <w:r>
              <w:rPr>
                <w:b w:val="0"/>
                <w:sz w:val="20"/>
              </w:rPr>
              <w:t>25.4 t</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Launch speed</w:t>
            </w:r>
          </w:p>
        </w:tc>
        <w:tc>
          <w:tcPr>
            <w:tcW w:type="dxa" w:w="1800"/>
            <w:vAlign w:val="center"/>
            <w:tcMar>
              <w:top w:w="85" w:type="dxa"/>
              <w:bottom w:w="85" w:type="dxa"/>
              <w:left w:w="90" w:type="dxa"/>
              <w:right w:w="90" w:type="dxa"/>
            </w:tcMar>
          </w:tcPr>
          <w:p>
            <w:pPr>
              <w:keepLines/>
              <w:spacing w:after="0" w:line="252" w:lineRule="auto"/>
            </w:pPr>
            <w:r>
              <w:rPr>
                <w:b w:val="0"/>
                <w:sz w:val="20"/>
              </w:rPr>
              <w:t>52.20 km/h</w:t>
            </w:r>
          </w:p>
        </w:tc>
        <w:tc>
          <w:tcPr>
            <w:tcW w:type="dxa" w:w="1800"/>
            <w:vAlign w:val="center"/>
            <w:tcMar>
              <w:top w:w="85" w:type="dxa"/>
              <w:bottom w:w="85" w:type="dxa"/>
              <w:left w:w="90" w:type="dxa"/>
              <w:right w:w="90" w:type="dxa"/>
            </w:tcMar>
          </w:tcPr>
          <w:p>
            <w:pPr>
              <w:keepLines/>
              <w:spacing w:after="0" w:line="252" w:lineRule="auto"/>
            </w:pPr>
            <w:r>
              <w:rPr>
                <w:b w:val="0"/>
                <w:sz w:val="20"/>
              </w:rPr>
              <w:t>52.44 km/h</w:t>
            </w:r>
          </w:p>
        </w:tc>
        <w:tc>
          <w:tcPr>
            <w:tcW w:type="dxa" w:w="1800"/>
            <w:vAlign w:val="center"/>
            <w:tcMar>
              <w:top w:w="85" w:type="dxa"/>
              <w:bottom w:w="85" w:type="dxa"/>
              <w:left w:w="90" w:type="dxa"/>
              <w:right w:w="90" w:type="dxa"/>
            </w:tcMar>
          </w:tcPr>
          <w:p>
            <w:pPr>
              <w:keepLines/>
              <w:spacing w:after="0" w:line="252" w:lineRule="auto"/>
            </w:pPr>
            <w:r>
              <w:rPr>
                <w:b w:val="0"/>
                <w:sz w:val="20"/>
              </w:rPr>
              <w:t>52.62 km/h</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Six-car mechanical launch energy</w:t>
            </w:r>
          </w:p>
        </w:tc>
        <w:tc>
          <w:tcPr>
            <w:tcW w:type="dxa" w:w="1800"/>
            <w:vAlign w:val="center"/>
            <w:tcMar>
              <w:top w:w="85" w:type="dxa"/>
              <w:bottom w:w="85" w:type="dxa"/>
              <w:left w:w="90" w:type="dxa"/>
              <w:right w:w="90" w:type="dxa"/>
            </w:tcMar>
          </w:tcPr>
          <w:p>
            <w:pPr>
              <w:keepLines/>
              <w:spacing w:after="0" w:line="252" w:lineRule="auto"/>
            </w:pPr>
            <w:r>
              <w:rPr>
                <w:b w:val="0"/>
                <w:sz w:val="20"/>
              </w:rPr>
              <w:t>5.008 kWh</w:t>
            </w:r>
          </w:p>
        </w:tc>
        <w:tc>
          <w:tcPr>
            <w:tcW w:type="dxa" w:w="1800"/>
            <w:vAlign w:val="center"/>
            <w:tcMar>
              <w:top w:w="85" w:type="dxa"/>
              <w:bottom w:w="85" w:type="dxa"/>
              <w:left w:w="90" w:type="dxa"/>
              <w:right w:w="90" w:type="dxa"/>
            </w:tcMar>
          </w:tcPr>
          <w:p>
            <w:pPr>
              <w:keepLines/>
              <w:spacing w:after="0" w:line="252" w:lineRule="auto"/>
            </w:pPr>
            <w:r>
              <w:rPr>
                <w:b w:val="0"/>
                <w:sz w:val="20"/>
              </w:rPr>
              <w:t>4.844 kWh</w:t>
            </w:r>
          </w:p>
        </w:tc>
        <w:tc>
          <w:tcPr>
            <w:tcW w:type="dxa" w:w="1800"/>
            <w:vAlign w:val="center"/>
            <w:tcMar>
              <w:top w:w="85" w:type="dxa"/>
              <w:bottom w:w="85" w:type="dxa"/>
              <w:left w:w="90" w:type="dxa"/>
              <w:right w:w="90" w:type="dxa"/>
            </w:tcMar>
          </w:tcPr>
          <w:p>
            <w:pPr>
              <w:keepLines/>
              <w:spacing w:after="0" w:line="252" w:lineRule="auto"/>
            </w:pPr>
            <w:r>
              <w:rPr>
                <w:b w:val="0"/>
                <w:sz w:val="20"/>
              </w:rPr>
              <w:t>4.735 kWh</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Six-car peak mechanical launch power</w:t>
            </w:r>
          </w:p>
        </w:tc>
        <w:tc>
          <w:tcPr>
            <w:tcW w:type="dxa" w:w="1800"/>
            <w:vAlign w:val="center"/>
            <w:tcMar>
              <w:top w:w="85" w:type="dxa"/>
              <w:bottom w:w="85" w:type="dxa"/>
              <w:left w:w="90" w:type="dxa"/>
              <w:right w:w="90" w:type="dxa"/>
            </w:tcMar>
          </w:tcPr>
          <w:p>
            <w:pPr>
              <w:keepLines/>
              <w:spacing w:after="0" w:line="252" w:lineRule="auto"/>
            </w:pPr>
            <w:r>
              <w:rPr>
                <w:b w:val="0"/>
                <w:sz w:val="20"/>
              </w:rPr>
              <w:t>2.504 MW</w:t>
            </w:r>
          </w:p>
        </w:tc>
        <w:tc>
          <w:tcPr>
            <w:tcW w:type="dxa" w:w="1800"/>
            <w:vAlign w:val="center"/>
            <w:tcMar>
              <w:top w:w="85" w:type="dxa"/>
              <w:bottom w:w="85" w:type="dxa"/>
              <w:left w:w="90" w:type="dxa"/>
              <w:right w:w="90" w:type="dxa"/>
            </w:tcMar>
          </w:tcPr>
          <w:p>
            <w:pPr>
              <w:keepLines/>
              <w:spacing w:after="0" w:line="252" w:lineRule="auto"/>
            </w:pPr>
            <w:r>
              <w:rPr>
                <w:b w:val="0"/>
                <w:sz w:val="20"/>
              </w:rPr>
              <w:t>2.411 MW</w:t>
            </w:r>
          </w:p>
        </w:tc>
        <w:tc>
          <w:tcPr>
            <w:tcW w:type="dxa" w:w="1800"/>
            <w:vAlign w:val="center"/>
            <w:tcMar>
              <w:top w:w="85" w:type="dxa"/>
              <w:bottom w:w="85" w:type="dxa"/>
              <w:left w:w="90" w:type="dxa"/>
              <w:right w:w="90" w:type="dxa"/>
            </w:tcMar>
          </w:tcPr>
          <w:p>
            <w:pPr>
              <w:keepLines/>
              <w:spacing w:after="0" w:line="252" w:lineRule="auto"/>
            </w:pPr>
            <w:r>
              <w:rPr>
                <w:b w:val="0"/>
                <w:sz w:val="20"/>
              </w:rPr>
              <w:t>2.349 MW</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Six-car station braking work</w:t>
            </w:r>
          </w:p>
        </w:tc>
        <w:tc>
          <w:tcPr>
            <w:tcW w:type="dxa" w:w="1800"/>
            <w:vAlign w:val="center"/>
            <w:tcMar>
              <w:top w:w="85" w:type="dxa"/>
              <w:bottom w:w="85" w:type="dxa"/>
              <w:left w:w="90" w:type="dxa"/>
              <w:right w:w="90" w:type="dxa"/>
            </w:tcMar>
          </w:tcPr>
          <w:p>
            <w:pPr>
              <w:keepLines/>
              <w:spacing w:after="0" w:line="252" w:lineRule="auto"/>
            </w:pPr>
            <w:r>
              <w:rPr>
                <w:b w:val="0"/>
                <w:sz w:val="20"/>
              </w:rPr>
              <w:t>2.873 kWh</w:t>
            </w:r>
          </w:p>
        </w:tc>
        <w:tc>
          <w:tcPr>
            <w:tcW w:type="dxa" w:w="1800"/>
            <w:vAlign w:val="center"/>
            <w:tcMar>
              <w:top w:w="85" w:type="dxa"/>
              <w:bottom w:w="85" w:type="dxa"/>
              <w:left w:w="90" w:type="dxa"/>
              <w:right w:w="90" w:type="dxa"/>
            </w:tcMar>
          </w:tcPr>
          <w:p>
            <w:pPr>
              <w:keepLines/>
              <w:spacing w:after="0" w:line="252" w:lineRule="auto"/>
            </w:pPr>
            <w:r>
              <w:rPr>
                <w:b w:val="0"/>
                <w:sz w:val="20"/>
              </w:rPr>
              <w:t>2.708 kWh</w:t>
            </w:r>
          </w:p>
        </w:tc>
        <w:tc>
          <w:tcPr>
            <w:tcW w:type="dxa" w:w="1800"/>
            <w:vAlign w:val="center"/>
            <w:tcMar>
              <w:top w:w="85" w:type="dxa"/>
              <w:bottom w:w="85" w:type="dxa"/>
              <w:left w:w="90" w:type="dxa"/>
              <w:right w:w="90" w:type="dxa"/>
            </w:tcMar>
          </w:tcPr>
          <w:p>
            <w:pPr>
              <w:keepLines/>
              <w:spacing w:after="0" w:line="252" w:lineRule="auto"/>
            </w:pPr>
            <w:r>
              <w:rPr>
                <w:b w:val="0"/>
                <w:sz w:val="20"/>
              </w:rPr>
              <w:t>2.598 kWh</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Stator envelope per station/direction</w:t>
            </w:r>
          </w:p>
        </w:tc>
        <w:tc>
          <w:tcPr>
            <w:tcW w:type="dxa" w:w="1800"/>
            <w:vAlign w:val="center"/>
            <w:tcMar>
              <w:top w:w="85" w:type="dxa"/>
              <w:bottom w:w="85" w:type="dxa"/>
              <w:left w:w="90" w:type="dxa"/>
              <w:right w:w="90" w:type="dxa"/>
            </w:tcMar>
          </w:tcPr>
          <w:p>
            <w:pPr>
              <w:keepLines/>
              <w:spacing w:after="0" w:line="252" w:lineRule="auto"/>
            </w:pPr>
            <w:r>
              <w:rPr>
                <w:b w:val="0"/>
                <w:sz w:val="20"/>
              </w:rPr>
              <w:t>275.19 m</w:t>
            </w:r>
          </w:p>
        </w:tc>
        <w:tc>
          <w:tcPr>
            <w:tcW w:type="dxa" w:w="1800"/>
            <w:vAlign w:val="center"/>
            <w:tcMar>
              <w:top w:w="85" w:type="dxa"/>
              <w:bottom w:w="85" w:type="dxa"/>
              <w:left w:w="90" w:type="dxa"/>
              <w:right w:w="90" w:type="dxa"/>
            </w:tcMar>
          </w:tcPr>
          <w:p>
            <w:pPr>
              <w:keepLines/>
              <w:spacing w:after="0" w:line="252" w:lineRule="auto"/>
            </w:pPr>
            <w:r>
              <w:rPr>
                <w:b w:val="0"/>
                <w:sz w:val="20"/>
              </w:rPr>
              <w:t>275.39 m</w:t>
            </w:r>
          </w:p>
        </w:tc>
        <w:tc>
          <w:tcPr>
            <w:tcW w:type="dxa" w:w="1800"/>
            <w:vAlign w:val="center"/>
            <w:tcMar>
              <w:top w:w="85" w:type="dxa"/>
              <w:bottom w:w="85" w:type="dxa"/>
              <w:left w:w="90" w:type="dxa"/>
              <w:right w:w="90" w:type="dxa"/>
            </w:tcMar>
          </w:tcPr>
          <w:p>
            <w:pPr>
              <w:keepLines/>
              <w:spacing w:after="0" w:line="252" w:lineRule="auto"/>
            </w:pPr>
            <w:r>
              <w:rPr>
                <w:b w:val="0"/>
                <w:sz w:val="20"/>
              </w:rPr>
              <w:t>275.54 m</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Launch electrical energy plus moving services</w:t>
            </w:r>
          </w:p>
        </w:tc>
        <w:tc>
          <w:tcPr>
            <w:tcW w:type="dxa" w:w="1800"/>
            <w:vAlign w:val="center"/>
            <w:tcMar>
              <w:top w:w="85" w:type="dxa"/>
              <w:bottom w:w="85" w:type="dxa"/>
              <w:left w:w="90" w:type="dxa"/>
              <w:right w:w="90" w:type="dxa"/>
            </w:tcMar>
          </w:tcPr>
          <w:p>
            <w:pPr>
              <w:keepLines/>
              <w:spacing w:after="0" w:line="252" w:lineRule="auto"/>
            </w:pPr>
            <w:r>
              <w:rPr>
                <w:b w:val="0"/>
                <w:sz w:val="20"/>
              </w:rPr>
              <w:t>14.892 kWh</w:t>
            </w:r>
          </w:p>
        </w:tc>
        <w:tc>
          <w:tcPr>
            <w:tcW w:type="dxa" w:w="1800"/>
            <w:vAlign w:val="center"/>
            <w:tcMar>
              <w:top w:w="85" w:type="dxa"/>
              <w:bottom w:w="85" w:type="dxa"/>
              <w:left w:w="90" w:type="dxa"/>
              <w:right w:w="90" w:type="dxa"/>
            </w:tcMar>
          </w:tcPr>
          <w:p>
            <w:pPr>
              <w:keepLines/>
              <w:spacing w:after="0" w:line="252" w:lineRule="auto"/>
            </w:pPr>
            <w:r>
              <w:rPr>
                <w:b w:val="0"/>
                <w:sz w:val="20"/>
              </w:rPr>
              <w:t>14.699 kWh</w:t>
            </w:r>
          </w:p>
        </w:tc>
        <w:tc>
          <w:tcPr>
            <w:tcW w:type="dxa" w:w="1800"/>
            <w:vAlign w:val="center"/>
            <w:tcMar>
              <w:top w:w="85" w:type="dxa"/>
              <w:bottom w:w="85" w:type="dxa"/>
              <w:left w:w="90" w:type="dxa"/>
              <w:right w:w="90" w:type="dxa"/>
            </w:tcMar>
          </w:tcPr>
          <w:p>
            <w:pPr>
              <w:keepLines/>
              <w:spacing w:after="0" w:line="252" w:lineRule="auto"/>
            </w:pPr>
            <w:r>
              <w:rPr>
                <w:b w:val="0"/>
                <w:sz w:val="20"/>
              </w:rPr>
              <w:t>14.571 kWh</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Unpowered coast from 80 km/h to rest</w:t>
            </w:r>
          </w:p>
        </w:tc>
        <w:tc>
          <w:tcPr>
            <w:tcW w:type="dxa" w:w="1800"/>
            <w:vAlign w:val="center"/>
            <w:tcMar>
              <w:top w:w="85" w:type="dxa"/>
              <w:bottom w:w="85" w:type="dxa"/>
              <w:left w:w="90" w:type="dxa"/>
              <w:right w:w="90" w:type="dxa"/>
            </w:tcMar>
          </w:tcPr>
          <w:p>
            <w:pPr>
              <w:keepLines/>
              <w:spacing w:after="0" w:line="252" w:lineRule="auto"/>
            </w:pPr>
            <w:r>
              <w:rPr>
                <w:b w:val="0"/>
                <w:sz w:val="20"/>
              </w:rPr>
              <w:t>4.841 km</w:t>
            </w:r>
          </w:p>
        </w:tc>
        <w:tc>
          <w:tcPr>
            <w:tcW w:type="dxa" w:w="1800"/>
            <w:vAlign w:val="center"/>
            <w:tcMar>
              <w:top w:w="85" w:type="dxa"/>
              <w:bottom w:w="85" w:type="dxa"/>
              <w:left w:w="90" w:type="dxa"/>
              <w:right w:w="90" w:type="dxa"/>
            </w:tcMar>
          </w:tcPr>
          <w:p>
            <w:pPr>
              <w:keepLines/>
              <w:spacing w:after="0" w:line="252" w:lineRule="auto"/>
            </w:pPr>
            <w:r>
              <w:rPr>
                <w:b w:val="0"/>
                <w:sz w:val="20"/>
              </w:rPr>
              <w:t>4.629 km</w:t>
            </w:r>
          </w:p>
        </w:tc>
        <w:tc>
          <w:tcPr>
            <w:tcW w:type="dxa" w:w="1800"/>
            <w:vAlign w:val="center"/>
            <w:tcMar>
              <w:top w:w="85" w:type="dxa"/>
              <w:bottom w:w="85" w:type="dxa"/>
              <w:left w:w="90" w:type="dxa"/>
              <w:right w:w="90" w:type="dxa"/>
            </w:tcMar>
          </w:tcPr>
          <w:p>
            <w:pPr>
              <w:keepLines/>
              <w:spacing w:after="0" w:line="252" w:lineRule="auto"/>
            </w:pPr>
            <w:r>
              <w:rPr>
                <w:b w:val="0"/>
                <w:sz w:val="20"/>
              </w:rPr>
              <w:t>4.487 km</w:t>
            </w:r>
          </w:p>
        </w:tc>
      </w:tr>
    </w:tbl>
    <w:p>
      <w:pPr>
        <w:spacing w:after="40"/>
      </w:pPr>
    </w:p>
    <w:p>
      <w:pPr/>
      <w:r>
        <w:rPr>
          <w:b w:val="0"/>
        </w:rPr>
        <w:t>The envelope counts the fully engaged platform footprint once. Services are 60 kW/car; launch efficiency is 85%. Central launch work falls 3.28% and peak power 3.70%. Retain 30 kWh/car storage pending the separate services-duty model.</w:t>
      </w:r>
    </w:p>
    <w:p>
      <w:pPr>
        <w:pStyle w:val="Heading1"/>
        <w:pageBreakBefore w:val="0"/>
      </w:pPr>
      <w:r>
        <w:t>Civil product, loads and quantities</w:t>
      </w:r>
    </w:p>
    <w:p>
      <w:pPr/>
      <w:r>
        <w:rPr>
          <w:b w:val="0"/>
        </w:rPr>
      </w:r>
      <w:r>
        <w:rPr>
          <w:b/>
        </w:rPr>
        <w:t>Production basis.</w:t>
      </w:r>
      <w:r>
        <w:rPr>
          <w:b w:val="0"/>
        </w:rPr>
        <w:t xml:space="preserve"> Use 25 m as the ordinary span campaign, two beams per bay and one shared support per interior bay. A continuous route averages 80 beams and 40 shared supports per two-direction route-km; an isolated 1 km with forty spans has 41 actual supports. Endpoint works are additional. The study keeps 3.8 m beam-center spacing and uses an 8 m column for comparison. Station widening, tall piers, curves, major crossings and exceptional foundations are separate families. The 1.80 m beam plus 0.90 m cap changes the vertical stack by approximately 0.10 m relative to the old 1.60 + 1.20 m arrangement; adjust column/bearing height to preserve the required rail elevation and clearances.</w:t>
      </w:r>
    </w:p>
    <w:p>
      <w:pPr/>
      <w:r>
        <w:rPr>
          <w:b w:val="0"/>
        </w:rPr>
      </w:r>
      <w:r>
        <w:rPr>
          <w:b/>
        </w:rPr>
        <w:t>Beam choice.</w:t>
      </w:r>
      <w:r>
        <w:rPr>
          <w:b w:val="0"/>
        </w:rPr>
        <w:t xml:space="preserve"> A slightly deeper, wider hollow section is the leading candidate because it saves material while retaining lateral/torsional stiffness. The narrow alternative remains an optimization branch. The comparison below uses the same 26.2 t loaded car, 2,500 kg/m³ nominal concrete density, 300.234 kg/m passive iron, 30 GPa gross elastic modulus and simple supports. These are elastic screening properties, not design strengths or accepted air-gap 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1800"/>
        <w:gridCol w:w="1800"/>
        <w:gridCol w:w="1800"/>
      </w:tblGrid>
      <w:tr>
        <w:trPr>
          <w:cantSplit/>
          <w:tblHeader/>
        </w:trPr>
        <w:tc>
          <w:tcPr>
            <w:tcW w:type="dxa" w:w="4392"/>
            <w:vAlign w:val="center"/>
            <w:tcMar>
              <w:top w:w="85" w:type="dxa"/>
              <w:bottom w:w="85" w:type="dxa"/>
              <w:left w:w="90" w:type="dxa"/>
              <w:right w:w="90" w:type="dxa"/>
            </w:tcMar>
            <w:shd w:fill="F2F2F2"/>
          </w:tcPr>
          <w:p>
            <w:pPr>
              <w:keepNext/>
              <w:keepLines/>
              <w:spacing w:after="0" w:line="252" w:lineRule="auto"/>
            </w:pPr>
            <w:r>
              <w:rPr>
                <w:b/>
                <w:sz w:val="20"/>
              </w:rPr>
              <w:t>Structural quantity</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Repository section</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Balanced candidate</w:t>
            </w:r>
          </w:p>
        </w:tc>
        <w:tc>
          <w:tcPr>
            <w:tcW w:type="dxa" w:w="1800"/>
            <w:vAlign w:val="center"/>
            <w:tcMar>
              <w:top w:w="85" w:type="dxa"/>
              <w:bottom w:w="85" w:type="dxa"/>
              <w:left w:w="90" w:type="dxa"/>
              <w:right w:w="90" w:type="dxa"/>
            </w:tcMar>
            <w:shd w:fill="F2F2F2"/>
          </w:tcPr>
          <w:p>
            <w:pPr>
              <w:keepNext/>
              <w:keepLines/>
              <w:spacing w:after="0" w:line="252" w:lineRule="auto"/>
            </w:pPr>
            <w:r>
              <w:rPr>
                <w:b/>
                <w:sz w:val="20"/>
              </w:rPr>
              <w:t>Narrow candidate</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Outer width × depth, m</w:t>
            </w:r>
          </w:p>
        </w:tc>
        <w:tc>
          <w:tcPr>
            <w:tcW w:type="dxa" w:w="1800"/>
            <w:vAlign w:val="center"/>
            <w:tcMar>
              <w:top w:w="85" w:type="dxa"/>
              <w:bottom w:w="85" w:type="dxa"/>
              <w:left w:w="90" w:type="dxa"/>
              <w:right w:w="90" w:type="dxa"/>
            </w:tcMar>
          </w:tcPr>
          <w:p>
            <w:pPr>
              <w:keepLines/>
              <w:spacing w:after="0" w:line="252" w:lineRule="auto"/>
            </w:pPr>
            <w:r>
              <w:rPr>
                <w:b w:val="0"/>
                <w:sz w:val="20"/>
              </w:rPr>
              <w:t>0.80 × 1.60</w:t>
            </w:r>
          </w:p>
        </w:tc>
        <w:tc>
          <w:tcPr>
            <w:tcW w:type="dxa" w:w="1800"/>
            <w:vAlign w:val="center"/>
            <w:tcMar>
              <w:top w:w="85" w:type="dxa"/>
              <w:bottom w:w="85" w:type="dxa"/>
              <w:left w:w="90" w:type="dxa"/>
              <w:right w:w="90" w:type="dxa"/>
            </w:tcMar>
          </w:tcPr>
          <w:p>
            <w:pPr>
              <w:keepLines/>
              <w:spacing w:after="0" w:line="252" w:lineRule="auto"/>
            </w:pPr>
            <w:r>
              <w:rPr>
                <w:b w:val="0"/>
                <w:sz w:val="20"/>
              </w:rPr>
              <w:t>0.80 × 1.80</w:t>
            </w:r>
          </w:p>
        </w:tc>
        <w:tc>
          <w:tcPr>
            <w:tcW w:type="dxa" w:w="1800"/>
            <w:vAlign w:val="center"/>
            <w:tcMar>
              <w:top w:w="85" w:type="dxa"/>
              <w:bottom w:w="85" w:type="dxa"/>
              <w:left w:w="90" w:type="dxa"/>
              <w:right w:w="90" w:type="dxa"/>
            </w:tcMar>
          </w:tcPr>
          <w:p>
            <w:pPr>
              <w:keepLines/>
              <w:spacing w:after="0" w:line="252" w:lineRule="auto"/>
            </w:pPr>
            <w:r>
              <w:rPr>
                <w:b w:val="0"/>
                <w:sz w:val="20"/>
              </w:rPr>
              <w:t>0.65 × 1.90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Web / flange thickness, mm</w:t>
            </w:r>
          </w:p>
        </w:tc>
        <w:tc>
          <w:tcPr>
            <w:tcW w:type="dxa" w:w="1800"/>
            <w:vAlign w:val="center"/>
            <w:tcMar>
              <w:top w:w="85" w:type="dxa"/>
              <w:bottom w:w="85" w:type="dxa"/>
              <w:left w:w="90" w:type="dxa"/>
              <w:right w:w="90" w:type="dxa"/>
            </w:tcMar>
          </w:tcPr>
          <w:p>
            <w:pPr>
              <w:keepLines/>
              <w:spacing w:after="0" w:line="252" w:lineRule="auto"/>
            </w:pPr>
            <w:r>
              <w:rPr>
                <w:b w:val="0"/>
                <w:sz w:val="20"/>
              </w:rPr>
              <w:t>150 / 180</w:t>
            </w:r>
          </w:p>
        </w:tc>
        <w:tc>
          <w:tcPr>
            <w:tcW w:type="dxa" w:w="1800"/>
            <w:vAlign w:val="center"/>
            <w:tcMar>
              <w:top w:w="85" w:type="dxa"/>
              <w:bottom w:w="85" w:type="dxa"/>
              <w:left w:w="90" w:type="dxa"/>
              <w:right w:w="90" w:type="dxa"/>
            </w:tcMar>
          </w:tcPr>
          <w:p>
            <w:pPr>
              <w:keepLines/>
              <w:spacing w:after="0" w:line="252" w:lineRule="auto"/>
            </w:pPr>
            <w:r>
              <w:rPr>
                <w:b w:val="0"/>
                <w:sz w:val="20"/>
              </w:rPr>
              <w:t>100 / 150</w:t>
            </w:r>
          </w:p>
        </w:tc>
        <w:tc>
          <w:tcPr>
            <w:tcW w:type="dxa" w:w="1800"/>
            <w:vAlign w:val="center"/>
            <w:tcMar>
              <w:top w:w="85" w:type="dxa"/>
              <w:bottom w:w="85" w:type="dxa"/>
              <w:left w:w="90" w:type="dxa"/>
              <w:right w:w="90" w:type="dxa"/>
            </w:tcMar>
          </w:tcPr>
          <w:p>
            <w:pPr>
              <w:keepLines/>
              <w:spacing w:after="0" w:line="252" w:lineRule="auto"/>
            </w:pPr>
            <w:r>
              <w:rPr>
                <w:b w:val="0"/>
                <w:sz w:val="20"/>
              </w:rPr>
              <w:t>100 / 140</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Middle-section concrete area, m²</w:t>
            </w:r>
          </w:p>
        </w:tc>
        <w:tc>
          <w:tcPr>
            <w:tcW w:type="dxa" w:w="1800"/>
            <w:vAlign w:val="center"/>
            <w:tcMar>
              <w:top w:w="85" w:type="dxa"/>
              <w:bottom w:w="85" w:type="dxa"/>
              <w:left w:w="90" w:type="dxa"/>
              <w:right w:w="90" w:type="dxa"/>
            </w:tcMar>
          </w:tcPr>
          <w:p>
            <w:pPr>
              <w:keepLines/>
              <w:spacing w:after="0" w:line="252" w:lineRule="auto"/>
            </w:pPr>
            <w:r>
              <w:rPr>
                <w:b w:val="0"/>
                <w:sz w:val="20"/>
              </w:rPr>
              <w:t>0.660</w:t>
            </w:r>
          </w:p>
        </w:tc>
        <w:tc>
          <w:tcPr>
            <w:tcW w:type="dxa" w:w="1800"/>
            <w:vAlign w:val="center"/>
            <w:tcMar>
              <w:top w:w="85" w:type="dxa"/>
              <w:bottom w:w="85" w:type="dxa"/>
              <w:left w:w="90" w:type="dxa"/>
              <w:right w:w="90" w:type="dxa"/>
            </w:tcMar>
          </w:tcPr>
          <w:p>
            <w:pPr>
              <w:keepLines/>
              <w:spacing w:after="0" w:line="252" w:lineRule="auto"/>
            </w:pPr>
            <w:r>
              <w:rPr>
                <w:b w:val="0"/>
                <w:sz w:val="20"/>
              </w:rPr>
              <w:t>0.540</w:t>
            </w:r>
          </w:p>
        </w:tc>
        <w:tc>
          <w:tcPr>
            <w:tcW w:type="dxa" w:w="1800"/>
            <w:vAlign w:val="center"/>
            <w:tcMar>
              <w:top w:w="85" w:type="dxa"/>
              <w:bottom w:w="85" w:type="dxa"/>
              <w:left w:w="90" w:type="dxa"/>
              <w:right w:w="90" w:type="dxa"/>
            </w:tcMar>
          </w:tcPr>
          <w:p>
            <w:pPr>
              <w:keepLines/>
              <w:spacing w:after="0" w:line="252" w:lineRule="auto"/>
            </w:pPr>
            <w:r>
              <w:rPr>
                <w:b w:val="0"/>
                <w:sz w:val="20"/>
              </w:rPr>
              <w:t>0.506</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Gross vertical I, m⁴</w:t>
            </w:r>
          </w:p>
        </w:tc>
        <w:tc>
          <w:tcPr>
            <w:tcW w:type="dxa" w:w="1800"/>
            <w:vAlign w:val="center"/>
            <w:tcMar>
              <w:top w:w="85" w:type="dxa"/>
              <w:bottom w:w="85" w:type="dxa"/>
              <w:left w:w="90" w:type="dxa"/>
              <w:right w:w="90" w:type="dxa"/>
            </w:tcMar>
          </w:tcPr>
          <w:p>
            <w:pPr>
              <w:keepLines/>
              <w:spacing w:after="0" w:line="252" w:lineRule="auto"/>
            </w:pPr>
            <w:r>
              <w:rPr>
                <w:b w:val="0"/>
                <w:sz w:val="20"/>
              </w:rPr>
              <w:t>0.1936</w:t>
            </w:r>
          </w:p>
        </w:tc>
        <w:tc>
          <w:tcPr>
            <w:tcW w:type="dxa" w:w="1800"/>
            <w:vAlign w:val="center"/>
            <w:tcMar>
              <w:top w:w="85" w:type="dxa"/>
              <w:bottom w:w="85" w:type="dxa"/>
              <w:left w:w="90" w:type="dxa"/>
              <w:right w:w="90" w:type="dxa"/>
            </w:tcMar>
          </w:tcPr>
          <w:p>
            <w:pPr>
              <w:keepLines/>
              <w:spacing w:after="0" w:line="252" w:lineRule="auto"/>
            </w:pPr>
            <w:r>
              <w:rPr>
                <w:b w:val="0"/>
                <w:sz w:val="20"/>
              </w:rPr>
              <w:t>0.2201</w:t>
            </w:r>
          </w:p>
        </w:tc>
        <w:tc>
          <w:tcPr>
            <w:tcW w:type="dxa" w:w="1800"/>
            <w:vAlign w:val="center"/>
            <w:tcMar>
              <w:top w:w="85" w:type="dxa"/>
              <w:bottom w:w="85" w:type="dxa"/>
              <w:left w:w="90" w:type="dxa"/>
              <w:right w:w="90" w:type="dxa"/>
            </w:tcMar>
          </w:tcPr>
          <w:p>
            <w:pPr>
              <w:keepLines/>
              <w:spacing w:after="0" w:line="252" w:lineRule="auto"/>
            </w:pPr>
            <w:r>
              <w:rPr>
                <w:b w:val="0"/>
                <w:sz w:val="20"/>
              </w:rPr>
              <w:t>0.2121</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Gross lateral I, m⁴</w:t>
            </w:r>
          </w:p>
        </w:tc>
        <w:tc>
          <w:tcPr>
            <w:tcW w:type="dxa" w:w="1800"/>
            <w:vAlign w:val="center"/>
            <w:tcMar>
              <w:top w:w="85" w:type="dxa"/>
              <w:bottom w:w="85" w:type="dxa"/>
              <w:left w:w="90" w:type="dxa"/>
              <w:right w:w="90" w:type="dxa"/>
            </w:tcMar>
          </w:tcPr>
          <w:p>
            <w:pPr>
              <w:keepLines/>
              <w:spacing w:after="0" w:line="252" w:lineRule="auto"/>
            </w:pPr>
            <w:r>
              <w:rPr>
                <w:b w:val="0"/>
                <w:sz w:val="20"/>
              </w:rPr>
              <w:t>0.05535</w:t>
            </w:r>
          </w:p>
        </w:tc>
        <w:tc>
          <w:tcPr>
            <w:tcW w:type="dxa" w:w="1800"/>
            <w:vAlign w:val="center"/>
            <w:tcMar>
              <w:top w:w="85" w:type="dxa"/>
              <w:bottom w:w="85" w:type="dxa"/>
              <w:left w:w="90" w:type="dxa"/>
              <w:right w:w="90" w:type="dxa"/>
            </w:tcMar>
          </w:tcPr>
          <w:p>
            <w:pPr>
              <w:keepLines/>
              <w:spacing w:after="0" w:line="252" w:lineRule="auto"/>
            </w:pPr>
            <w:r>
              <w:rPr>
                <w:b w:val="0"/>
                <w:sz w:val="20"/>
              </w:rPr>
              <w:t>0.04980</w:t>
            </w:r>
          </w:p>
        </w:tc>
        <w:tc>
          <w:tcPr>
            <w:tcW w:type="dxa" w:w="1800"/>
            <w:vAlign w:val="center"/>
            <w:tcMar>
              <w:top w:w="85" w:type="dxa"/>
              <w:bottom w:w="85" w:type="dxa"/>
              <w:left w:w="90" w:type="dxa"/>
              <w:right w:w="90" w:type="dxa"/>
            </w:tcMar>
          </w:tcPr>
          <w:p>
            <w:pPr>
              <w:keepLines/>
              <w:spacing w:after="0" w:line="252" w:lineRule="auto"/>
            </w:pPr>
            <w:r>
              <w:rPr>
                <w:b w:val="0"/>
                <w:sz w:val="20"/>
              </w:rPr>
              <w:t>0.03118</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Approximate thin-wall torsion J, m⁴</w:t>
            </w:r>
          </w:p>
        </w:tc>
        <w:tc>
          <w:tcPr>
            <w:tcW w:type="dxa" w:w="1800"/>
            <w:vAlign w:val="center"/>
            <w:tcMar>
              <w:top w:w="85" w:type="dxa"/>
              <w:bottom w:w="85" w:type="dxa"/>
              <w:left w:w="90" w:type="dxa"/>
              <w:right w:w="90" w:type="dxa"/>
            </w:tcMar>
          </w:tcPr>
          <w:p>
            <w:pPr>
              <w:keepLines/>
              <w:spacing w:after="0" w:line="252" w:lineRule="auto"/>
            </w:pPr>
            <w:r>
              <w:rPr>
                <w:b w:val="0"/>
                <w:sz w:val="20"/>
              </w:rPr>
              <w:t>0.1303</w:t>
            </w:r>
          </w:p>
        </w:tc>
        <w:tc>
          <w:tcPr>
            <w:tcW w:type="dxa" w:w="1800"/>
            <w:vAlign w:val="center"/>
            <w:tcMar>
              <w:top w:w="85" w:type="dxa"/>
              <w:bottom w:w="85" w:type="dxa"/>
              <w:left w:w="90" w:type="dxa"/>
              <w:right w:w="90" w:type="dxa"/>
            </w:tcMar>
          </w:tcPr>
          <w:p>
            <w:pPr>
              <w:keepLines/>
              <w:spacing w:after="0" w:line="252" w:lineRule="auto"/>
            </w:pPr>
            <w:r>
              <w:rPr>
                <w:b w:val="0"/>
                <w:sz w:val="20"/>
              </w:rPr>
              <w:t>0.1260</w:t>
            </w:r>
          </w:p>
        </w:tc>
        <w:tc>
          <w:tcPr>
            <w:tcW w:type="dxa" w:w="1800"/>
            <w:vAlign w:val="center"/>
            <w:tcMar>
              <w:top w:w="85" w:type="dxa"/>
              <w:bottom w:w="85" w:type="dxa"/>
              <w:left w:w="90" w:type="dxa"/>
              <w:right w:w="90" w:type="dxa"/>
            </w:tcMar>
          </w:tcPr>
          <w:p>
            <w:pPr>
              <w:keepLines/>
              <w:spacing w:after="0" w:line="252" w:lineRule="auto"/>
            </w:pPr>
            <w:r>
              <w:rPr>
                <w:b w:val="0"/>
                <w:sz w:val="20"/>
              </w:rPr>
              <w:t>0.08705</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Concrete plus iron, t/beam, with equal end-infill convention</w:t>
            </w:r>
          </w:p>
        </w:tc>
        <w:tc>
          <w:tcPr>
            <w:tcW w:type="dxa" w:w="1800"/>
            <w:vAlign w:val="center"/>
            <w:tcMar>
              <w:top w:w="85" w:type="dxa"/>
              <w:bottom w:w="85" w:type="dxa"/>
              <w:left w:w="90" w:type="dxa"/>
              <w:right w:w="90" w:type="dxa"/>
            </w:tcMar>
          </w:tcPr>
          <w:p>
            <w:pPr>
              <w:keepLines/>
              <w:spacing w:after="0" w:line="252" w:lineRule="auto"/>
            </w:pPr>
            <w:r>
              <w:rPr>
                <w:b w:val="0"/>
                <w:sz w:val="20"/>
              </w:rPr>
              <w:t>50.00</w:t>
            </w:r>
          </w:p>
        </w:tc>
        <w:tc>
          <w:tcPr>
            <w:tcW w:type="dxa" w:w="1800"/>
            <w:vAlign w:val="center"/>
            <w:tcMar>
              <w:top w:w="85" w:type="dxa"/>
              <w:bottom w:w="85" w:type="dxa"/>
              <w:left w:w="90" w:type="dxa"/>
              <w:right w:w="90" w:type="dxa"/>
            </w:tcMar>
          </w:tcPr>
          <w:p>
            <w:pPr>
              <w:keepLines/>
              <w:spacing w:after="0" w:line="252" w:lineRule="auto"/>
            </w:pPr>
            <w:r>
              <w:rPr>
                <w:b w:val="0"/>
                <w:sz w:val="20"/>
              </w:rPr>
              <w:t>43.06</w:t>
            </w:r>
          </w:p>
        </w:tc>
        <w:tc>
          <w:tcPr>
            <w:tcW w:type="dxa" w:w="1800"/>
            <w:vAlign w:val="center"/>
            <w:tcMar>
              <w:top w:w="85" w:type="dxa"/>
              <w:bottom w:w="85" w:type="dxa"/>
              <w:left w:w="90" w:type="dxa"/>
              <w:right w:w="90" w:type="dxa"/>
            </w:tcMar>
          </w:tcPr>
          <w:p>
            <w:pPr>
              <w:keepLines/>
              <w:spacing w:after="0" w:line="252" w:lineRule="auto"/>
            </w:pPr>
            <w:r>
              <w:rPr>
                <w:b w:val="0"/>
                <w:sz w:val="20"/>
              </w:rPr>
              <w:t>40.59</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Gross total UDL elastic deflection, mm</w:t>
            </w:r>
          </w:p>
        </w:tc>
        <w:tc>
          <w:tcPr>
            <w:tcW w:type="dxa" w:w="1800"/>
            <w:vAlign w:val="center"/>
            <w:tcMar>
              <w:top w:w="85" w:type="dxa"/>
              <w:bottom w:w="85" w:type="dxa"/>
              <w:left w:w="90" w:type="dxa"/>
              <w:right w:w="90" w:type="dxa"/>
            </w:tcMar>
          </w:tcPr>
          <w:p>
            <w:pPr>
              <w:keepLines/>
              <w:spacing w:after="0" w:line="252" w:lineRule="auto"/>
            </w:pPr>
            <w:r>
              <w:rPr>
                <w:b w:val="0"/>
                <w:sz w:val="20"/>
              </w:rPr>
              <w:t>29.99</w:t>
            </w:r>
          </w:p>
        </w:tc>
        <w:tc>
          <w:tcPr>
            <w:tcW w:type="dxa" w:w="1800"/>
            <w:vAlign w:val="center"/>
            <w:tcMar>
              <w:top w:w="85" w:type="dxa"/>
              <w:bottom w:w="85" w:type="dxa"/>
              <w:left w:w="90" w:type="dxa"/>
              <w:right w:w="90" w:type="dxa"/>
            </w:tcMar>
          </w:tcPr>
          <w:p>
            <w:pPr>
              <w:keepLines/>
              <w:spacing w:after="0" w:line="252" w:lineRule="auto"/>
            </w:pPr>
            <w:r>
              <w:rPr>
                <w:b w:val="0"/>
                <w:sz w:val="20"/>
              </w:rPr>
              <w:t>24.12</w:t>
            </w:r>
          </w:p>
        </w:tc>
        <w:tc>
          <w:tcPr>
            <w:tcW w:type="dxa" w:w="1800"/>
            <w:vAlign w:val="center"/>
            <w:tcMar>
              <w:top w:w="85" w:type="dxa"/>
              <w:bottom w:w="85" w:type="dxa"/>
              <w:left w:w="90" w:type="dxa"/>
              <w:right w:w="90" w:type="dxa"/>
            </w:tcMar>
          </w:tcPr>
          <w:p>
            <w:pPr>
              <w:keepLines/>
              <w:spacing w:after="0" w:line="252" w:lineRule="auto"/>
            </w:pPr>
            <w:r>
              <w:rPr>
                <w:b w:val="0"/>
                <w:sz w:val="20"/>
              </w:rPr>
              <w:t>24.36</w:t>
            </w:r>
          </w:p>
        </w:tc>
      </w:tr>
      <w:tr>
        <w:trPr>
          <w:cantSplit/>
        </w:trPr>
        <w:tc>
          <w:tcPr>
            <w:tcW w:type="dxa" w:w="4392"/>
            <w:vAlign w:val="center"/>
            <w:tcMar>
              <w:top w:w="85" w:type="dxa"/>
              <w:bottom w:w="85" w:type="dxa"/>
              <w:left w:w="90" w:type="dxa"/>
              <w:right w:w="90" w:type="dxa"/>
            </w:tcMar>
          </w:tcPr>
          <w:p>
            <w:pPr>
              <w:keepLines/>
              <w:spacing w:after="0" w:line="252" w:lineRule="auto"/>
            </w:pPr>
            <w:r>
              <w:rPr>
                <w:b w:val="0"/>
                <w:sz w:val="20"/>
              </w:rPr>
              <w:t>Live-load-only elastic increment, mm</w:t>
            </w:r>
          </w:p>
        </w:tc>
        <w:tc>
          <w:tcPr>
            <w:tcW w:type="dxa" w:w="1800"/>
            <w:vAlign w:val="center"/>
            <w:tcMar>
              <w:top w:w="85" w:type="dxa"/>
              <w:bottom w:w="85" w:type="dxa"/>
              <w:left w:w="90" w:type="dxa"/>
              <w:right w:w="90" w:type="dxa"/>
            </w:tcMar>
          </w:tcPr>
          <w:p>
            <w:pPr>
              <w:keepLines/>
              <w:spacing w:after="0" w:line="252" w:lineRule="auto"/>
            </w:pPr>
            <w:r>
              <w:rPr>
                <w:b w:val="0"/>
                <w:sz w:val="20"/>
              </w:rPr>
              <w:t>13.24</w:t>
            </w:r>
          </w:p>
        </w:tc>
        <w:tc>
          <w:tcPr>
            <w:tcW w:type="dxa" w:w="1800"/>
            <w:vAlign w:val="center"/>
            <w:tcMar>
              <w:top w:w="85" w:type="dxa"/>
              <w:bottom w:w="85" w:type="dxa"/>
              <w:left w:w="90" w:type="dxa"/>
              <w:right w:w="90" w:type="dxa"/>
            </w:tcMar>
          </w:tcPr>
          <w:p>
            <w:pPr>
              <w:keepLines/>
              <w:spacing w:after="0" w:line="252" w:lineRule="auto"/>
            </w:pPr>
            <w:r>
              <w:rPr>
                <w:b w:val="0"/>
                <w:sz w:val="20"/>
              </w:rPr>
              <w:t>11.65</w:t>
            </w:r>
          </w:p>
        </w:tc>
        <w:tc>
          <w:tcPr>
            <w:tcW w:type="dxa" w:w="1800"/>
            <w:vAlign w:val="center"/>
            <w:tcMar>
              <w:top w:w="85" w:type="dxa"/>
              <w:bottom w:w="85" w:type="dxa"/>
              <w:left w:w="90" w:type="dxa"/>
              <w:right w:w="90" w:type="dxa"/>
            </w:tcMar>
          </w:tcPr>
          <w:p>
            <w:pPr>
              <w:keepLines/>
              <w:spacing w:after="0" w:line="252" w:lineRule="auto"/>
            </w:pPr>
            <w:r>
              <w:rPr>
                <w:b w:val="0"/>
                <w:sz w:val="20"/>
              </w:rPr>
              <w:t>12.09</w:t>
            </w:r>
          </w:p>
        </w:tc>
      </w:tr>
    </w:tbl>
    <w:p>
      <w:pPr>
        <w:spacing w:after="40"/>
      </w:pPr>
    </w:p>
    <w:p>
      <w:pPr>
        <w:keepNext/>
      </w:pPr>
      <w:r>
        <w:drawing>
          <wp:inline xmlns:a="http://schemas.openxmlformats.org/drawingml/2006/main" xmlns:pic="http://schemas.openxmlformats.org/drawingml/2006/picture">
            <wp:extent cx="6217920" cy="3027145"/>
            <wp:docPr id="3" name="Picture 3"/>
            <wp:cNvGraphicFramePr>
              <a:graphicFrameLocks noChangeAspect="1"/>
            </wp:cNvGraphicFramePr>
            <a:graphic>
              <a:graphicData uri="http://schemas.openxmlformats.org/drawingml/2006/picture">
                <pic:pic>
                  <pic:nvPicPr>
                    <pic:cNvPr id="0" name="civil_beam_sections.png"/>
                    <pic:cNvPicPr/>
                  </pic:nvPicPr>
                  <pic:blipFill>
                    <a:blip r:embed="rId12"/>
                    <a:stretch>
                      <a:fillRect/>
                    </a:stretch>
                  </pic:blipFill>
                  <pic:spPr>
                    <a:xfrm>
                      <a:off x="0" y="0"/>
                      <a:ext cx="6217920" cy="3027145"/>
                    </a:xfrm>
                    <a:prstGeom prst="rect"/>
                  </pic:spPr>
                </pic:pic>
              </a:graphicData>
            </a:graphic>
          </wp:inline>
        </w:drawing>
      </w:r>
    </w:p>
    <w:p>
      <w:pPr/>
      <w:r>
        <w:rPr>
          <w:b w:val="0"/>
          <w:sz w:val="20"/>
        </w:rPr>
        <w:t>Calculated concrete middle sections at a common scale. The balanced candidate retains more lateral and torsional stiffness than the narrow alternative. Rail faces, reinforcement, prestress and connection details are not shown; these are study sections, not construction drawings.</w:t>
      </w:r>
    </w:p>
    <w:p>
      <w:pPr/>
      <w:r>
        <w:rPr>
          <w:b w:val="0"/>
        </w:rPr>
        <w:t>The end-infill convention fills the internal void for 0.4 m at each end. It adds 0.720 m³ to the balanced beam, producing 14.22 m³/beam and 1,137.6 m³ per route-km; use 1,140 m³ for budget. The current repository quantity is 1,320 m³ and 48.76 t/beam because it omits such infills. Adding the same allowance to the old section gives 1,359.68 m³ and 50.00 t/beam. The balanced candidate is therefore about 14% lighter on the matched detail convention, or 12% below the old undetailed mass. End length, tendon transfer, shear, bearings and lifting details can change these quantities. Reconcile reinforcement density with the actual BOM to avoid adding steel twice.</w:t>
      </w:r>
    </w:p>
    <w:p>
      <w:pPr/>
      <w:r>
        <w:rPr>
          <w:b w:val="0"/>
        </w:rPr>
        <w:t>The 45–47 t balanced complete-member target allows roughly 2–4 t beyond the present concrete/iron calculation; it is a target ceiling to test, not a measured lifting weight. Count any preinstalled stator, brackets, fittings and spreader/rigging load explicitly. Select cranes from load charts at actual radius, elevation, ground bearing and wind conditions. Analyze temporary roll stability, lifting points and transport cradles. The 100 mm webs and 150 mm flanges require a real reinforcement/strand/cover layout and concrete-placement trial; thicker variants remain available. A closed void needs a controlled former, restraint against buoyancy, drainage and practical inspection. A 48-hour bed cycle requires verified release strength and subsequent geometry acceptance.</w:t>
      </w:r>
    </w:p>
    <w:p>
      <w:pPr/>
      <w:r>
        <w:rPr>
          <w:b w:val="0"/>
        </w:rPr>
      </w:r>
      <w:r>
        <w:rPr>
          <w:b/>
        </w:rPr>
        <w:t>Span selection.</w:t>
      </w:r>
      <w:r>
        <w:rPr>
          <w:b w:val="0"/>
        </w:rPr>
        <w:t xml:space="preserve"> A 20 m comparison with 0.70 × 1.60 m, 120/150 mm section weighs about 33.3 t including the same end infills and iron, but requires 50 supports and 100 beam deliveries per route-km. A 30 m comparison with 0.65 × 2.30 m, 100/140 mm section weighs about 54.8 t and reduces those counts to about 33.3 and 66.7. The long beam needs greater support capacity and a different lift envelope; neither alternative inherits the 25 m unit prices or production cycle. Optimize span by site conditions rather than specifying maximum span everywhere.</w:t>
      </w:r>
    </w:p>
    <w:p>
      <w:pPr>
        <w:pStyle w:val="Heading1"/>
        <w:pageBreakBefore w:val="0"/>
      </w:pPr>
      <w:r>
        <w:t>Pier and foundation families</w:t>
      </w:r>
    </w:p>
    <w:p>
      <w:pPr/>
      <w:r>
        <w:rPr>
          <w:b w:val="0"/>
        </w:rPr>
      </w:r>
      <w:r>
        <w:rPr>
          <w:b/>
        </w:rPr>
        <w:t>Replace the actual placeholders.</w:t>
      </w:r>
      <w:r>
        <w:rPr>
          <w:b w:val="0"/>
        </w:rPr>
        <w:t xml:space="preserve"> In the reviewed civil_bay geometry, each cap is 2.5 × 7.0 × 1.2 m, the column is 1.5 × 2.0 × 8.0 m and the shallow-foundation envelope is 4.5 × 4.5 × 1.2 m. The source explicitly identifies these as study solids. The following replacement quantities are design objectives, with no claim of equivalent verified lateral, seismic or fatigue performance. [R44]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cantSplit/>
          <w:tblHeader/>
        </w:trPr>
        <w:tc>
          <w:tcPr>
            <w:tcW w:type="dxa" w:w="5328"/>
            <w:vAlign w:val="center"/>
            <w:tcMar>
              <w:top w:w="85" w:type="dxa"/>
              <w:bottom w:w="85" w:type="dxa"/>
              <w:left w:w="90" w:type="dxa"/>
              <w:right w:w="90" w:type="dxa"/>
            </w:tcMar>
            <w:shd w:fill="F2F2F2"/>
          </w:tcPr>
          <w:p>
            <w:pPr>
              <w:keepNext/>
              <w:keepLines/>
              <w:spacing w:after="0" w:line="252" w:lineRule="auto"/>
            </w:pPr>
            <w:r>
              <w:rPr>
                <w:b/>
                <w:sz w:val="20"/>
              </w:rPr>
              <w:t>Support component</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Current CAD placeholder, m³</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Revised study, m³</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8 m column</w:t>
            </w:r>
          </w:p>
        </w:tc>
        <w:tc>
          <w:tcPr>
            <w:tcW w:type="dxa" w:w="2232"/>
            <w:vAlign w:val="center"/>
            <w:tcMar>
              <w:top w:w="85" w:type="dxa"/>
              <w:bottom w:w="85" w:type="dxa"/>
              <w:left w:w="90" w:type="dxa"/>
              <w:right w:w="90" w:type="dxa"/>
            </w:tcMar>
          </w:tcPr>
          <w:p>
            <w:pPr>
              <w:keepLines/>
              <w:spacing w:after="0" w:line="252" w:lineRule="auto"/>
            </w:pPr>
            <w:r>
              <w:rPr>
                <w:b w:val="0"/>
                <w:sz w:val="20"/>
              </w:rPr>
              <w:t>24.00</w:t>
            </w:r>
          </w:p>
        </w:tc>
        <w:tc>
          <w:tcPr>
            <w:tcW w:type="dxa" w:w="2232"/>
            <w:vAlign w:val="center"/>
            <w:tcMar>
              <w:top w:w="85" w:type="dxa"/>
              <w:bottom w:w="85" w:type="dxa"/>
              <w:left w:w="90" w:type="dxa"/>
              <w:right w:w="90" w:type="dxa"/>
            </w:tcMar>
          </w:tcPr>
          <w:p>
            <w:pPr>
              <w:keepLines/>
              <w:spacing w:after="0" w:line="252" w:lineRule="auto"/>
            </w:pPr>
            <w:r>
              <w:rPr>
                <w:b w:val="0"/>
                <w:sz w:val="20"/>
              </w:rPr>
              <w:t>6.49</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Crosshead / cap</w:t>
            </w:r>
          </w:p>
        </w:tc>
        <w:tc>
          <w:tcPr>
            <w:tcW w:type="dxa" w:w="2232"/>
            <w:vAlign w:val="center"/>
            <w:tcMar>
              <w:top w:w="85" w:type="dxa"/>
              <w:bottom w:w="85" w:type="dxa"/>
              <w:left w:w="90" w:type="dxa"/>
              <w:right w:w="90" w:type="dxa"/>
            </w:tcMar>
          </w:tcPr>
          <w:p>
            <w:pPr>
              <w:keepLines/>
              <w:spacing w:after="0" w:line="252" w:lineRule="auto"/>
            </w:pPr>
            <w:r>
              <w:rPr>
                <w:b w:val="0"/>
                <w:sz w:val="20"/>
              </w:rPr>
              <w:t>21.00</w:t>
            </w:r>
          </w:p>
        </w:tc>
        <w:tc>
          <w:tcPr>
            <w:tcW w:type="dxa" w:w="2232"/>
            <w:vAlign w:val="center"/>
            <w:tcMar>
              <w:top w:w="85" w:type="dxa"/>
              <w:bottom w:w="85" w:type="dxa"/>
              <w:left w:w="90" w:type="dxa"/>
              <w:right w:w="90" w:type="dxa"/>
            </w:tcMar>
          </w:tcPr>
          <w:p>
            <w:pPr>
              <w:keepLines/>
              <w:spacing w:after="0" w:line="252" w:lineRule="auto"/>
            </w:pPr>
            <w:r>
              <w:rPr>
                <w:b w:val="0"/>
                <w:sz w:val="20"/>
              </w:rPr>
              <w:t>5.40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Column plus cap</w:t>
            </w:r>
          </w:p>
        </w:tc>
        <w:tc>
          <w:tcPr>
            <w:tcW w:type="dxa" w:w="2232"/>
            <w:vAlign w:val="center"/>
            <w:tcMar>
              <w:top w:w="85" w:type="dxa"/>
              <w:bottom w:w="85" w:type="dxa"/>
              <w:left w:w="90" w:type="dxa"/>
              <w:right w:w="90" w:type="dxa"/>
            </w:tcMar>
          </w:tcPr>
          <w:p>
            <w:pPr>
              <w:keepLines/>
              <w:spacing w:after="0" w:line="252" w:lineRule="auto"/>
            </w:pPr>
            <w:r>
              <w:rPr>
                <w:b w:val="0"/>
                <w:sz w:val="20"/>
              </w:rPr>
              <w:t>45.00</w:t>
            </w:r>
          </w:p>
        </w:tc>
        <w:tc>
          <w:tcPr>
            <w:tcW w:type="dxa" w:w="2232"/>
            <w:vAlign w:val="center"/>
            <w:tcMar>
              <w:top w:w="85" w:type="dxa"/>
              <w:bottom w:w="85" w:type="dxa"/>
              <w:left w:w="90" w:type="dxa"/>
              <w:right w:w="90" w:type="dxa"/>
            </w:tcMar>
          </w:tcPr>
          <w:p>
            <w:pPr>
              <w:keepLines/>
              <w:spacing w:after="0" w:line="252" w:lineRule="auto"/>
            </w:pPr>
            <w:r>
              <w:rPr>
                <w:b w:val="0"/>
                <w:sz w:val="20"/>
              </w:rPr>
              <w:t>11.89</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Illustrative shallow footing</w:t>
            </w:r>
          </w:p>
        </w:tc>
        <w:tc>
          <w:tcPr>
            <w:tcW w:type="dxa" w:w="2232"/>
            <w:vAlign w:val="center"/>
            <w:tcMar>
              <w:top w:w="85" w:type="dxa"/>
              <w:bottom w:w="85" w:type="dxa"/>
              <w:left w:w="90" w:type="dxa"/>
              <w:right w:w="90" w:type="dxa"/>
            </w:tcMar>
          </w:tcPr>
          <w:p>
            <w:pPr>
              <w:keepLines/>
              <w:spacing w:after="0" w:line="252" w:lineRule="auto"/>
            </w:pPr>
            <w:r>
              <w:rPr>
                <w:b w:val="0"/>
                <w:sz w:val="20"/>
              </w:rPr>
              <w:t>24.30</w:t>
            </w:r>
          </w:p>
        </w:tc>
        <w:tc>
          <w:tcPr>
            <w:tcW w:type="dxa" w:w="2232"/>
            <w:vAlign w:val="center"/>
            <w:tcMar>
              <w:top w:w="85" w:type="dxa"/>
              <w:bottom w:w="85" w:type="dxa"/>
              <w:left w:w="90" w:type="dxa"/>
              <w:right w:w="90" w:type="dxa"/>
            </w:tcMar>
          </w:tcPr>
          <w:p>
            <w:pPr>
              <w:keepLines/>
              <w:spacing w:after="0" w:line="252" w:lineRule="auto"/>
            </w:pPr>
            <w:r>
              <w:rPr>
                <w:b w:val="0"/>
                <w:sz w:val="20"/>
              </w:rPr>
              <w:t>16.20, where qualified</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Illustrative complete shallow support</w:t>
            </w:r>
          </w:p>
        </w:tc>
        <w:tc>
          <w:tcPr>
            <w:tcW w:type="dxa" w:w="2232"/>
            <w:vAlign w:val="center"/>
            <w:tcMar>
              <w:top w:w="85" w:type="dxa"/>
              <w:bottom w:w="85" w:type="dxa"/>
              <w:left w:w="90" w:type="dxa"/>
              <w:right w:w="90" w:type="dxa"/>
            </w:tcMar>
          </w:tcPr>
          <w:p>
            <w:pPr>
              <w:keepLines/>
              <w:spacing w:after="0" w:line="252" w:lineRule="auto"/>
            </w:pPr>
            <w:r>
              <w:rPr>
                <w:b w:val="0"/>
                <w:sz w:val="20"/>
              </w:rPr>
              <w:t>69.30</w:t>
            </w:r>
          </w:p>
        </w:tc>
        <w:tc>
          <w:tcPr>
            <w:tcW w:type="dxa" w:w="2232"/>
            <w:vAlign w:val="center"/>
            <w:tcMar>
              <w:top w:w="85" w:type="dxa"/>
              <w:bottom w:w="85" w:type="dxa"/>
              <w:left w:w="90" w:type="dxa"/>
              <w:right w:w="90" w:type="dxa"/>
            </w:tcMar>
          </w:tcPr>
          <w:p>
            <w:pPr>
              <w:keepLines/>
              <w:spacing w:after="0" w:line="252" w:lineRule="auto"/>
            </w:pPr>
            <w:r>
              <w:rPr>
                <w:b w:val="0"/>
                <w:sz w:val="20"/>
              </w:rPr>
              <w:t>28.09, where qualified</w:t>
            </w:r>
          </w:p>
        </w:tc>
      </w:tr>
    </w:tbl>
    <w:p>
      <w:pPr>
        <w:spacing w:after="40"/>
      </w:pPr>
    </w:p>
    <w:p>
      <w:pPr/>
      <w:r>
        <w:rPr>
          <w:b w:val="0"/>
        </w:rPr>
        <w:t>The column candidate is an annular shaft, 1.35 m outside and 0.95 m inside diameter, with 200 mm walls and a total 1 m of solid end zones. At 8 m height its volume is 6.489 m³ and nominal mass 16.22 t. Compared with a separate compact solid 1.20 m diameter column of the same height, it uses 28.3% less concrete while its hollow shaft has 20.9% higher gross flexural I. That is a useful geometry comparison; it is not equivalent to the much larger rectangular CAD placeholder. Check confinement, shear, curvature capacity, second-order effects and socket/sleeve detailing before releasing the section.</w:t>
      </w:r>
    </w:p>
    <w:p>
      <w:pPr/>
      <w:r>
        <w:rPr>
          <w:b w:val="0"/>
        </w:rPr>
        <w:t>Budget the crosshead at 5.4 m³/13.5 t: a roughly 5.0 × 1.0 × 0.9 m main shape with a wider central connection region. A 1.0 m wide cap cannot simply receive a 1.35 m column socket without that widening. Resolve the real connector/anchorage depth, bearing spacing and reinforcement. Prefer one full-height column and one cap pick where transport permits, with standardized grouted duct/sleeve or socket connections. FHWA documents these precast connection approaches and their field lessons; those details require adaptation to the selected load/seismic system. [R17, R46]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rPr>
          <w:cantSplit/>
          <w:tblHeader/>
        </w:trPr>
        <w:tc>
          <w:tcPr>
            <w:tcW w:type="dxa" w:w="2376"/>
            <w:vAlign w:val="center"/>
            <w:tcMar>
              <w:top w:w="85" w:type="dxa"/>
              <w:bottom w:w="85" w:type="dxa"/>
              <w:left w:w="90" w:type="dxa"/>
              <w:right w:w="90" w:type="dxa"/>
            </w:tcMar>
            <w:shd w:fill="F2F2F2"/>
          </w:tcPr>
          <w:p>
            <w:pPr>
              <w:keepNext/>
              <w:keepLines/>
              <w:spacing w:after="0" w:line="252" w:lineRule="auto"/>
            </w:pPr>
            <w:r>
              <w:rPr>
                <w:b/>
                <w:sz w:val="20"/>
              </w:rPr>
              <w:t>Foundation family</w:t>
            </w:r>
          </w:p>
        </w:tc>
        <w:tc>
          <w:tcPr>
            <w:tcW w:type="dxa" w:w="7416"/>
            <w:vAlign w:val="center"/>
            <w:tcMar>
              <w:top w:w="85" w:type="dxa"/>
              <w:bottom w:w="85" w:type="dxa"/>
              <w:left w:w="90" w:type="dxa"/>
              <w:right w:w="90" w:type="dxa"/>
            </w:tcMar>
            <w:shd w:fill="F2F2F2"/>
          </w:tcPr>
          <w:p>
            <w:pPr>
              <w:keepNext/>
              <w:keepLines/>
              <w:spacing w:after="0" w:line="252" w:lineRule="auto"/>
            </w:pPr>
            <w:r>
              <w:rPr>
                <w:b/>
                <w:sz w:val="20"/>
              </w:rPr>
              <w:t>Selection and assembly objective</w:t>
            </w:r>
          </w:p>
        </w:tc>
      </w:tr>
      <w:tr>
        <w:trPr>
          <w:cantSplit/>
        </w:trPr>
        <w:tc>
          <w:tcPr>
            <w:tcW w:type="dxa" w:w="2376"/>
            <w:vAlign w:val="center"/>
            <w:tcMar>
              <w:top w:w="85" w:type="dxa"/>
              <w:bottom w:w="85" w:type="dxa"/>
              <w:left w:w="90" w:type="dxa"/>
              <w:right w:w="90" w:type="dxa"/>
            </w:tcMar>
          </w:tcPr>
          <w:p>
            <w:pPr>
              <w:keepLines/>
              <w:spacing w:after="0" w:line="252" w:lineRule="auto"/>
            </w:pPr>
            <w:r>
              <w:rPr>
                <w:b w:val="0"/>
                <w:sz w:val="20"/>
              </w:rPr>
              <w:t>F1: Shallow footing</w:t>
            </w:r>
          </w:p>
        </w:tc>
        <w:tc>
          <w:tcPr>
            <w:tcW w:type="dxa" w:w="7416"/>
            <w:vAlign w:val="center"/>
            <w:tcMar>
              <w:top w:w="85" w:type="dxa"/>
              <w:bottom w:w="85" w:type="dxa"/>
              <w:left w:w="90" w:type="dxa"/>
              <w:right w:w="90" w:type="dxa"/>
            </w:tcMar>
          </w:tcPr>
          <w:p>
            <w:pPr>
              <w:keepLines/>
              <w:spacing w:after="0" w:line="252" w:lineRule="auto"/>
            </w:pPr>
            <w:r>
              <w:rPr>
                <w:b w:val="0"/>
                <w:sz w:val="20"/>
              </w:rPr>
              <w:t>Use only where bearing, settlement, groundwater, sliding and overturning permit. Compare precast pocket footing with cast-in-place footing and precast column socket. Minimize excavation and complete the joint after surveyed positioning.</w:t>
            </w:r>
          </w:p>
        </w:tc>
      </w:tr>
      <w:tr>
        <w:trPr>
          <w:cantSplit/>
        </w:trPr>
        <w:tc>
          <w:tcPr>
            <w:tcW w:type="dxa" w:w="2376"/>
            <w:vAlign w:val="center"/>
            <w:tcMar>
              <w:top w:w="85" w:type="dxa"/>
              <w:bottom w:w="85" w:type="dxa"/>
              <w:left w:w="90" w:type="dxa"/>
              <w:right w:w="90" w:type="dxa"/>
            </w:tcMar>
          </w:tcPr>
          <w:p>
            <w:pPr>
              <w:keepLines/>
              <w:spacing w:after="0" w:line="252" w:lineRule="auto"/>
            </w:pPr>
            <w:r>
              <w:rPr>
                <w:b w:val="0"/>
                <w:sz w:val="20"/>
              </w:rPr>
              <w:t>F2: Single shaft</w:t>
            </w:r>
          </w:p>
        </w:tc>
        <w:tc>
          <w:tcPr>
            <w:tcW w:type="dxa" w:w="7416"/>
            <w:vAlign w:val="center"/>
            <w:tcMar>
              <w:top w:w="85" w:type="dxa"/>
              <w:bottom w:w="85" w:type="dxa"/>
              <w:left w:w="90" w:type="dxa"/>
              <w:right w:w="90" w:type="dxa"/>
            </w:tcMar>
          </w:tcPr>
          <w:p>
            <w:pPr>
              <w:keepLines/>
              <w:spacing w:after="0" w:line="252" w:lineRule="auto"/>
            </w:pPr>
            <w:r>
              <w:rPr>
                <w:b w:val="0"/>
                <w:sz w:val="20"/>
              </w:rPr>
              <w:t>Study a bored shaft/column socket that can remove a separate pile cap where geotechnical and structural demands allow. Depth and diameter follow ground, moment and settlement analysis; no universal low-cost shaft is assumed.</w:t>
            </w:r>
          </w:p>
        </w:tc>
      </w:tr>
      <w:tr>
        <w:trPr>
          <w:cantSplit/>
        </w:trPr>
        <w:tc>
          <w:tcPr>
            <w:tcW w:type="dxa" w:w="2376"/>
            <w:vAlign w:val="center"/>
            <w:tcMar>
              <w:top w:w="85" w:type="dxa"/>
              <w:bottom w:w="85" w:type="dxa"/>
              <w:left w:w="90" w:type="dxa"/>
              <w:right w:w="90" w:type="dxa"/>
            </w:tcMar>
          </w:tcPr>
          <w:p>
            <w:pPr>
              <w:keepLines/>
              <w:spacing w:after="0" w:line="252" w:lineRule="auto"/>
            </w:pPr>
            <w:r>
              <w:rPr>
                <w:b w:val="0"/>
                <w:sz w:val="20"/>
              </w:rPr>
              <w:t>F3: Pile group and cap</w:t>
            </w:r>
          </w:p>
        </w:tc>
        <w:tc>
          <w:tcPr>
            <w:tcW w:type="dxa" w:w="7416"/>
            <w:vAlign w:val="center"/>
            <w:tcMar>
              <w:top w:w="85" w:type="dxa"/>
              <w:bottom w:w="85" w:type="dxa"/>
              <w:left w:w="90" w:type="dxa"/>
              <w:right w:w="90" w:type="dxa"/>
            </w:tcMar>
          </w:tcPr>
          <w:p>
            <w:pPr>
              <w:keepLines/>
              <w:spacing w:after="0" w:line="252" w:lineRule="auto"/>
            </w:pPr>
            <w:r>
              <w:rPr>
                <w:b w:val="0"/>
                <w:sz w:val="20"/>
              </w:rPr>
              <w:t>Retain for weak/variable ground, high moments or constrained footprints. Standardize cages, cap interfaces and connection procedures while allowing site-specific pile counts and lengths. Price and schedule this family separately.</w:t>
            </w:r>
          </w:p>
        </w:tc>
      </w:tr>
    </w:tbl>
    <w:p>
      <w:pPr>
        <w:spacing w:after="40"/>
      </w:pPr>
    </w:p>
    <w:p>
      <w:pPr/>
      <w:r>
        <w:rPr>
          <w:b w:val="0"/>
        </w:rPr>
      </w:r>
      <w:r>
        <w:rPr>
          <w:b/>
        </w:rPr>
        <w:t>Load and bearing screen.</w:t>
      </w:r>
      <w:r>
        <w:rPr>
          <w:b w:val="0"/>
        </w:rPr>
        <w:t xml:space="preserve"> With the 0.57 m² beam budget, both tracks fully loaded and 25 m tributary length, superstructure gravity is 1,602 kN. The candidate column/cap adds 292 kN, giving approximately 1,894 kN at foundation top. The old CAD placeholders plus earlier 27.4 t loaded car give about 2,851 kN. The 34% modeled reduction includes removal of unengineered placeholder mass and is not a demonstrated equal-capacity saving. Changing only the train would produce a much smaller reduction.</w:t>
      </w:r>
    </w:p>
    <w:p>
      <w:pPr/>
      <w:r>
        <w:rPr>
          <w:b w:val="0"/>
        </w:rPr>
        <w:t>For a hypothetical square footing 0.8 m thick, using concrete unit weight 25 kN/m³ and no applied moment, area = P/(q_allow − 20 kPa). The following gross bearing pressures are sensitivities, not Baghdad soil properties.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cantSplit/>
          <w:tblHeader/>
        </w:trPr>
        <w:tc>
          <w:tcPr>
            <w:tcW w:type="dxa" w:w="5328"/>
            <w:vAlign w:val="center"/>
            <w:tcMar>
              <w:top w:w="85" w:type="dxa"/>
              <w:bottom w:w="85" w:type="dxa"/>
              <w:left w:w="90" w:type="dxa"/>
              <w:right w:w="90" w:type="dxa"/>
            </w:tcMar>
            <w:shd w:fill="F2F2F2"/>
          </w:tcPr>
          <w:p>
            <w:pPr>
              <w:keepNext/>
              <w:keepLines/>
              <w:spacing w:after="0" w:line="252" w:lineRule="auto"/>
            </w:pPr>
            <w:r>
              <w:rPr>
                <w:b/>
                <w:sz w:val="20"/>
              </w:rPr>
              <w:t>Assumed gross allowable pressure</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Axial-only required area</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Axial-only square side</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100 kPa</w:t>
            </w:r>
          </w:p>
        </w:tc>
        <w:tc>
          <w:tcPr>
            <w:tcW w:type="dxa" w:w="2232"/>
            <w:vAlign w:val="center"/>
            <w:tcMar>
              <w:top w:w="85" w:type="dxa"/>
              <w:bottom w:w="85" w:type="dxa"/>
              <w:left w:w="90" w:type="dxa"/>
              <w:right w:w="90" w:type="dxa"/>
            </w:tcMar>
          </w:tcPr>
          <w:p>
            <w:pPr>
              <w:keepLines/>
              <w:spacing w:after="0" w:line="252" w:lineRule="auto"/>
            </w:pPr>
            <w:r>
              <w:rPr>
                <w:b w:val="0"/>
                <w:sz w:val="20"/>
              </w:rPr>
              <w:t>23.67 m²</w:t>
            </w:r>
          </w:p>
        </w:tc>
        <w:tc>
          <w:tcPr>
            <w:tcW w:type="dxa" w:w="2232"/>
            <w:vAlign w:val="center"/>
            <w:tcMar>
              <w:top w:w="85" w:type="dxa"/>
              <w:bottom w:w="85" w:type="dxa"/>
              <w:left w:w="90" w:type="dxa"/>
              <w:right w:w="90" w:type="dxa"/>
            </w:tcMar>
          </w:tcPr>
          <w:p>
            <w:pPr>
              <w:keepLines/>
              <w:spacing w:after="0" w:line="252" w:lineRule="auto"/>
            </w:pPr>
            <w:r>
              <w:rPr>
                <w:b w:val="0"/>
                <w:sz w:val="20"/>
              </w:rPr>
              <w:t>4.87 m</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150 kPa</w:t>
            </w:r>
          </w:p>
        </w:tc>
        <w:tc>
          <w:tcPr>
            <w:tcW w:type="dxa" w:w="2232"/>
            <w:vAlign w:val="center"/>
            <w:tcMar>
              <w:top w:w="85" w:type="dxa"/>
              <w:bottom w:w="85" w:type="dxa"/>
              <w:left w:w="90" w:type="dxa"/>
              <w:right w:w="90" w:type="dxa"/>
            </w:tcMar>
          </w:tcPr>
          <w:p>
            <w:pPr>
              <w:keepLines/>
              <w:spacing w:after="0" w:line="252" w:lineRule="auto"/>
            </w:pPr>
            <w:r>
              <w:rPr>
                <w:b w:val="0"/>
                <w:sz w:val="20"/>
              </w:rPr>
              <w:t>14.57 m²</w:t>
            </w:r>
          </w:p>
        </w:tc>
        <w:tc>
          <w:tcPr>
            <w:tcW w:type="dxa" w:w="2232"/>
            <w:vAlign w:val="center"/>
            <w:tcMar>
              <w:top w:w="85" w:type="dxa"/>
              <w:bottom w:w="85" w:type="dxa"/>
              <w:left w:w="90" w:type="dxa"/>
              <w:right w:w="90" w:type="dxa"/>
            </w:tcMar>
          </w:tcPr>
          <w:p>
            <w:pPr>
              <w:keepLines/>
              <w:spacing w:after="0" w:line="252" w:lineRule="auto"/>
            </w:pPr>
            <w:r>
              <w:rPr>
                <w:b w:val="0"/>
                <w:sz w:val="20"/>
              </w:rPr>
              <w:t>3.82 m</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200 kPa</w:t>
            </w:r>
          </w:p>
        </w:tc>
        <w:tc>
          <w:tcPr>
            <w:tcW w:type="dxa" w:w="2232"/>
            <w:vAlign w:val="center"/>
            <w:tcMar>
              <w:top w:w="85" w:type="dxa"/>
              <w:bottom w:w="85" w:type="dxa"/>
              <w:left w:w="90" w:type="dxa"/>
              <w:right w:w="90" w:type="dxa"/>
            </w:tcMar>
          </w:tcPr>
          <w:p>
            <w:pPr>
              <w:keepLines/>
              <w:spacing w:after="0" w:line="252" w:lineRule="auto"/>
            </w:pPr>
            <w:r>
              <w:rPr>
                <w:b w:val="0"/>
                <w:sz w:val="20"/>
              </w:rPr>
              <w:t>10.52 m²</w:t>
            </w:r>
          </w:p>
        </w:tc>
        <w:tc>
          <w:tcPr>
            <w:tcW w:type="dxa" w:w="2232"/>
            <w:vAlign w:val="center"/>
            <w:tcMar>
              <w:top w:w="85" w:type="dxa"/>
              <w:bottom w:w="85" w:type="dxa"/>
              <w:left w:w="90" w:type="dxa"/>
              <w:right w:w="90" w:type="dxa"/>
            </w:tcMar>
          </w:tcPr>
          <w:p>
            <w:pPr>
              <w:keepLines/>
              <w:spacing w:after="0" w:line="252" w:lineRule="auto"/>
            </w:pPr>
            <w:r>
              <w:rPr>
                <w:b w:val="0"/>
                <w:sz w:val="20"/>
              </w:rPr>
              <w:t>3.24 m</w:t>
            </w:r>
          </w:p>
        </w:tc>
      </w:tr>
    </w:tbl>
    <w:p>
      <w:pPr>
        <w:spacing w:after="40"/>
      </w:pPr>
    </w:p>
    <w:p>
      <w:pPr/>
      <w:r>
        <w:rPr>
          <w:b w:val="0"/>
        </w:rPr>
        <w:t>Moments can govern the footprint. At an illustrative 500 kNm uniaxial base moment, q_max = P/B² + 20 + 6M/B³ gives 167.85 kPa for B = 4.2 m and 146.44 kPa for B = 4.5 m. Thus a 4.5 × 4.5 × 0.8 m footing is a useful 16.2 m³ study case under the assumed 150 kPa criterion, while the smaller 4.2 m square fails that pressure screen. Punching/shear, socket embedment, biaxial moments, uplift, sliding, soil/footing interaction and settlement can increase the dimensions. The candidate can reduce concrete without shrinking every footprint. Count groundwater control and utility conflicts in its assembly cycle.</w:t>
      </w:r>
    </w:p>
    <w:p>
      <w:pPr/>
      <w:r>
        <w:rPr>
          <w:b w:val="0"/>
        </w:rPr>
      </w:r>
      <w:r>
        <w:rPr>
          <w:b/>
        </w:rPr>
        <w:t>Ordinary-support procurement budget.</w:t>
      </w:r>
      <w:r>
        <w:rPr>
          <w:b w:val="0"/>
        </w:rPr>
        <w:t xml:space="preserve"> Investigate USD 22,000 per installed package: foundation/excavation/backfill USD 10,500; column USD 3,500; cap USD 2,800; connections/bearings/grout USD 1,800; column/cap delivery and erection USD 2,500; local inspection/handover USD 900. This is a favorable ordinary-site design-to-cost allocation, not a supplier price or universal foundation allowance. The separate route QA line funds system survey and acceptance, avoiding duplicate charges. Keep USD 28,000 and 35,000 average-support cases and actual exceptional packages in the model. Local materials, manufacturing tolerances, rebar/strand quantities and foundation-family mix determine whether the target is achieved.</w:t>
      </w:r>
    </w:p>
    <w:p>
      <w:pPr>
        <w:pStyle w:val="Heading1"/>
        <w:pageBreakBefore w:val="0"/>
      </w:pPr>
      <w:r>
        <w:t>Civil production and assembly programme</w:t>
      </w:r>
    </w:p>
    <w:p>
      <w:pPr/>
      <w:r>
        <w:rPr>
          <w:b w:val="0"/>
        </w:rPr>
      </w:r>
      <w:r>
        <w:rPr>
          <w:b/>
        </w:rPr>
        <w:t>Build in parallel and release in sequence.</w:t>
      </w:r>
      <w:r>
        <w:rPr>
          <w:b w:val="0"/>
        </w:rPr>
        <w:t xml:space="preserve"> Start foundations and utilities while the factory manufactures beams, columns and caps. Follow with surveyed/strength-released support assembly, beam deliveries and picks, then independent rail/joint completion. Precast manufacture transfers repeated formwork, reinforcement, casting and curing away from the traffic work zone and allows those activities to overlap. FHWA supports this method; the numerical OSR rates below are project targets. [R18, R47]</w:t>
      </w:r>
    </w:p>
    <w:p>
      <w:pPr/>
      <w:r>
        <w:rPr>
          <w:b w:val="0"/>
        </w:rPr>
        <w:t>A planned working day means a scheduled day in a six-day work week. An available erection window contains two eight-hour shifts. Six placements within that window include normal rigging, moves, temporary securing and shift handover. A separate 75% availability factor represents lost/partial windows and interruptions; do not also count it as a second labour-efficiency discount.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472"/>
        <w:gridCol w:w="2592"/>
      </w:tblGrid>
      <w:tr>
        <w:trPr>
          <w:cantSplit/>
          <w:tblHeader/>
        </w:trPr>
        <w:tc>
          <w:tcPr>
            <w:tcW w:type="dxa" w:w="1728"/>
            <w:vAlign w:val="center"/>
            <w:tcMar>
              <w:top w:w="85" w:type="dxa"/>
              <w:bottom w:w="85" w:type="dxa"/>
              <w:left w:w="90" w:type="dxa"/>
              <w:right w:w="90" w:type="dxa"/>
            </w:tcMar>
            <w:shd w:fill="F2F2F2"/>
          </w:tcPr>
          <w:p>
            <w:pPr>
              <w:keepNext/>
              <w:keepLines/>
              <w:spacing w:after="0" w:line="252" w:lineRule="auto"/>
            </w:pPr>
            <w:r>
              <w:rPr>
                <w:b/>
                <w:sz w:val="20"/>
              </w:rPr>
              <w:t>Workstream</w:t>
            </w:r>
          </w:p>
        </w:tc>
        <w:tc>
          <w:tcPr>
            <w:tcW w:type="dxa" w:w="5472"/>
            <w:vAlign w:val="center"/>
            <w:tcMar>
              <w:top w:w="85" w:type="dxa"/>
              <w:bottom w:w="85" w:type="dxa"/>
              <w:left w:w="90" w:type="dxa"/>
              <w:right w:w="90" w:type="dxa"/>
            </w:tcMar>
            <w:shd w:fill="F2F2F2"/>
          </w:tcPr>
          <w:p>
            <w:pPr>
              <w:keepNext/>
              <w:keepLines/>
              <w:spacing w:after="0" w:line="252" w:lineRule="auto"/>
            </w:pPr>
            <w:r>
              <w:rPr>
                <w:b/>
                <w:sz w:val="20"/>
              </w:rPr>
              <w:t>Provision for one front</w:t>
            </w:r>
          </w:p>
        </w:tc>
        <w:tc>
          <w:tcPr>
            <w:tcW w:type="dxa" w:w="2592"/>
            <w:vAlign w:val="center"/>
            <w:tcMar>
              <w:top w:w="85" w:type="dxa"/>
              <w:bottom w:w="85" w:type="dxa"/>
              <w:left w:w="90" w:type="dxa"/>
              <w:right w:w="90" w:type="dxa"/>
            </w:tcMar>
            <w:shd w:fill="F2F2F2"/>
          </w:tcPr>
          <w:p>
            <w:pPr>
              <w:keepNext/>
              <w:keepLines/>
              <w:spacing w:after="0" w:line="252" w:lineRule="auto"/>
            </w:pPr>
            <w:r>
              <w:rPr>
                <w:b/>
                <w:sz w:val="20"/>
              </w:rPr>
              <w:t>Average accepted output per planned workday</w:t>
            </w:r>
          </w:p>
        </w:tc>
      </w:tr>
      <w:tr>
        <w:trPr>
          <w:cantSplit/>
        </w:trPr>
        <w:tc>
          <w:tcPr>
            <w:tcW w:type="dxa" w:w="1728"/>
            <w:vAlign w:val="center"/>
            <w:tcMar>
              <w:top w:w="85" w:type="dxa"/>
              <w:bottom w:w="85" w:type="dxa"/>
              <w:left w:w="90" w:type="dxa"/>
              <w:right w:w="90" w:type="dxa"/>
            </w:tcMar>
          </w:tcPr>
          <w:p>
            <w:pPr>
              <w:keepLines/>
              <w:spacing w:after="0" w:line="252" w:lineRule="auto"/>
            </w:pPr>
            <w:r>
              <w:rPr>
                <w:b w:val="0"/>
                <w:sz w:val="20"/>
              </w:rPr>
              <w:t>Foundations</w:t>
            </w:r>
          </w:p>
        </w:tc>
        <w:tc>
          <w:tcPr>
            <w:tcW w:type="dxa" w:w="5472"/>
            <w:vAlign w:val="center"/>
            <w:tcMar>
              <w:top w:w="85" w:type="dxa"/>
              <w:bottom w:w="85" w:type="dxa"/>
              <w:left w:w="90" w:type="dxa"/>
              <w:right w:w="90" w:type="dxa"/>
            </w:tcMar>
          </w:tcPr>
          <w:p>
            <w:pPr>
              <w:keepLines/>
              <w:spacing w:after="0" w:line="252" w:lineRule="auto"/>
            </w:pPr>
            <w:r>
              <w:rPr>
                <w:b w:val="0"/>
                <w:sz w:val="20"/>
              </w:rPr>
              <w:t>Eight crews; one ordinary support per two productive crew-days; 75% availability</w:t>
            </w:r>
          </w:p>
        </w:tc>
        <w:tc>
          <w:tcPr>
            <w:tcW w:type="dxa" w:w="2592"/>
            <w:vAlign w:val="center"/>
            <w:tcMar>
              <w:top w:w="85" w:type="dxa"/>
              <w:bottom w:w="85" w:type="dxa"/>
              <w:left w:w="90" w:type="dxa"/>
              <w:right w:w="90" w:type="dxa"/>
            </w:tcMar>
          </w:tcPr>
          <w:p>
            <w:pPr>
              <w:keepLines/>
              <w:spacing w:after="0" w:line="252" w:lineRule="auto"/>
            </w:pPr>
            <w:r>
              <w:rPr>
                <w:b w:val="0"/>
                <w:sz w:val="20"/>
              </w:rPr>
              <w:t>3 supports</w:t>
            </w:r>
          </w:p>
        </w:tc>
      </w:tr>
      <w:tr>
        <w:trPr>
          <w:cantSplit/>
        </w:trPr>
        <w:tc>
          <w:tcPr>
            <w:tcW w:type="dxa" w:w="1728"/>
            <w:vAlign w:val="center"/>
            <w:tcMar>
              <w:top w:w="85" w:type="dxa"/>
              <w:bottom w:w="85" w:type="dxa"/>
              <w:left w:w="90" w:type="dxa"/>
              <w:right w:w="90" w:type="dxa"/>
            </w:tcMar>
          </w:tcPr>
          <w:p>
            <w:pPr>
              <w:keepLines/>
              <w:spacing w:after="0" w:line="252" w:lineRule="auto"/>
            </w:pPr>
            <w:r>
              <w:rPr>
                <w:b w:val="0"/>
                <w:sz w:val="20"/>
              </w:rPr>
              <w:t>Beam manufacture</w:t>
            </w:r>
          </w:p>
        </w:tc>
        <w:tc>
          <w:tcPr>
            <w:tcW w:type="dxa" w:w="5472"/>
            <w:vAlign w:val="center"/>
            <w:tcMar>
              <w:top w:w="85" w:type="dxa"/>
              <w:bottom w:w="85" w:type="dxa"/>
              <w:left w:w="90" w:type="dxa"/>
              <w:right w:w="90" w:type="dxa"/>
            </w:tcMar>
          </w:tcPr>
          <w:p>
            <w:pPr>
              <w:keepLines/>
              <w:spacing w:after="0" w:line="252" w:lineRule="auto"/>
            </w:pPr>
            <w:r>
              <w:rPr>
                <w:b w:val="0"/>
                <w:sz w:val="20"/>
              </w:rPr>
              <w:t>Sixteen mould positions; qualified 48-hour cycle; 75% utilization/yield</w:t>
            </w:r>
          </w:p>
        </w:tc>
        <w:tc>
          <w:tcPr>
            <w:tcW w:type="dxa" w:w="2592"/>
            <w:vAlign w:val="center"/>
            <w:tcMar>
              <w:top w:w="85" w:type="dxa"/>
              <w:bottom w:w="85" w:type="dxa"/>
              <w:left w:w="90" w:type="dxa"/>
              <w:right w:w="90" w:type="dxa"/>
            </w:tcMar>
          </w:tcPr>
          <w:p>
            <w:pPr>
              <w:keepLines/>
              <w:spacing w:after="0" w:line="252" w:lineRule="auto"/>
            </w:pPr>
            <w:r>
              <w:rPr>
                <w:b w:val="0"/>
                <w:sz w:val="20"/>
              </w:rPr>
              <w:t>6 beams</w:t>
            </w:r>
          </w:p>
        </w:tc>
      </w:tr>
      <w:tr>
        <w:trPr>
          <w:cantSplit/>
        </w:trPr>
        <w:tc>
          <w:tcPr>
            <w:tcW w:type="dxa" w:w="1728"/>
            <w:vAlign w:val="center"/>
            <w:tcMar>
              <w:top w:w="85" w:type="dxa"/>
              <w:bottom w:w="85" w:type="dxa"/>
              <w:left w:w="90" w:type="dxa"/>
              <w:right w:w="90" w:type="dxa"/>
            </w:tcMar>
          </w:tcPr>
          <w:p>
            <w:pPr>
              <w:keepLines/>
              <w:spacing w:after="0" w:line="252" w:lineRule="auto"/>
            </w:pPr>
            <w:r>
              <w:rPr>
                <w:b w:val="0"/>
                <w:sz w:val="20"/>
              </w:rPr>
              <w:t>Pier/cap assembly</w:t>
            </w:r>
          </w:p>
        </w:tc>
        <w:tc>
          <w:tcPr>
            <w:tcW w:type="dxa" w:w="5472"/>
            <w:vAlign w:val="center"/>
            <w:tcMar>
              <w:top w:w="85" w:type="dxa"/>
              <w:bottom w:w="85" w:type="dxa"/>
              <w:left w:w="90" w:type="dxa"/>
              <w:right w:w="90" w:type="dxa"/>
            </w:tcMar>
          </w:tcPr>
          <w:p>
            <w:pPr>
              <w:keepLines/>
              <w:spacing w:after="0" w:line="252" w:lineRule="auto"/>
            </w:pPr>
            <w:r>
              <w:rPr>
                <w:b w:val="0"/>
                <w:sz w:val="20"/>
              </w:rPr>
              <w:t>Separate support crane and crews; four assemblies per available day</w:t>
            </w:r>
          </w:p>
        </w:tc>
        <w:tc>
          <w:tcPr>
            <w:tcW w:type="dxa" w:w="2592"/>
            <w:vAlign w:val="center"/>
            <w:tcMar>
              <w:top w:w="85" w:type="dxa"/>
              <w:bottom w:w="85" w:type="dxa"/>
              <w:left w:w="90" w:type="dxa"/>
              <w:right w:w="90" w:type="dxa"/>
            </w:tcMar>
          </w:tcPr>
          <w:p>
            <w:pPr>
              <w:keepLines/>
              <w:spacing w:after="0" w:line="252" w:lineRule="auto"/>
            </w:pPr>
            <w:r>
              <w:rPr>
                <w:b w:val="0"/>
                <w:sz w:val="20"/>
              </w:rPr>
              <w:t>3 supports</w:t>
            </w:r>
          </w:p>
        </w:tc>
      </w:tr>
      <w:tr>
        <w:trPr>
          <w:cantSplit/>
        </w:trPr>
        <w:tc>
          <w:tcPr>
            <w:tcW w:type="dxa" w:w="1728"/>
            <w:vAlign w:val="center"/>
            <w:tcMar>
              <w:top w:w="85" w:type="dxa"/>
              <w:bottom w:w="85" w:type="dxa"/>
              <w:left w:w="90" w:type="dxa"/>
              <w:right w:w="90" w:type="dxa"/>
            </w:tcMar>
          </w:tcPr>
          <w:p>
            <w:pPr>
              <w:keepLines/>
              <w:spacing w:after="0" w:line="252" w:lineRule="auto"/>
            </w:pPr>
            <w:r>
              <w:rPr>
                <w:b w:val="0"/>
                <w:sz w:val="20"/>
              </w:rPr>
              <w:t>Beam delivery</w:t>
            </w:r>
          </w:p>
        </w:tc>
        <w:tc>
          <w:tcPr>
            <w:tcW w:type="dxa" w:w="5472"/>
            <w:vAlign w:val="center"/>
            <w:tcMar>
              <w:top w:w="85" w:type="dxa"/>
              <w:bottom w:w="85" w:type="dxa"/>
              <w:left w:w="90" w:type="dxa"/>
              <w:right w:w="90" w:type="dxa"/>
            </w:tcMar>
          </w:tcPr>
          <w:p>
            <w:pPr>
              <w:keepLines/>
              <w:spacing w:after="0" w:line="252" w:lineRule="auto"/>
            </w:pPr>
            <w:r>
              <w:rPr>
                <w:b w:val="0"/>
                <w:sz w:val="20"/>
              </w:rPr>
              <w:t>Fleet sized by surveyed route and real round-trip time</w:t>
            </w:r>
          </w:p>
        </w:tc>
        <w:tc>
          <w:tcPr>
            <w:tcW w:type="dxa" w:w="2592"/>
            <w:vAlign w:val="center"/>
            <w:tcMar>
              <w:top w:w="85" w:type="dxa"/>
              <w:bottom w:w="85" w:type="dxa"/>
              <w:left w:w="90" w:type="dxa"/>
              <w:right w:w="90" w:type="dxa"/>
            </w:tcMar>
          </w:tcPr>
          <w:p>
            <w:pPr>
              <w:keepLines/>
              <w:spacing w:after="0" w:line="252" w:lineRule="auto"/>
            </w:pPr>
            <w:r>
              <w:rPr>
                <w:b w:val="0"/>
                <w:sz w:val="20"/>
              </w:rPr>
              <w:t>At least 6 beams</w:t>
            </w:r>
          </w:p>
        </w:tc>
      </w:tr>
      <w:tr>
        <w:trPr>
          <w:cantSplit/>
        </w:trPr>
        <w:tc>
          <w:tcPr>
            <w:tcW w:type="dxa" w:w="1728"/>
            <w:vAlign w:val="center"/>
            <w:tcMar>
              <w:top w:w="85" w:type="dxa"/>
              <w:bottom w:w="85" w:type="dxa"/>
              <w:left w:w="90" w:type="dxa"/>
              <w:right w:w="90" w:type="dxa"/>
            </w:tcMar>
          </w:tcPr>
          <w:p>
            <w:pPr>
              <w:keepLines/>
              <w:spacing w:after="0" w:line="252" w:lineRule="auto"/>
            </w:pPr>
            <w:r>
              <w:rPr>
                <w:b w:val="0"/>
                <w:sz w:val="20"/>
              </w:rPr>
              <w:t>Beam erection</w:t>
            </w:r>
          </w:p>
        </w:tc>
        <w:tc>
          <w:tcPr>
            <w:tcW w:type="dxa" w:w="5472"/>
            <w:vAlign w:val="center"/>
            <w:tcMar>
              <w:top w:w="85" w:type="dxa"/>
              <w:bottom w:w="85" w:type="dxa"/>
              <w:left w:w="90" w:type="dxa"/>
              <w:right w:w="90" w:type="dxa"/>
            </w:tcMar>
          </w:tcPr>
          <w:p>
            <w:pPr>
              <w:keepLines/>
              <w:spacing w:after="0" w:line="252" w:lineRule="auto"/>
            </w:pPr>
            <w:r>
              <w:rPr>
                <w:b w:val="0"/>
                <w:sz w:val="20"/>
              </w:rPr>
              <w:t>Main crane; two shifts; six beams per available window</w:t>
            </w:r>
          </w:p>
        </w:tc>
        <w:tc>
          <w:tcPr>
            <w:tcW w:type="dxa" w:w="2592"/>
            <w:vAlign w:val="center"/>
            <w:tcMar>
              <w:top w:w="85" w:type="dxa"/>
              <w:bottom w:w="85" w:type="dxa"/>
              <w:left w:w="90" w:type="dxa"/>
              <w:right w:w="90" w:type="dxa"/>
            </w:tcMar>
          </w:tcPr>
          <w:p>
            <w:pPr>
              <w:keepLines/>
              <w:spacing w:after="0" w:line="252" w:lineRule="auto"/>
            </w:pPr>
            <w:r>
              <w:rPr>
                <w:b w:val="0"/>
                <w:sz w:val="20"/>
              </w:rPr>
              <w:t>4.5 beams</w:t>
            </w:r>
          </w:p>
        </w:tc>
      </w:tr>
      <w:tr>
        <w:trPr>
          <w:cantSplit/>
        </w:trPr>
        <w:tc>
          <w:tcPr>
            <w:tcW w:type="dxa" w:w="1728"/>
            <w:vAlign w:val="center"/>
            <w:tcMar>
              <w:top w:w="85" w:type="dxa"/>
              <w:bottom w:w="85" w:type="dxa"/>
              <w:left w:w="90" w:type="dxa"/>
              <w:right w:w="90" w:type="dxa"/>
            </w:tcMar>
          </w:tcPr>
          <w:p>
            <w:pPr>
              <w:keepLines/>
              <w:spacing w:after="0" w:line="252" w:lineRule="auto"/>
            </w:pPr>
            <w:r>
              <w:rPr>
                <w:b w:val="0"/>
                <w:sz w:val="20"/>
              </w:rPr>
              <w:t>Rail/joint completion and survey</w:t>
            </w:r>
          </w:p>
        </w:tc>
        <w:tc>
          <w:tcPr>
            <w:tcW w:type="dxa" w:w="5472"/>
            <w:vAlign w:val="center"/>
            <w:tcMar>
              <w:top w:w="85" w:type="dxa"/>
              <w:bottom w:w="85" w:type="dxa"/>
              <w:left w:w="90" w:type="dxa"/>
              <w:right w:w="90" w:type="dxa"/>
            </w:tcMar>
          </w:tcPr>
          <w:p>
            <w:pPr>
              <w:keepLines/>
              <w:spacing w:after="0" w:line="252" w:lineRule="auto"/>
            </w:pPr>
            <w:r>
              <w:rPr>
                <w:b w:val="0"/>
                <w:sz w:val="20"/>
              </w:rPr>
              <w:t>Separate completion crew; 100 route-m per available day</w:t>
            </w:r>
          </w:p>
        </w:tc>
        <w:tc>
          <w:tcPr>
            <w:tcW w:type="dxa" w:w="2592"/>
            <w:vAlign w:val="center"/>
            <w:tcMar>
              <w:top w:w="85" w:type="dxa"/>
              <w:bottom w:w="85" w:type="dxa"/>
              <w:left w:w="90" w:type="dxa"/>
              <w:right w:w="90" w:type="dxa"/>
            </w:tcMar>
          </w:tcPr>
          <w:p>
            <w:pPr>
              <w:keepLines/>
              <w:spacing w:after="0" w:line="252" w:lineRule="auto"/>
            </w:pPr>
            <w:r>
              <w:rPr>
                <w:b w:val="0"/>
                <w:sz w:val="20"/>
              </w:rPr>
              <w:t>75 route-m</w:t>
            </w:r>
          </w:p>
        </w:tc>
      </w:tr>
    </w:tbl>
    <w:p>
      <w:pPr>
        <w:spacing w:after="40"/>
      </w:pPr>
    </w:p>
    <w:p>
      <w:pPr/>
      <w:r>
        <w:rPr>
          <w:b w:val="0"/>
        </w:rPr>
        <w:t>At two beams per 25 m bay, the limiting 4.5-beam output is 56.25 route-m/day, consuming 2.25 bay/support equivalents. Factory, foundation and completion capacity retain approximately 33% margin above that demand. Buffer 24 accepted beams, equivalent to four available erection windows or 5.33 average planned workdays. Maintain cured, surveyed foundations and completed piers ahead of the beam crane. Limit open excavations by rolling work zones; utilities and ground evidence must be ready before opening each zone. Buffers include required strength and inspection delays rather than treating them as zero.</w:t>
      </w:r>
    </w:p>
    <w:p>
      <w:pPr/>
      <w:r>
        <w:rPr>
          <w:b w:val="0"/>
        </w:rPr>
      </w:r>
      <w:r>
        <w:rPr>
          <w:b/>
        </w:rPr>
        <w:t>Factory requirements.</w:t>
      </w:r>
      <w:r>
        <w:rPr>
          <w:b w:val="0"/>
        </w:rPr>
        <w:t xml:space="preserve"> Standardize one ordinary beam campaign, reusable moulds, cages, strand layouts, connection gauges, survey datums and protective transport fixtures. Prefer locally procurable prestressed concrete over a costly material substitution unless complete installed economics support it. Measure demould/transfer strength, camber and time-dependent geometry. If the qualified bed turnaround is 72 instead of 48 hours, increase to 24 mould positions for the same nominal output. Yard stock must include curing/inspection space as well as the accepted finished buffer. Tooling, plant capital and prototype learning are separately amortized over actual orders.</w:t>
      </w:r>
    </w:p>
    <w:p>
      <w:pPr/>
      <w:r>
        <w:rPr>
          <w:b w:val="0"/>
        </w:rPr>
      </w:r>
      <w:r>
        <w:rPr>
          <w:b/>
        </w:rPr>
        <w:t>Connections and crane utilization.</w:t>
      </w:r>
      <w:r>
        <w:rPr>
          <w:b w:val="0"/>
        </w:rPr>
        <w:t xml:space="preserve"> Prepare foundation sockets, column/cap fit-up and bearing seats before the beam pick. Use documented connectors and bracing, then verify grout/closure strength before loading. FHWA's connection guidance lists one-day-or-less assembly estimates for some grouted duct/coupler pier connections; this does not include constructing a whole new foundation or guarantee every connection can be loaded that day. Keep the main beam crane supplied with accepted members and a prepared next position. Count crane setup, mats, relocation, traffic possession, lifting frames, rail alignment and rework. [R17]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872"/>
        <w:gridCol w:w="1872"/>
        <w:gridCol w:w="1872"/>
      </w:tblGrid>
      <w:tr>
        <w:trPr>
          <w:cantSplit/>
          <w:tblHeader/>
        </w:trPr>
        <w:tc>
          <w:tcPr>
            <w:tcW w:type="dxa" w:w="4176"/>
            <w:vAlign w:val="center"/>
            <w:tcMar>
              <w:top w:w="85" w:type="dxa"/>
              <w:bottom w:w="85" w:type="dxa"/>
              <w:left w:w="90" w:type="dxa"/>
              <w:right w:w="90" w:type="dxa"/>
            </w:tcMar>
            <w:shd w:fill="F2F2F2"/>
          </w:tcPr>
          <w:p>
            <w:pPr>
              <w:keepNext/>
              <w:keepLines/>
              <w:spacing w:after="0" w:line="252" w:lineRule="auto"/>
            </w:pPr>
            <w:r>
              <w:rPr>
                <w:b/>
                <w:sz w:val="20"/>
              </w:rPr>
              <w:t>Construction measure</w:t>
            </w:r>
          </w:p>
        </w:tc>
        <w:tc>
          <w:tcPr>
            <w:tcW w:type="dxa" w:w="1872"/>
            <w:vAlign w:val="center"/>
            <w:tcMar>
              <w:top w:w="85" w:type="dxa"/>
              <w:bottom w:w="85" w:type="dxa"/>
              <w:left w:w="90" w:type="dxa"/>
              <w:right w:w="90" w:type="dxa"/>
            </w:tcMar>
            <w:shd w:fill="F2F2F2"/>
          </w:tcPr>
          <w:p>
            <w:pPr>
              <w:keepNext/>
              <w:keepLines/>
              <w:spacing w:after="0" w:line="252" w:lineRule="auto"/>
            </w:pPr>
            <w:r>
              <w:rPr>
                <w:b/>
                <w:sz w:val="20"/>
              </w:rPr>
              <w:t>Illustrative one-shift comparator</w:t>
            </w:r>
          </w:p>
        </w:tc>
        <w:tc>
          <w:tcPr>
            <w:tcW w:type="dxa" w:w="1872"/>
            <w:vAlign w:val="center"/>
            <w:tcMar>
              <w:top w:w="85" w:type="dxa"/>
              <w:bottom w:w="85" w:type="dxa"/>
              <w:left w:w="90" w:type="dxa"/>
              <w:right w:w="90" w:type="dxa"/>
            </w:tcMar>
            <w:shd w:fill="F2F2F2"/>
          </w:tcPr>
          <w:p>
            <w:pPr>
              <w:keepNext/>
              <w:keepLines/>
              <w:spacing w:after="0" w:line="252" w:lineRule="auto"/>
            </w:pPr>
            <w:r>
              <w:rPr>
                <w:b/>
                <w:sz w:val="20"/>
              </w:rPr>
              <w:t>Central two-shift target</w:t>
            </w:r>
          </w:p>
        </w:tc>
        <w:tc>
          <w:tcPr>
            <w:tcW w:type="dxa" w:w="1872"/>
            <w:vAlign w:val="center"/>
            <w:tcMar>
              <w:top w:w="85" w:type="dxa"/>
              <w:bottom w:w="85" w:type="dxa"/>
              <w:left w:w="90" w:type="dxa"/>
              <w:right w:w="90" w:type="dxa"/>
            </w:tcMar>
            <w:shd w:fill="F2F2F2"/>
          </w:tcPr>
          <w:p>
            <w:pPr>
              <w:keepNext/>
              <w:keepLines/>
              <w:spacing w:after="0" w:line="252" w:lineRule="auto"/>
            </w:pPr>
            <w:r>
              <w:rPr>
                <w:b/>
                <w:sz w:val="20"/>
              </w:rPr>
              <w:t>Stretch target</w:t>
            </w:r>
          </w:p>
        </w:tc>
      </w:tr>
      <w:tr>
        <w:trPr>
          <w:cantSplit/>
        </w:trPr>
        <w:tc>
          <w:tcPr>
            <w:tcW w:type="dxa" w:w="4176"/>
            <w:vAlign w:val="center"/>
            <w:tcMar>
              <w:top w:w="85" w:type="dxa"/>
              <w:bottom w:w="85" w:type="dxa"/>
              <w:left w:w="90" w:type="dxa"/>
              <w:right w:w="90" w:type="dxa"/>
            </w:tcMar>
          </w:tcPr>
          <w:p>
            <w:pPr>
              <w:keepLines/>
              <w:spacing w:after="0" w:line="252" w:lineRule="auto"/>
            </w:pPr>
            <w:r>
              <w:rPr>
                <w:b w:val="0"/>
                <w:sz w:val="20"/>
              </w:rPr>
              <w:t>Beam placements per available window</w:t>
            </w:r>
          </w:p>
        </w:tc>
        <w:tc>
          <w:tcPr>
            <w:tcW w:type="dxa" w:w="1872"/>
            <w:vAlign w:val="center"/>
            <w:tcMar>
              <w:top w:w="85" w:type="dxa"/>
              <w:bottom w:w="85" w:type="dxa"/>
              <w:left w:w="90" w:type="dxa"/>
              <w:right w:w="90" w:type="dxa"/>
            </w:tcMar>
          </w:tcPr>
          <w:p>
            <w:pPr>
              <w:keepLines/>
              <w:spacing w:after="0" w:line="252" w:lineRule="auto"/>
            </w:pPr>
            <w:r>
              <w:rPr>
                <w:b w:val="0"/>
                <w:sz w:val="20"/>
              </w:rPr>
              <w:t>2</w:t>
            </w:r>
          </w:p>
        </w:tc>
        <w:tc>
          <w:tcPr>
            <w:tcW w:type="dxa" w:w="1872"/>
            <w:vAlign w:val="center"/>
            <w:tcMar>
              <w:top w:w="85" w:type="dxa"/>
              <w:bottom w:w="85" w:type="dxa"/>
              <w:left w:w="90" w:type="dxa"/>
              <w:right w:w="90" w:type="dxa"/>
            </w:tcMar>
          </w:tcPr>
          <w:p>
            <w:pPr>
              <w:keepLines/>
              <w:spacing w:after="0" w:line="252" w:lineRule="auto"/>
            </w:pPr>
            <w:r>
              <w:rPr>
                <w:b w:val="0"/>
                <w:sz w:val="20"/>
              </w:rPr>
              <w:t>6</w:t>
            </w:r>
          </w:p>
        </w:tc>
        <w:tc>
          <w:tcPr>
            <w:tcW w:type="dxa" w:w="1872"/>
            <w:vAlign w:val="center"/>
            <w:tcMar>
              <w:top w:w="85" w:type="dxa"/>
              <w:bottom w:w="85" w:type="dxa"/>
              <w:left w:w="90" w:type="dxa"/>
              <w:right w:w="90" w:type="dxa"/>
            </w:tcMar>
          </w:tcPr>
          <w:p>
            <w:pPr>
              <w:keepLines/>
              <w:spacing w:after="0" w:line="252" w:lineRule="auto"/>
            </w:pPr>
            <w:r>
              <w:rPr>
                <w:b w:val="0"/>
                <w:sz w:val="20"/>
              </w:rPr>
              <w:t>8</w:t>
            </w:r>
          </w:p>
        </w:tc>
      </w:tr>
      <w:tr>
        <w:trPr>
          <w:cantSplit/>
        </w:trPr>
        <w:tc>
          <w:tcPr>
            <w:tcW w:type="dxa" w:w="4176"/>
            <w:vAlign w:val="center"/>
            <w:tcMar>
              <w:top w:w="85" w:type="dxa"/>
              <w:bottom w:w="85" w:type="dxa"/>
              <w:left w:w="90" w:type="dxa"/>
              <w:right w:w="90" w:type="dxa"/>
            </w:tcMar>
          </w:tcPr>
          <w:p>
            <w:pPr>
              <w:keepLines/>
              <w:spacing w:after="0" w:line="252" w:lineRule="auto"/>
            </w:pPr>
            <w:r>
              <w:rPr>
                <w:b w:val="0"/>
                <w:sz w:val="20"/>
              </w:rPr>
              <w:t>Planned shifts / day</w:t>
            </w:r>
          </w:p>
        </w:tc>
        <w:tc>
          <w:tcPr>
            <w:tcW w:type="dxa" w:w="1872"/>
            <w:vAlign w:val="center"/>
            <w:tcMar>
              <w:top w:w="85" w:type="dxa"/>
              <w:bottom w:w="85" w:type="dxa"/>
              <w:left w:w="90" w:type="dxa"/>
              <w:right w:w="90" w:type="dxa"/>
            </w:tcMar>
          </w:tcPr>
          <w:p>
            <w:pPr>
              <w:keepLines/>
              <w:spacing w:after="0" w:line="252" w:lineRule="auto"/>
            </w:pPr>
            <w:r>
              <w:rPr>
                <w:b w:val="0"/>
                <w:sz w:val="20"/>
              </w:rPr>
              <w:t>1</w:t>
            </w:r>
          </w:p>
        </w:tc>
        <w:tc>
          <w:tcPr>
            <w:tcW w:type="dxa" w:w="1872"/>
            <w:vAlign w:val="center"/>
            <w:tcMar>
              <w:top w:w="85" w:type="dxa"/>
              <w:bottom w:w="85" w:type="dxa"/>
              <w:left w:w="90" w:type="dxa"/>
              <w:right w:w="90" w:type="dxa"/>
            </w:tcMar>
          </w:tcPr>
          <w:p>
            <w:pPr>
              <w:keepLines/>
              <w:spacing w:after="0" w:line="252" w:lineRule="auto"/>
            </w:pPr>
            <w:r>
              <w:rPr>
                <w:b w:val="0"/>
                <w:sz w:val="20"/>
              </w:rPr>
              <w:t>2</w:t>
            </w:r>
          </w:p>
        </w:tc>
        <w:tc>
          <w:tcPr>
            <w:tcW w:type="dxa" w:w="1872"/>
            <w:vAlign w:val="center"/>
            <w:tcMar>
              <w:top w:w="85" w:type="dxa"/>
              <w:bottom w:w="85" w:type="dxa"/>
              <w:left w:w="90" w:type="dxa"/>
              <w:right w:w="90" w:type="dxa"/>
            </w:tcMar>
          </w:tcPr>
          <w:p>
            <w:pPr>
              <w:keepLines/>
              <w:spacing w:after="0" w:line="252" w:lineRule="auto"/>
            </w:pPr>
            <w:r>
              <w:rPr>
                <w:b w:val="0"/>
                <w:sz w:val="20"/>
              </w:rPr>
              <w:t>2</w:t>
            </w:r>
          </w:p>
        </w:tc>
      </w:tr>
      <w:tr>
        <w:trPr>
          <w:cantSplit/>
        </w:trPr>
        <w:tc>
          <w:tcPr>
            <w:tcW w:type="dxa" w:w="4176"/>
            <w:vAlign w:val="center"/>
            <w:tcMar>
              <w:top w:w="85" w:type="dxa"/>
              <w:bottom w:w="85" w:type="dxa"/>
              <w:left w:w="90" w:type="dxa"/>
              <w:right w:w="90" w:type="dxa"/>
            </w:tcMar>
          </w:tcPr>
          <w:p>
            <w:pPr>
              <w:keepLines/>
              <w:spacing w:after="0" w:line="252" w:lineRule="auto"/>
            </w:pPr>
            <w:r>
              <w:rPr>
                <w:b w:val="0"/>
                <w:sz w:val="20"/>
              </w:rPr>
              <w:t>Window availability</w:t>
            </w:r>
          </w:p>
        </w:tc>
        <w:tc>
          <w:tcPr>
            <w:tcW w:type="dxa" w:w="1872"/>
            <w:vAlign w:val="center"/>
            <w:tcMar>
              <w:top w:w="85" w:type="dxa"/>
              <w:bottom w:w="85" w:type="dxa"/>
              <w:left w:w="90" w:type="dxa"/>
              <w:right w:w="90" w:type="dxa"/>
            </w:tcMar>
          </w:tcPr>
          <w:p>
            <w:pPr>
              <w:keepLines/>
              <w:spacing w:after="0" w:line="252" w:lineRule="auto"/>
            </w:pPr>
            <w:r>
              <w:rPr>
                <w:b w:val="0"/>
                <w:sz w:val="20"/>
              </w:rPr>
              <w:t>70%</w:t>
            </w:r>
          </w:p>
        </w:tc>
        <w:tc>
          <w:tcPr>
            <w:tcW w:type="dxa" w:w="1872"/>
            <w:vAlign w:val="center"/>
            <w:tcMar>
              <w:top w:w="85" w:type="dxa"/>
              <w:bottom w:w="85" w:type="dxa"/>
              <w:left w:w="90" w:type="dxa"/>
              <w:right w:w="90" w:type="dxa"/>
            </w:tcMar>
          </w:tcPr>
          <w:p>
            <w:pPr>
              <w:keepLines/>
              <w:spacing w:after="0" w:line="252" w:lineRule="auto"/>
            </w:pPr>
            <w:r>
              <w:rPr>
                <w:b w:val="0"/>
                <w:sz w:val="20"/>
              </w:rPr>
              <w:t>75%</w:t>
            </w:r>
          </w:p>
        </w:tc>
        <w:tc>
          <w:tcPr>
            <w:tcW w:type="dxa" w:w="1872"/>
            <w:vAlign w:val="center"/>
            <w:tcMar>
              <w:top w:w="85" w:type="dxa"/>
              <w:bottom w:w="85" w:type="dxa"/>
              <w:left w:w="90" w:type="dxa"/>
              <w:right w:w="90" w:type="dxa"/>
            </w:tcMar>
          </w:tcPr>
          <w:p>
            <w:pPr>
              <w:keepLines/>
              <w:spacing w:after="0" w:line="252" w:lineRule="auto"/>
            </w:pPr>
            <w:r>
              <w:rPr>
                <w:b w:val="0"/>
                <w:sz w:val="20"/>
              </w:rPr>
              <w:t>75%</w:t>
            </w:r>
          </w:p>
        </w:tc>
      </w:tr>
      <w:tr>
        <w:trPr>
          <w:cantSplit/>
        </w:trPr>
        <w:tc>
          <w:tcPr>
            <w:tcW w:type="dxa" w:w="4176"/>
            <w:vAlign w:val="center"/>
            <w:tcMar>
              <w:top w:w="85" w:type="dxa"/>
              <w:bottom w:w="85" w:type="dxa"/>
              <w:left w:w="90" w:type="dxa"/>
              <w:right w:w="90" w:type="dxa"/>
            </w:tcMar>
          </w:tcPr>
          <w:p>
            <w:pPr>
              <w:keepLines/>
              <w:spacing w:after="0" w:line="252" w:lineRule="auto"/>
            </w:pPr>
            <w:r>
              <w:rPr>
                <w:b w:val="0"/>
                <w:sz w:val="20"/>
              </w:rPr>
              <w:t>Accepted beams / planned workday</w:t>
            </w:r>
          </w:p>
        </w:tc>
        <w:tc>
          <w:tcPr>
            <w:tcW w:type="dxa" w:w="1872"/>
            <w:vAlign w:val="center"/>
            <w:tcMar>
              <w:top w:w="85" w:type="dxa"/>
              <w:bottom w:w="85" w:type="dxa"/>
              <w:left w:w="90" w:type="dxa"/>
              <w:right w:w="90" w:type="dxa"/>
            </w:tcMar>
          </w:tcPr>
          <w:p>
            <w:pPr>
              <w:keepLines/>
              <w:spacing w:after="0" w:line="252" w:lineRule="auto"/>
            </w:pPr>
            <w:r>
              <w:rPr>
                <w:b w:val="0"/>
                <w:sz w:val="20"/>
              </w:rPr>
              <w:t>1.4</w:t>
            </w:r>
          </w:p>
        </w:tc>
        <w:tc>
          <w:tcPr>
            <w:tcW w:type="dxa" w:w="1872"/>
            <w:vAlign w:val="center"/>
            <w:tcMar>
              <w:top w:w="85" w:type="dxa"/>
              <w:bottom w:w="85" w:type="dxa"/>
              <w:left w:w="90" w:type="dxa"/>
              <w:right w:w="90" w:type="dxa"/>
            </w:tcMar>
          </w:tcPr>
          <w:p>
            <w:pPr>
              <w:keepLines/>
              <w:spacing w:after="0" w:line="252" w:lineRule="auto"/>
            </w:pPr>
            <w:r>
              <w:rPr>
                <w:b w:val="0"/>
                <w:sz w:val="20"/>
              </w:rPr>
              <w:t>4.5</w:t>
            </w:r>
          </w:p>
        </w:tc>
        <w:tc>
          <w:tcPr>
            <w:tcW w:type="dxa" w:w="1872"/>
            <w:vAlign w:val="center"/>
            <w:tcMar>
              <w:top w:w="85" w:type="dxa"/>
              <w:bottom w:w="85" w:type="dxa"/>
              <w:left w:w="90" w:type="dxa"/>
              <w:right w:w="90" w:type="dxa"/>
            </w:tcMar>
          </w:tcPr>
          <w:p>
            <w:pPr>
              <w:keepLines/>
              <w:spacing w:after="0" w:line="252" w:lineRule="auto"/>
            </w:pPr>
            <w:r>
              <w:rPr>
                <w:b w:val="0"/>
                <w:sz w:val="20"/>
              </w:rPr>
              <w:t>6.0</w:t>
            </w:r>
          </w:p>
        </w:tc>
      </w:tr>
      <w:tr>
        <w:trPr>
          <w:cantSplit/>
        </w:trPr>
        <w:tc>
          <w:tcPr>
            <w:tcW w:type="dxa" w:w="4176"/>
            <w:vAlign w:val="center"/>
            <w:tcMar>
              <w:top w:w="85" w:type="dxa"/>
              <w:bottom w:w="85" w:type="dxa"/>
              <w:left w:w="90" w:type="dxa"/>
              <w:right w:w="90" w:type="dxa"/>
            </w:tcMar>
          </w:tcPr>
          <w:p>
            <w:pPr>
              <w:keepLines/>
              <w:spacing w:after="0" w:line="252" w:lineRule="auto"/>
            </w:pPr>
            <w:r>
              <w:rPr>
                <w:b w:val="0"/>
                <w:sz w:val="20"/>
              </w:rPr>
              <w:t>Dual-direction route-m / workday</w:t>
            </w:r>
          </w:p>
        </w:tc>
        <w:tc>
          <w:tcPr>
            <w:tcW w:type="dxa" w:w="1872"/>
            <w:vAlign w:val="center"/>
            <w:tcMar>
              <w:top w:w="85" w:type="dxa"/>
              <w:bottom w:w="85" w:type="dxa"/>
              <w:left w:w="90" w:type="dxa"/>
              <w:right w:w="90" w:type="dxa"/>
            </w:tcMar>
          </w:tcPr>
          <w:p>
            <w:pPr>
              <w:keepLines/>
              <w:spacing w:after="0" w:line="252" w:lineRule="auto"/>
            </w:pPr>
            <w:r>
              <w:rPr>
                <w:b w:val="0"/>
                <w:sz w:val="20"/>
              </w:rPr>
              <w:t>17.50</w:t>
            </w:r>
          </w:p>
        </w:tc>
        <w:tc>
          <w:tcPr>
            <w:tcW w:type="dxa" w:w="1872"/>
            <w:vAlign w:val="center"/>
            <w:tcMar>
              <w:top w:w="85" w:type="dxa"/>
              <w:bottom w:w="85" w:type="dxa"/>
              <w:left w:w="90" w:type="dxa"/>
              <w:right w:w="90" w:type="dxa"/>
            </w:tcMar>
          </w:tcPr>
          <w:p>
            <w:pPr>
              <w:keepLines/>
              <w:spacing w:after="0" w:line="252" w:lineRule="auto"/>
            </w:pPr>
            <w:r>
              <w:rPr>
                <w:b w:val="0"/>
                <w:sz w:val="20"/>
              </w:rPr>
              <w:t>56.25</w:t>
            </w:r>
          </w:p>
        </w:tc>
        <w:tc>
          <w:tcPr>
            <w:tcW w:type="dxa" w:w="1872"/>
            <w:vAlign w:val="center"/>
            <w:tcMar>
              <w:top w:w="85" w:type="dxa"/>
              <w:bottom w:w="85" w:type="dxa"/>
              <w:left w:w="90" w:type="dxa"/>
              <w:right w:w="90" w:type="dxa"/>
            </w:tcMar>
          </w:tcPr>
          <w:p>
            <w:pPr>
              <w:keepLines/>
              <w:spacing w:after="0" w:line="252" w:lineRule="auto"/>
            </w:pPr>
            <w:r>
              <w:rPr>
                <w:b w:val="0"/>
                <w:sz w:val="20"/>
              </w:rPr>
              <w:t>75.00</w:t>
            </w:r>
          </w:p>
        </w:tc>
      </w:tr>
      <w:tr>
        <w:trPr>
          <w:cantSplit/>
        </w:trPr>
        <w:tc>
          <w:tcPr>
            <w:tcW w:type="dxa" w:w="4176"/>
            <w:vAlign w:val="center"/>
            <w:tcMar>
              <w:top w:w="85" w:type="dxa"/>
              <w:bottom w:w="85" w:type="dxa"/>
              <w:left w:w="90" w:type="dxa"/>
              <w:right w:w="90" w:type="dxa"/>
            </w:tcMar>
          </w:tcPr>
          <w:p>
            <w:pPr>
              <w:keepLines/>
              <w:spacing w:after="0" w:line="252" w:lineRule="auto"/>
            </w:pPr>
            <w:r>
              <w:rPr>
                <w:b w:val="0"/>
                <w:sz w:val="20"/>
              </w:rPr>
              <w:t>Steady-state working days / km</w:t>
            </w:r>
          </w:p>
        </w:tc>
        <w:tc>
          <w:tcPr>
            <w:tcW w:type="dxa" w:w="1872"/>
            <w:vAlign w:val="center"/>
            <w:tcMar>
              <w:top w:w="85" w:type="dxa"/>
              <w:bottom w:w="85" w:type="dxa"/>
              <w:left w:w="90" w:type="dxa"/>
              <w:right w:w="90" w:type="dxa"/>
            </w:tcMar>
          </w:tcPr>
          <w:p>
            <w:pPr>
              <w:keepLines/>
              <w:spacing w:after="0" w:line="252" w:lineRule="auto"/>
            </w:pPr>
            <w:r>
              <w:rPr>
                <w:b w:val="0"/>
                <w:sz w:val="20"/>
              </w:rPr>
              <w:t>57.14</w:t>
            </w:r>
          </w:p>
        </w:tc>
        <w:tc>
          <w:tcPr>
            <w:tcW w:type="dxa" w:w="1872"/>
            <w:vAlign w:val="center"/>
            <w:tcMar>
              <w:top w:w="85" w:type="dxa"/>
              <w:bottom w:w="85" w:type="dxa"/>
              <w:left w:w="90" w:type="dxa"/>
              <w:right w:w="90" w:type="dxa"/>
            </w:tcMar>
          </w:tcPr>
          <w:p>
            <w:pPr>
              <w:keepLines/>
              <w:spacing w:after="0" w:line="252" w:lineRule="auto"/>
            </w:pPr>
            <w:r>
              <w:rPr>
                <w:b w:val="0"/>
                <w:sz w:val="20"/>
              </w:rPr>
              <w:t>17.78</w:t>
            </w:r>
          </w:p>
        </w:tc>
        <w:tc>
          <w:tcPr>
            <w:tcW w:type="dxa" w:w="1872"/>
            <w:vAlign w:val="center"/>
            <w:tcMar>
              <w:top w:w="85" w:type="dxa"/>
              <w:bottom w:w="85" w:type="dxa"/>
              <w:left w:w="90" w:type="dxa"/>
              <w:right w:w="90" w:type="dxa"/>
            </w:tcMar>
          </w:tcPr>
          <w:p>
            <w:pPr>
              <w:keepLines/>
              <w:spacing w:after="0" w:line="252" w:lineRule="auto"/>
            </w:pPr>
            <w:r>
              <w:rPr>
                <w:b w:val="0"/>
                <w:sz w:val="20"/>
              </w:rPr>
              <w:t>13.33</w:t>
            </w:r>
          </w:p>
        </w:tc>
      </w:tr>
    </w:tbl>
    <w:p>
      <w:pPr>
        <w:spacing w:after="40"/>
      </w:pPr>
    </w:p>
    <w:p>
      <w:pPr/>
      <w:r>
        <w:rPr>
          <w:b w:val="0"/>
        </w:rPr>
        <w:t>The repository has no validated erection-rate baseline, so the first column is a declared illustration. The central target is 3.21 times its accepted throughput and uses 68.9% fewer erection workdays. It combines twice the scheduled hours with 1.5 times nominal hourly placement productivity. Two shift crews, night access and operating costs are included in resource planning. The USD 1,800/beam erection target corresponds to USD 8,100 per planned day at 4.5 accepted beams; the illustrative baseline's USD 3,500 × 1.4 is USD 4,900/day. These are budget envelopes to quote, not verified crane or labour rates. The stretch output uses up the factory/foundation margin and requires additional capacity or better proven cycles before adoption.</w:t>
      </w:r>
    </w:p>
    <w:p>
      <w:pPr/>
      <w:r>
        <w:rPr>
          <w:b w:val="0"/>
        </w:rPr>
      </w:r>
      <w:r>
        <w:rPr>
          <w:b/>
        </w:rPr>
        <w:t>Ten-kilometre package.</w:t>
      </w:r>
      <w:r>
        <w:rPr>
          <w:b w:val="0"/>
        </w:rPr>
        <w:t xml:space="preserve"> Central steady production requires 177.8 working days, or 207.4 calendar days at six workdays/week. Adding an explicitly assumed 45 working days for initial pipeline and trailing completion gives about 260 calendar days, compared with 719 under the same allowance and illustrative one-shift comparator. This is about 64% less elapsed time for the defined ordinary-civil package. It starts from a qualified production system and available corridor; factory establishment, engineering/approvals, exceptional ground, stations, station power and railway commissioning remain separate programme dependencies.</w:t>
      </w:r>
    </w:p>
    <w:p>
      <w:pPr/>
      <w:r>
        <w:rPr>
          <w:b w:val="0"/>
        </w:rPr>
      </w:r>
      <w:r>
        <w:rPr>
          <w:b/>
        </w:rPr>
        <w:t>Eighteen-crane scaling scenario.</w:t>
      </w:r>
      <w:r>
        <w:rPr>
          <w:b w:val="0"/>
        </w:rPr>
        <w:t xml:space="preserve"> If the programme allocates two cranes to each front, eighteen cranes support nine fronts, not eighteen independent beam lines. At the central rate that is 40.5 installed beams, 20.25 bay equivalents and 0.506 dual-direction route-km per planned day. Supporting capacity is approximately 72 foundation crews, 144 mould positions and 216 accepted beams buffered. Installed-beam consumption is about 577 m³ concrete and 304 t passive iron per day, before support concrete and other materials. The factories can be distributed, but transport, iron supply, staffing, inspections and permits must meet the same demand. The rate is conditional on the complete supply chain; crane count alone is not an output model.</w:t>
      </w:r>
    </w:p>
    <w:p>
      <w:pPr/>
      <w:r>
        <w:rPr>
          <w:b w:val="0"/>
        </w:rPr>
      </w:r>
      <w:r>
        <w:rPr>
          <w:b/>
        </w:rPr>
        <w:t>Demonstration requirement.</w:t>
      </w:r>
      <w:r>
        <w:rPr>
          <w:b w:val="0"/>
        </w:rPr>
        <w:t xml:space="preserve"> Begin with a 100 m construction pilot, then repeat lots spanning at least ten representative erection windows. Record planned and actual dates, crew/crane hours, strength-release delays, haul turnaround, accepted geometry, connection completion, first-pass quality, rework, invoices and causes of lost output. Report average and lower-tail accepted output with ground/height/access conditions. The digital twin should calculate route output as the minimum of factory, delivery, foundations, piers, erection and final alignment rates, and update purchase requirements accordingly. A fast pick followed by unfinished joints does not count as completed route.</w:t>
      </w:r>
    </w:p>
    <w:p>
      <w:pPr>
        <w:pStyle w:val="Heading1"/>
        <w:pageBreakBefore w:val="0"/>
      </w:pPr>
      <w:r>
        <w:t>Proposed configuration contract</w:t>
      </w:r>
    </w:p>
    <w:p>
      <w:pPr/>
      <w:r>
        <w:rPr>
          <w:b w:val="0"/>
        </w:rPr>
        <w:t>The following is a schema proposal for the new variant, not a drop-in patch for the current validator. The existing model rejects route-powered stators, so the architecture fields and validation rules must change together.</w:t>
      </w:r>
    </w:p>
    <w:p>
      <w:pPr>
        <w:pStyle w:val="SpecCode"/>
        <w:keepNext w:val="0"/>
      </w:pPr>
      <w:r>
        <w:t>[architecture]</w:t>
      </w:r>
    </w:p>
    <w:p>
      <w:pPr>
        <w:pStyle w:val="SpecCode"/>
        <w:keepNext w:val="0"/>
      </w:pPr>
      <w:r>
        <w:t>suspension = "ferrite-pm-biased-active-attraction"</w:t>
      </w:r>
    </w:p>
    <w:p>
      <w:pPr>
        <w:pStyle w:val="SpecCode"/>
        <w:keepNext w:val="0"/>
      </w:pPr>
      <w:r>
        <w:t>propulsion = "station-lsm-shared-vehicle-pm"</w:t>
      </w:r>
    </w:p>
    <w:p>
      <w:pPr>
        <w:pStyle w:val="SpecCode"/>
        <w:keepNext w:val="0"/>
      </w:pPr>
      <w:r>
        <w:t>interstation_powered_propulsion = false</w:t>
      </w:r>
    </w:p>
    <w:p>
      <w:pPr>
        <w:pStyle w:val="SpecCode"/>
        <w:keepNext w:val="0"/>
      </w:pPr>
      <w:r>
        <w:t>onboard_main_traction = false</w:t>
      </w:r>
    </w:p>
    <w:p>
      <w:pPr>
        <w:pStyle w:val="SpecCode"/>
        <w:keepNext w:val="0"/>
      </w:pPr>
      <w:r>
        <w:t>onboard_support_guidance_windings = true</w:t>
      </w:r>
    </w:p>
    <w:p>
      <w:pPr>
        <w:pStyle w:val="SpecCode"/>
        <w:keepNext w:val="0"/>
      </w:pPr>
      <w:r>
        <w:t>normal_stationary_hover_target = true</w:t>
      </w:r>
    </w:p>
    <w:p>
      <w:pPr>
        <w:pStyle w:val="SpecCode"/>
        <w:keepNext w:val="0"/>
      </w:pPr>
      <w:r>
        <w:t>shared_magnetic_volume_status = "candidate-unvalidated"</w:t>
      </w:r>
    </w:p>
    <w:p>
      <w:pPr>
        <w:pStyle w:val="SpecCode"/>
        <w:keepNext w:val="0"/>
      </w:pPr>
      <w:r>
        <w:t>[vehicle_study]</w:t>
      </w:r>
    </w:p>
    <w:p>
      <w:pPr>
        <w:pStyle w:val="SpecCode"/>
        <w:keepNext w:val="0"/>
      </w:pPr>
      <w:r>
        <w:t>cars = 6</w:t>
      </w:r>
    </w:p>
    <w:p>
      <w:pPr>
        <w:pStyle w:val="SpecCode"/>
        <w:keepNext w:val="0"/>
      </w:pPr>
      <w:r>
        <w:t>body_length_m = 17.0</w:t>
      </w:r>
    </w:p>
    <w:p>
      <w:pPr>
        <w:pStyle w:val="SpecCode"/>
        <w:keepNext w:val="0"/>
      </w:pPr>
      <w:r>
        <w:t>body_width_m = 2.65</w:t>
      </w:r>
    </w:p>
    <w:p>
      <w:pPr>
        <w:pStyle w:val="SpecCode"/>
        <w:keepNext w:val="0"/>
      </w:pPr>
      <w:r>
        <w:t>ferrite_kg_per_car = 3000</w:t>
      </w:r>
    </w:p>
    <w:p>
      <w:pPr>
        <w:pStyle w:val="SpecCode"/>
        <w:keepNext w:val="0"/>
      </w:pPr>
      <w:r>
        <w:t>services_battery_kwh_per_car = 30</w:t>
      </w:r>
    </w:p>
    <w:p>
      <w:pPr>
        <w:pStyle w:val="SpecCode"/>
        <w:keepNext w:val="0"/>
      </w:pPr>
      <w:r>
        <w:t>tare_target_kg_per_car = 14200</w:t>
      </w:r>
    </w:p>
    <w:p>
      <w:pPr>
        <w:pStyle w:val="SpecCode"/>
        <w:keepNext w:val="0"/>
      </w:pPr>
      <w:r>
        <w:t>equipped_body_target_kg = 5200</w:t>
      </w:r>
    </w:p>
    <w:p>
      <w:pPr>
        <w:pStyle w:val="SpecCode"/>
        <w:keepNext w:val="0"/>
      </w:pPr>
      <w:r>
        <w:t>growth_reserve_kg = 1800</w:t>
      </w:r>
    </w:p>
    <w:p>
      <w:pPr>
        <w:pStyle w:val="SpecCode"/>
        <w:keepNext w:val="0"/>
      </w:pPr>
      <w:r>
        <w:t>body_construction = "structural-gfrp-sandwich"</w:t>
      </w:r>
    </w:p>
    <w:p>
      <w:pPr>
        <w:pStyle w:val="SpecCode"/>
        <w:keepNext w:val="0"/>
      </w:pPr>
      <w:r>
        <w:t>equipped_body_mass_cases_kg = [4400, 5200, 6300]</w:t>
      </w:r>
    </w:p>
    <w:p>
      <w:pPr>
        <w:pStyle w:val="SpecCode"/>
        <w:keepNext w:val="0"/>
      </w:pPr>
      <w:r>
        <w:t>passenger_doors_per_side = 2</w:t>
      </w:r>
    </w:p>
    <w:p>
      <w:pPr>
        <w:pStyle w:val="SpecCode"/>
        <w:keepNext w:val="0"/>
      </w:pPr>
      <w:r>
        <w:t>normal_passengers_per_car = 120</w:t>
      </w:r>
    </w:p>
    <w:p>
      <w:pPr>
        <w:pStyle w:val="SpecCode"/>
        <w:keepNext w:val="0"/>
      </w:pPr>
      <w:r>
        <w:t>maximum_study_passengers_per_car = 160</w:t>
      </w:r>
    </w:p>
    <w:p>
      <w:pPr>
        <w:pStyle w:val="SpecCode"/>
        <w:keepNext w:val="0"/>
      </w:pPr>
      <w:r>
        <w:t>passenger_mass_kg = 75</w:t>
      </w:r>
    </w:p>
    <w:p>
      <w:pPr>
        <w:pStyle w:val="SpecCode"/>
        <w:keepNext w:val="0"/>
      </w:pPr>
      <w:r>
        <w:t>[magnetic_optimization]</w:t>
      </w:r>
    </w:p>
    <w:p>
      <w:pPr>
        <w:pStyle w:val="SpecCode"/>
        <w:keepNext w:val="0"/>
      </w:pPr>
      <w:r>
        <w:t>method = "finite-block-orientation-and-geometry"</w:t>
      </w:r>
    </w:p>
    <w:p>
      <w:pPr>
        <w:pStyle w:val="SpecCode"/>
        <w:keepNext w:val="0"/>
      </w:pPr>
      <w:r>
        <w:t>reference = "Rehberg-Blumler-2025"</w:t>
      </w:r>
    </w:p>
    <w:p>
      <w:pPr>
        <w:pStyle w:val="SpecCode"/>
        <w:keepNext w:val="0"/>
      </w:pPr>
      <w:r>
        <w:t>baseline_ferrite_kg_per_car = 3000</w:t>
      </w:r>
    </w:p>
    <w:p>
      <w:pPr>
        <w:pStyle w:val="SpecCode"/>
        <w:keepNext w:val="0"/>
      </w:pPr>
      <w:r>
        <w:t>support_cartridges_per_car = 24</w:t>
      </w:r>
    </w:p>
    <w:p>
      <w:pPr>
        <w:pStyle w:val="SpecCode"/>
        <w:keepNext w:val="0"/>
      </w:pPr>
      <w:r>
        <w:t>effective_pole_area_study_m2_per_car = 12.0</w:t>
      </w:r>
    </w:p>
    <w:p>
      <w:pPr>
        <w:pStyle w:val="SpecCode"/>
        <w:keepNext w:val="0"/>
      </w:pPr>
      <w:r>
        <w:t>automatic_paper_gain_credit = false</w:t>
      </w:r>
    </w:p>
    <w:p>
      <w:pPr>
        <w:pStyle w:val="SpecCode"/>
        <w:keepNext w:val="0"/>
      </w:pPr>
      <w:r>
        <w:t>objective = "installed-system-cost-with-force-and-loss-constraints"</w:t>
      </w:r>
    </w:p>
    <w:p>
      <w:pPr>
        <w:pStyle w:val="SpecCode"/>
        <w:keepNext w:val="0"/>
      </w:pPr>
      <w:r>
        <w:t>orientation_vectors_status = "to-be-generated-and-validated"</w:t>
      </w:r>
    </w:p>
    <w:p>
      <w:pPr>
        <w:pStyle w:val="SpecCode"/>
        <w:keepNext w:val="0"/>
      </w:pPr>
      <w:r>
        <w:t>[station_launch_study]</w:t>
      </w:r>
    </w:p>
    <w:p>
      <w:pPr>
        <w:pStyle w:val="SpecCode"/>
        <w:keepNext w:val="0"/>
      </w:pPr>
      <w:r>
        <w:t>status = "conditional-screening-not-qualified-hardware"</w:t>
      </w:r>
    </w:p>
    <w:p>
      <w:pPr>
        <w:pStyle w:val="SpecCode"/>
        <w:keepNext w:val="0"/>
      </w:pPr>
      <w:r>
        <w:t>runtime_s = 90</w:t>
      </w:r>
    </w:p>
    <w:p>
      <w:pPr>
        <w:pStyle w:val="SpecCode"/>
        <w:keepNext w:val="0"/>
      </w:pPr>
      <w:r>
        <w:t>station_spacing_m = 1000</w:t>
      </w:r>
    </w:p>
    <w:p>
      <w:pPr>
        <w:pStyle w:val="SpecCode"/>
        <w:keepNext w:val="0"/>
      </w:pPr>
      <w:r>
        <w:t>net_acceleration_mps2 = 0.8</w:t>
      </w:r>
    </w:p>
    <w:p>
      <w:pPr>
        <w:pStyle w:val="SpecCode"/>
        <w:keepNext w:val="0"/>
      </w:pPr>
      <w:r>
        <w:t>service_deceleration_mps2 = 0.8</w:t>
      </w:r>
    </w:p>
    <w:p>
      <w:pPr>
        <w:pStyle w:val="SpecCode"/>
        <w:keepNext w:val="0"/>
      </w:pPr>
      <w:r>
        <w:t>jerk_mps3 = 0.6</w:t>
      </w:r>
    </w:p>
    <w:p>
      <w:pPr>
        <w:pStyle w:val="SpecCode"/>
        <w:keepNext w:val="0"/>
      </w:pPr>
      <w:r>
        <w:t>scheduled_headway_s = 190</w:t>
      </w:r>
    </w:p>
    <w:p>
      <w:pPr>
        <w:pStyle w:val="SpecCode"/>
        <w:keepNext w:val="0"/>
      </w:pPr>
      <w:r>
        <w:t>dwell_study_s = 60</w:t>
      </w:r>
    </w:p>
    <w:p>
      <w:pPr>
        <w:pStyle w:val="SpecCode"/>
        <w:keepNext w:val="0"/>
      </w:pPr>
      <w:r>
        <w:t>pole_pitch_seed_m = 0.25</w:t>
      </w:r>
    </w:p>
    <w:p>
      <w:pPr>
        <w:pStyle w:val="SpecCode"/>
        <w:keepNext w:val="0"/>
      </w:pPr>
      <w:r>
        <w:t>car_pitch_study_m = 17.5</w:t>
      </w:r>
    </w:p>
    <w:p>
      <w:pPr>
        <w:pStyle w:val="SpecCode"/>
        <w:keepNext w:val="0"/>
      </w:pPr>
      <w:r>
        <w:t>magnetic_band_study_m_per_car = 12.0</w:t>
      </w:r>
    </w:p>
    <w:p>
      <w:pPr>
        <w:pStyle w:val="SpecCode"/>
        <w:keepNext w:val="0"/>
      </w:pPr>
      <w:r>
        <w:t>force_density_study_kn_per_envelope_m = [2, 4, 6]</w:t>
      </w:r>
    </w:p>
    <w:p>
      <w:pPr>
        <w:pStyle w:val="SpecCode"/>
        <w:keepNext w:val="0"/>
      </w:pPr>
      <w:r>
        <w:t>face_width_sum_study_m = 1.0</w:t>
      </w:r>
    </w:p>
    <w:p>
      <w:pPr>
        <w:pStyle w:val="SpecCode"/>
        <w:keepNext w:val="0"/>
      </w:pPr>
      <w:r>
        <w:t>stator_length_study_m_per_direction = [200, 212.5, 225]</w:t>
      </w:r>
    </w:p>
    <w:p>
      <w:pPr>
        <w:pStyle w:val="SpecCode"/>
        <w:keepNext w:val="0"/>
      </w:pPr>
      <w:r>
        <w:t>costing_zone_start_m = -125.0</w:t>
      </w:r>
    </w:p>
    <w:p>
      <w:pPr>
        <w:pStyle w:val="SpecCode"/>
        <w:keepNext w:val="0"/>
      </w:pPr>
      <w:r>
        <w:t>costing_zone_end_m = 75.0</w:t>
      </w:r>
    </w:p>
    <w:p>
      <w:pPr>
        <w:pStyle w:val="SpecCode"/>
        <w:keepNext w:val="0"/>
      </w:pPr>
      <w:r>
        <w:t>mechanical_cassette_length_m = 2.5</w:t>
      </w:r>
    </w:p>
    <w:p>
      <w:pPr>
        <w:pStyle w:val="SpecCode"/>
        <w:keepNext w:val="0"/>
      </w:pPr>
      <w:r>
        <w:t>electrical_section_length_m = 12.5</w:t>
      </w:r>
    </w:p>
    <w:p>
      <w:pPr>
        <w:pStyle w:val="SpecCode"/>
        <w:keepNext w:val="0"/>
      </w:pPr>
      <w:r>
        <w:t>leading_converter_study = "two-fixed-groups-per-direction"</w:t>
      </w:r>
    </w:p>
    <w:p>
      <w:pPr>
        <w:pStyle w:val="SpecCode"/>
        <w:keepNext w:val="0"/>
      </w:pPr>
      <w:r>
        <w:t>converter_alternatives = ["whole-zone", "routed-sections"]</w:t>
      </w:r>
    </w:p>
    <w:p>
      <w:pPr>
        <w:pStyle w:val="SpecCode"/>
        <w:keepNext w:val="0"/>
      </w:pPr>
      <w:r>
        <w:t>baseline_energy_sink = "station-brake-resistor"</w:t>
      </w:r>
    </w:p>
    <w:p>
      <w:pPr>
        <w:pStyle w:val="SpecCode"/>
        <w:keepNext w:val="0"/>
      </w:pPr>
      <w:r>
        <w:t>station_buffer_required_by_default = false</w:t>
      </w:r>
    </w:p>
    <w:p>
      <w:pPr>
        <w:pStyle w:val="SpecCode"/>
        <w:keepNext w:val="0"/>
      </w:pPr>
      <w:r>
        <w:t>cost_rates_status = "unquoted-repeat-build-targets"</w:t>
      </w:r>
    </w:p>
    <w:p>
      <w:pPr>
        <w:pStyle w:val="SpecCode"/>
        <w:keepNext w:val="0"/>
      </w:pPr>
      <w:r>
        <w:t>[traffic]</w:t>
      </w:r>
    </w:p>
    <w:p>
      <w:pPr>
        <w:pStyle w:val="SpecCode"/>
        <w:keepNext w:val="0"/>
      </w:pPr>
      <w:r>
        <w:t>policy = "exclusive-corridor-and-receiving-berth"</w:t>
      </w:r>
    </w:p>
    <w:p>
      <w:pPr>
        <w:pStyle w:val="SpecCode"/>
        <w:keepNext w:val="0"/>
      </w:pPr>
      <w:r>
        <w:t>release = "proved-complete-consist-clearance"</w:t>
      </w:r>
    </w:p>
    <w:p>
      <w:pPr>
        <w:pStyle w:val="SpecCode"/>
        <w:keepNext w:val="0"/>
      </w:pPr>
      <w:r>
        <w:t>launch_permission_expiry_releases_occupancy = false</w:t>
      </w:r>
    </w:p>
    <w:p>
      <w:pPr>
        <w:pStyle w:val="SpecCode"/>
        <w:keepNext w:val="0"/>
      </w:pPr>
      <w:r>
        <w:t>[guideway]</w:t>
      </w:r>
    </w:p>
    <w:p>
      <w:pPr>
        <w:pStyle w:val="SpecCode"/>
        <w:keepNext w:val="0"/>
      </w:pPr>
      <w:r>
        <w:t>structural_beams_per_direction = 1</w:t>
      </w:r>
    </w:p>
    <w:p>
      <w:pPr>
        <w:pStyle w:val="SpecCode"/>
        <w:keepNext w:val="0"/>
      </w:pPr>
      <w:r>
        <w:t>preferred_span_study_m = [20, 25, 30]</w:t>
      </w:r>
    </w:p>
    <w:p>
      <w:pPr>
        <w:pStyle w:val="SpecCode"/>
        <w:keepNext w:val="0"/>
      </w:pPr>
      <w:r>
        <w:t>support_gap_study_mm = [8, 12, 16, 20]</w:t>
      </w:r>
    </w:p>
    <w:p>
      <w:pPr>
        <w:pStyle w:val="SpecCode"/>
        <w:keepNext w:val="0"/>
      </w:pPr>
      <w:r>
        <w:t>support_and_propulsion_gap_relationship = "resolve-from-geometry"</w:t>
      </w:r>
    </w:p>
    <w:p>
      <w:pPr>
        <w:pStyle w:val="SpecCode"/>
        <w:keepNext w:val="0"/>
      </w:pPr>
      <w:r>
        <w:t>[civil_product_study]</w:t>
      </w:r>
    </w:p>
    <w:p>
      <w:pPr>
        <w:pStyle w:val="SpecCode"/>
        <w:keepNext w:val="0"/>
      </w:pPr>
      <w:r>
        <w:t>status = "unqualified-design-and-procurement-target"</w:t>
      </w:r>
    </w:p>
    <w:p>
      <w:pPr>
        <w:pStyle w:val="SpecCode"/>
        <w:keepNext w:val="0"/>
      </w:pPr>
      <w:r>
        <w:t>ordinary_span_m = 25.0</w:t>
      </w:r>
    </w:p>
    <w:p>
      <w:pPr>
        <w:pStyle w:val="SpecCode"/>
        <w:keepNext w:val="0"/>
      </w:pPr>
      <w:r>
        <w:t>beam_centres_m = 3.8</w:t>
      </w:r>
    </w:p>
    <w:p>
      <w:pPr>
        <w:pStyle w:val="SpecCode"/>
        <w:keepNext w:val="0"/>
      </w:pPr>
      <w:r>
        <w:t>beam_outer_width_m = 0.80</w:t>
      </w:r>
    </w:p>
    <w:p>
      <w:pPr>
        <w:pStyle w:val="SpecCode"/>
        <w:keepNext w:val="0"/>
      </w:pPr>
      <w:r>
        <w:t>beam_outer_depth_m = 1.80</w:t>
      </w:r>
    </w:p>
    <w:p>
      <w:pPr>
        <w:pStyle w:val="SpecCode"/>
        <w:keepNext w:val="0"/>
      </w:pPr>
      <w:r>
        <w:t>beam_web_m = 0.10</w:t>
      </w:r>
    </w:p>
    <w:p>
      <w:pPr>
        <w:pStyle w:val="SpecCode"/>
        <w:keepNext w:val="0"/>
      </w:pPr>
      <w:r>
        <w:t>beam_flange_m = 0.15</w:t>
      </w:r>
    </w:p>
    <w:p>
      <w:pPr>
        <w:pStyle w:val="SpecCode"/>
        <w:keepNext w:val="0"/>
      </w:pPr>
      <w:r>
        <w:t>beam_effective_budget_area_m2 = 0.57</w:t>
      </w:r>
    </w:p>
    <w:p>
      <w:pPr>
        <w:pStyle w:val="SpecCode"/>
        <w:keepNext w:val="0"/>
      </w:pPr>
      <w:r>
        <w:t>beam_end_infill_study_length_m = 0.40</w:t>
      </w:r>
    </w:p>
    <w:p>
      <w:pPr>
        <w:pStyle w:val="SpecCode"/>
        <w:keepNext w:val="0"/>
      </w:pPr>
      <w:r>
        <w:t>column_height_study_m = 8.0</w:t>
      </w:r>
    </w:p>
    <w:p>
      <w:pPr>
        <w:pStyle w:val="SpecCode"/>
        <w:keepNext w:val="0"/>
      </w:pPr>
      <w:r>
        <w:t>column_outer_diameter_m = 1.35</w:t>
      </w:r>
    </w:p>
    <w:p>
      <w:pPr>
        <w:pStyle w:val="SpecCode"/>
        <w:keepNext w:val="0"/>
      </w:pPr>
      <w:r>
        <w:t>column_inner_diameter_m = 0.95</w:t>
      </w:r>
    </w:p>
    <w:p>
      <w:pPr>
        <w:pStyle w:val="SpecCode"/>
        <w:keepNext w:val="0"/>
      </w:pPr>
      <w:r>
        <w:t>column_total_solid_end_length_m = 1.0</w:t>
      </w:r>
    </w:p>
    <w:p>
      <w:pPr>
        <w:pStyle w:val="SpecCode"/>
        <w:keepNext w:val="0"/>
      </w:pPr>
      <w:r>
        <w:t>cap_budget_volume_m3 = 5.4</w:t>
      </w:r>
    </w:p>
    <w:p>
      <w:pPr>
        <w:pStyle w:val="SpecCode"/>
        <w:keepNext w:val="0"/>
      </w:pPr>
      <w:r>
        <w:t>foundation_families = ["shallow", "single-shaft", "pile-group"]</w:t>
      </w:r>
    </w:p>
    <w:p>
      <w:pPr>
        <w:pStyle w:val="SpecCode"/>
        <w:keepNext w:val="0"/>
      </w:pPr>
      <w:r>
        <w:t>foundation_selection_requires_geotechnical_evidence = true</w:t>
      </w:r>
    </w:p>
    <w:p>
      <w:pPr>
        <w:pStyle w:val="SpecCode"/>
        <w:keepNext w:val="0"/>
      </w:pPr>
      <w:r>
        <w:t>automatic_train_mass_cost_scaling = false</w:t>
      </w:r>
    </w:p>
    <w:p>
      <w:pPr>
        <w:pStyle w:val="SpecCode"/>
        <w:keepNext w:val="0"/>
      </w:pPr>
      <w:r>
        <w:t>ordinary_support_target_usd = 22000</w:t>
      </w:r>
    </w:p>
    <w:p>
      <w:pPr>
        <w:pStyle w:val="SpecCode"/>
        <w:keepNext w:val="0"/>
      </w:pPr>
      <w:r>
        <w:t>magnetic_rail_reduction_credit_fraction = 0.0</w:t>
      </w:r>
    </w:p>
    <w:p>
      <w:pPr>
        <w:pStyle w:val="SpecCode"/>
        <w:keepNext w:val="0"/>
      </w:pPr>
      <w:r>
        <w:t>[civil_production_study]</w:t>
      </w:r>
    </w:p>
    <w:p>
      <w:pPr>
        <w:pStyle w:val="SpecCode"/>
        <w:keepNext w:val="0"/>
      </w:pPr>
      <w:r>
        <w:t>shifts_per_available_day = 2</w:t>
      </w:r>
    </w:p>
    <w:p>
      <w:pPr>
        <w:pStyle w:val="SpecCode"/>
        <w:keepNext w:val="0"/>
      </w:pPr>
      <w:r>
        <w:t>hours_per_shift = 8</w:t>
      </w:r>
    </w:p>
    <w:p>
      <w:pPr>
        <w:pStyle w:val="SpecCode"/>
        <w:keepNext w:val="0"/>
      </w:pPr>
      <w:r>
        <w:t>beams_per_available_window = 6</w:t>
      </w:r>
    </w:p>
    <w:p>
      <w:pPr>
        <w:pStyle w:val="SpecCode"/>
        <w:keepNext w:val="0"/>
      </w:pPr>
      <w:r>
        <w:t>window_availability = 0.75</w:t>
      </w:r>
    </w:p>
    <w:p>
      <w:pPr>
        <w:pStyle w:val="SpecCode"/>
        <w:keepNext w:val="0"/>
      </w:pPr>
      <w:r>
        <w:t>beam_mould_positions_per_front = 16</w:t>
      </w:r>
    </w:p>
    <w:p>
      <w:pPr>
        <w:pStyle w:val="SpecCode"/>
        <w:keepNext w:val="0"/>
      </w:pPr>
      <w:r>
        <w:t>qualified_mould_cycle_target_hours = 48</w:t>
      </w:r>
    </w:p>
    <w:p>
      <w:pPr>
        <w:pStyle w:val="SpecCode"/>
        <w:keepNext w:val="0"/>
      </w:pPr>
      <w:r>
        <w:t>foundation_crews_per_front = 8</w:t>
      </w:r>
    </w:p>
    <w:p>
      <w:pPr>
        <w:pStyle w:val="SpecCode"/>
        <w:keepNext w:val="0"/>
      </w:pPr>
      <w:r>
        <w:t>productive_crew_days_per_ordinary_foundation = 2</w:t>
      </w:r>
    </w:p>
    <w:p>
      <w:pPr>
        <w:pStyle w:val="SpecCode"/>
        <w:keepNext w:val="0"/>
      </w:pPr>
      <w:r>
        <w:t>cranes_per_front = 2</w:t>
      </w:r>
    </w:p>
    <w:p>
      <w:pPr>
        <w:pStyle w:val="SpecCode"/>
        <w:keepNext w:val="0"/>
      </w:pPr>
      <w:r>
        <w:t>accepted_beam_buffer = 24</w:t>
      </w:r>
    </w:p>
    <w:p>
      <w:pPr>
        <w:pStyle w:val="SpecCode"/>
        <w:keepNext w:val="0"/>
      </w:pPr>
      <w:r>
        <w:t>accepted_route_target_m_per_workday = 56.25</w:t>
      </w:r>
    </w:p>
    <w:p>
      <w:pPr>
        <w:pStyle w:val="SpecCode"/>
        <w:keepNext w:val="0"/>
      </w:pPr>
      <w:r>
        <w:t>output_basis = "minimum-of-all-accepted-workstreams"</w:t>
      </w:r>
    </w:p>
    <w:p>
      <w:pPr>
        <w:pStyle w:val="SpecCode"/>
        <w:keepNext w:val="0"/>
      </w:pPr>
      <w:r>
        <w:t>measured_rate_evidence_status = "not-yet-demonstrated"</w:t>
      </w:r>
    </w:p>
    <w:p>
      <w:pPr>
        <w:pStyle w:val="Heading1"/>
        <w:pageBreakBefore w:val="0"/>
      </w:pPr>
      <w:r>
        <w:t>Repository rework map</w:t>
      </w:r>
    </w:p>
    <w:p>
      <w:pPr/>
      <w:r>
        <w:rPr>
          <w:b w:val="0"/>
        </w:rPr>
        <w:t>Paths below are relative to the reviewed repository root. Entries identify coordinated changes; they are not claims of completed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472"/>
      </w:tblGrid>
      <w:tr>
        <w:trPr>
          <w:cantSplit/>
          <w:tblHeader/>
        </w:trPr>
        <w:tc>
          <w:tcPr>
            <w:tcW w:type="dxa" w:w="4320"/>
            <w:vAlign w:val="center"/>
            <w:tcMar>
              <w:top w:w="85" w:type="dxa"/>
              <w:bottom w:w="85" w:type="dxa"/>
              <w:left w:w="90" w:type="dxa"/>
              <w:right w:w="90" w:type="dxa"/>
            </w:tcMar>
            <w:shd w:fill="F2F2F2"/>
          </w:tcPr>
          <w:p>
            <w:pPr>
              <w:keepNext/>
              <w:keepLines/>
              <w:spacing w:after="0" w:line="252" w:lineRule="auto"/>
            </w:pPr>
            <w:r>
              <w:rPr>
                <w:b/>
                <w:sz w:val="20"/>
              </w:rPr>
              <w:t>Existing files or directory</w:t>
            </w:r>
          </w:p>
        </w:tc>
        <w:tc>
          <w:tcPr>
            <w:tcW w:type="dxa" w:w="5472"/>
            <w:vAlign w:val="center"/>
            <w:tcMar>
              <w:top w:w="85" w:type="dxa"/>
              <w:bottom w:w="85" w:type="dxa"/>
              <w:left w:w="90" w:type="dxa"/>
              <w:right w:w="90" w:type="dxa"/>
            </w:tcMar>
            <w:shd w:fill="F2F2F2"/>
          </w:tcPr>
          <w:p>
            <w:pPr>
              <w:keepNext/>
              <w:keepLines/>
              <w:spacing w:after="0" w:line="252" w:lineRule="auto"/>
            </w:pPr>
            <w:r>
              <w:rPr>
                <w:b/>
                <w:sz w:val="20"/>
              </w:rPr>
              <w:t>Rework required</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ferrite-maglev-study.toml;</w:t>
              <w:br/>
              <w:t>lib/​templates/​infrastructure.toml;</w:t>
              <w:br/>
              <w:t>engineering/​ferrite_maglev/​model.py</w:t>
            </w:r>
          </w:p>
        </w:tc>
        <w:tc>
          <w:tcPr>
            <w:tcW w:type="dxa" w:w="5472"/>
            <w:vAlign w:val="center"/>
            <w:tcMar>
              <w:top w:w="85" w:type="dxa"/>
              <w:bottom w:w="85" w:type="dxa"/>
              <w:left w:w="90" w:type="dxa"/>
              <w:right w:w="90" w:type="dxa"/>
            </w:tcMar>
          </w:tcPr>
          <w:p>
            <w:pPr>
              <w:keepLines/>
              <w:spacing w:after="0" w:line="252" w:lineRule="auto"/>
            </w:pPr>
            <w:r>
              <w:rPr>
                <w:b w:val="0"/>
                <w:sz w:val="20"/>
              </w:rPr>
              <w:t>Separate station stators, passive intermediate guideway, onboard support windings and absent onboard traction. Replace the validator rule that rejects powered-route stators with explicit architecture validation.</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engineering/​ferrite_maglev/​data/​requirements.json;</w:t>
              <w:br/>
              <w:t>systems-inventory.json;</w:t>
              <w:br/>
              <w:t>engineering/​ferrite_maglev/​transition.py</w:t>
            </w:r>
          </w:p>
        </w:tc>
        <w:tc>
          <w:tcPr>
            <w:tcW w:type="dxa" w:w="5472"/>
            <w:vAlign w:val="center"/>
            <w:tcMar>
              <w:top w:w="85" w:type="dxa"/>
              <w:bottom w:w="85" w:type="dxa"/>
              <w:left w:w="90" w:type="dxa"/>
              <w:right w:w="90" w:type="dxa"/>
            </w:tcMar>
          </w:tcPr>
          <w:p>
            <w:pPr>
              <w:keepLines/>
              <w:spacing w:after="0" w:line="252" w:lineRule="auto"/>
            </w:pPr>
            <w:r>
              <w:rPr>
                <w:b w:val="0"/>
                <w:sz w:val="20"/>
              </w:rPr>
              <w:t>Replace onboard propulsion and 225 kWh storage requirements with launch/coast/arrival, receiving-station readiness, support and services-energy requirements. Preserve relevant emergency and capture requirements. The inventory file is in the same data directory.</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engineering/​ferrite_maglev/​configuration.py;</w:t>
              <w:br/>
              <w:t>reference-configuration.toml;</w:t>
              <w:br/>
              <w:t>ferrite-maglev-study.toml</w:t>
            </w:r>
          </w:p>
        </w:tc>
        <w:tc>
          <w:tcPr>
            <w:tcW w:type="dxa" w:w="5472"/>
            <w:vAlign w:val="center"/>
            <w:tcMar>
              <w:top w:w="85" w:type="dxa"/>
              <w:bottom w:w="85" w:type="dxa"/>
              <w:left w:w="90" w:type="dxa"/>
              <w:right w:w="90" w:type="dxa"/>
            </w:tcMar>
          </w:tcPr>
          <w:p>
            <w:pPr>
              <w:keepLines/>
              <w:spacing w:after="0" w:line="252" w:lineRule="auto"/>
            </w:pPr>
            <w:r>
              <w:rPr>
                <w:b w:val="0"/>
                <w:sz w:val="20"/>
              </w:rPr>
              <w:t>Split the combined 2,700 kg equipment allocation into retained support/guidance and deleted traction. Update storage, charger power and mass closure. The reference configuration is in engineering/ferrite_maglev.</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engineering/​ferrite_maglev/​model.py;</w:t>
              <w:br/>
              <w:t>cities.py;</w:t>
              <w:br/>
              <w:t>optimisation.py;</w:t>
              <w:br/>
              <w:t>optimisation.toml</w:t>
            </w:r>
          </w:p>
        </w:tc>
        <w:tc>
          <w:tcPr>
            <w:tcW w:type="dxa" w:w="5472"/>
            <w:vAlign w:val="center"/>
            <w:tcMar>
              <w:top w:w="85" w:type="dxa"/>
              <w:bottom w:w="85" w:type="dxa"/>
              <w:left w:w="90" w:type="dxa"/>
              <w:right w:w="90" w:type="dxa"/>
            </w:tcMar>
          </w:tcPr>
          <w:p>
            <w:pPr>
              <w:keepLines/>
              <w:spacing w:after="0" w:line="252" w:lineRule="auto"/>
            </w:pPr>
            <w:r>
              <w:rPr>
                <w:b w:val="0"/>
                <w:sz w:val="20"/>
              </w:rPr>
              <w:t>Add jerk-limited launch/coast/brake, actual six-car overlap, fixed/routed winding groups, phase-current/voltage limits, brake heat and both-direction power/charging timelines. Optimize runtime, force density, geometry and installed channels together. Propagate exact protected-zone clearance to dwell, headway and fleet. The last three files are in the same engineering directory.</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engineering/​ferrite_maglev/​geometry.py;</w:t>
              <w:br/>
              <w:t>field.py;</w:t>
              <w:br/>
              <w:t>reference_assembly.py</w:t>
            </w:r>
          </w:p>
        </w:tc>
        <w:tc>
          <w:tcPr>
            <w:tcW w:type="dxa" w:w="5472"/>
            <w:vAlign w:val="center"/>
            <w:tcMar>
              <w:top w:w="85" w:type="dxa"/>
              <w:bottom w:w="85" w:type="dxa"/>
              <w:left w:w="90" w:type="dxa"/>
              <w:right w:w="90" w:type="dxa"/>
            </w:tcMar>
          </w:tcPr>
          <w:p>
            <w:pPr>
              <w:keepLines/>
              <w:spacing w:after="0" w:line="252" w:lineRule="auto"/>
            </w:pPr>
            <w:r>
              <w:rPr>
                <w:b w:val="0"/>
                <w:sz w:val="20"/>
              </w:rPr>
              <w:t>Add composite layups, orthotropic property cards, distributed body hardpoints and complete equipped-body quantities. Generate each magnet orientation and geometry; add station windings, shared-interface alternatives and validated force/loss maps.</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crates/​osr-maglev-control/​src/​array.rs;</w:t>
              <w:br/>
              <w:t>engineering/​ferrite_maglev/​coupled.py;</w:t>
              <w:br/>
              <w:t>deployment/​maglev.toml</w:t>
            </w:r>
          </w:p>
        </w:tc>
        <w:tc>
          <w:tcPr>
            <w:tcW w:type="dxa" w:w="5472"/>
            <w:vAlign w:val="center"/>
            <w:tcMar>
              <w:top w:w="85" w:type="dxa"/>
              <w:bottom w:w="85" w:type="dxa"/>
              <w:left w:w="90" w:type="dxa"/>
              <w:right w:w="90" w:type="dxa"/>
            </w:tcMar>
          </w:tcPr>
          <w:p>
            <w:pPr>
              <w:keepLines/>
              <w:spacing w:after="0" w:line="252" w:lineRule="auto"/>
            </w:pPr>
            <w:r>
              <w:rPr>
                <w:b w:val="0"/>
                <w:sz w:val="20"/>
              </w:rPr>
              <w:t>Add the station longitudinal actuator, physical plant and hardware adapter. Extend the existing vertical demonstration to six cars and station transitions; keep onboard support control independent.</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crates/​osr-interlocking/​src/​resources.rs;</w:t>
              <w:br/>
              <w:t>resource_log.rs;</w:t>
              <w:br/>
              <w:t>ma.rs;</w:t>
              <w:br/>
              <w:t>kani_proofs.rs;</w:t>
              <w:br/>
              <w:t>crates/​osr-interlocking/​tests/​resource_protocol.rs</w:t>
            </w:r>
          </w:p>
        </w:tc>
        <w:tc>
          <w:tcPr>
            <w:tcW w:type="dxa" w:w="5472"/>
            <w:vAlign w:val="center"/>
            <w:tcMar>
              <w:top w:w="85" w:type="dxa"/>
              <w:bottom w:w="85" w:type="dxa"/>
              <w:left w:w="90" w:type="dxa"/>
              <w:right w:w="90" w:type="dxa"/>
            </w:tcMar>
          </w:tcPr>
          <w:p>
            <w:pPr>
              <w:keepLines/>
              <w:spacing w:after="0" w:line="252" w:lineRule="auto"/>
            </w:pPr>
            <w:r>
              <w:rPr>
                <w:b w:val="0"/>
                <w:sz w:val="20"/>
              </w:rPr>
              <w:t>Reuse persistent ownership. Add atomic corridor/berth launch reservation, post-commit semantics, receiver-fault handling and full-tail clearance tests/proofs. Four named source files share the src directory.</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engineering/​ferrite_maglev/​geometry.py;</w:t>
              <w:br/>
              <w:t>model.py;</w:t>
              <w:br/>
              <w:t>configuration.py;</w:t>
              <w:br/>
              <w:t>optimisation.py</w:t>
            </w:r>
          </w:p>
        </w:tc>
        <w:tc>
          <w:tcPr>
            <w:tcW w:type="dxa" w:w="5472"/>
            <w:vAlign w:val="center"/>
            <w:tcMar>
              <w:top w:w="85" w:type="dxa"/>
              <w:bottom w:w="85" w:type="dxa"/>
              <w:left w:w="90" w:type="dxa"/>
              <w:right w:w="90" w:type="dxa"/>
            </w:tcMar>
          </w:tcPr>
          <w:p>
            <w:pPr>
              <w:keepLines/>
              <w:spacing w:after="0" w:line="252" w:lineRule="auto"/>
            </w:pPr>
            <w:r>
              <w:rPr>
                <w:b w:val="0"/>
                <w:sz w:val="20"/>
              </w:rPr>
              <w:t>Add balanced/narrow/20/30 m beam families, end blocks, reinforcement and prestress, hollow columns, cap connections and ground-specific foundations. Replace the solid support envelopes and compare full stiffness, loaded reactions and construction stages. Propagate actual quantities rather than a blanket weight factor.</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engineering/​ferrite_maglev/​manufacturing.py;</w:t>
              <w:br/>
              <w:t>data/​cost-rates.json</w:t>
            </w:r>
          </w:p>
        </w:tc>
        <w:tc>
          <w:tcPr>
            <w:tcW w:type="dxa" w:w="5472"/>
            <w:vAlign w:val="center"/>
            <w:tcMar>
              <w:top w:w="85" w:type="dxa"/>
              <w:bottom w:w="85" w:type="dxa"/>
              <w:left w:w="90" w:type="dxa"/>
              <w:right w:w="90" w:type="dxa"/>
            </w:tcMar>
          </w:tcPr>
          <w:p>
            <w:pPr>
              <w:keepLines/>
              <w:spacing w:after="0" w:line="252" w:lineRule="auto"/>
            </w:pPr>
            <w:r>
              <w:rPr>
                <w:b w:val="0"/>
                <w:sz w:val="20"/>
              </w:rPr>
              <w:t>Separate train support/traction and station equipment. Add foundation-family, column, cap, connectors, transport, crane, mould/tooling and QA rates with quantity evidence; retain central, narrow and conditional-rail targets. Preserve missing-cost fields and common exclusions.</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deployment/​erpnext/​apps/​osr_erpnext/​osr_erpnext/​engineering_identity.py;</w:t>
              <w:br/>
              <w:t>construction_execution.py;</w:t>
              <w:br/>
              <w:t>construction_fleet.py;</w:t>
              <w:br/>
              <w:t>deployment/​supervision/​README.md</w:t>
            </w:r>
          </w:p>
        </w:tc>
        <w:tc>
          <w:tcPr>
            <w:tcW w:type="dxa" w:w="5472"/>
            <w:vAlign w:val="center"/>
            <w:tcMar>
              <w:top w:w="85" w:type="dxa"/>
              <w:bottom w:w="85" w:type="dxa"/>
              <w:left w:w="90" w:type="dxa"/>
              <w:right w:w="90" w:type="dxa"/>
            </w:tcMar>
          </w:tcPr>
          <w:p>
            <w:pPr>
              <w:keepLines/>
              <w:spacing w:after="0" w:line="252" w:lineRule="auto"/>
            </w:pPr>
            <w:r>
              <w:rPr>
                <w:b w:val="0"/>
                <w:sz w:val="20"/>
              </w:rPr>
              <w:t>Extend IDs to civil BOMs, ground evidence, mould occupancy, cure/release, deliveries, crane picks, joints and survey acceptance. Model two shifts, buffers, bottleneck throughput and actual unit costs. Preserve the observation/control boundary. The two construction files share the engineering_identity.py directory.</w:t>
            </w:r>
          </w:p>
        </w:tc>
      </w:tr>
      <w:tr>
        <w:trPr>
          <w:cantSplit/>
        </w:trPr>
        <w:tc>
          <w:tcPr>
            <w:tcW w:type="dxa" w:w="4320"/>
            <w:vAlign w:val="center"/>
            <w:tcMar>
              <w:top w:w="85" w:type="dxa"/>
              <w:bottom w:w="85" w:type="dxa"/>
              <w:left w:w="90" w:type="dxa"/>
              <w:right w:w="90" w:type="dxa"/>
            </w:tcMar>
          </w:tcPr>
          <w:p>
            <w:pPr>
              <w:keepLines/>
              <w:spacing w:after="0" w:line="252" w:lineRule="auto"/>
            </w:pPr>
            <w:r>
              <w:rPr>
                <w:b w:val="0"/>
                <w:sz w:val="20"/>
              </w:rPr>
              <w:t>engineering/​ferrite_maglev/​workflow.py;</w:t>
              <w:br/>
              <w:t>delivery.py;</w:t>
              <w:br/>
              <w:t>README.md</w:t>
            </w:r>
          </w:p>
        </w:tc>
        <w:tc>
          <w:tcPr>
            <w:tcW w:type="dxa" w:w="5472"/>
            <w:vAlign w:val="center"/>
            <w:tcMar>
              <w:top w:w="85" w:type="dxa"/>
              <w:bottom w:w="85" w:type="dxa"/>
              <w:left w:w="90" w:type="dxa"/>
              <w:right w:w="90" w:type="dxa"/>
            </w:tcMar>
          </w:tcPr>
          <w:p>
            <w:pPr>
              <w:keepLines/>
              <w:spacing w:after="0" w:line="252" w:lineRule="auto"/>
            </w:pPr>
            <w:r>
              <w:rPr>
                <w:b w:val="0"/>
                <w:sz w:val="20"/>
              </w:rPr>
              <w:t>Add source dependencies and evidence invalidation, regenerate outputs and remove stale drive/charging statements only after the new model is implemented.</w:t>
            </w:r>
          </w:p>
        </w:tc>
      </w:tr>
    </w:tbl>
    <w:p>
      <w:pPr>
        <w:spacing w:after="40"/>
      </w:pPr>
    </w:p>
    <w:p>
      <w:pPr/>
      <w:r>
        <w:rPr>
          <w:b w:val="0"/>
        </w:rPr>
        <w:t>The current source still selects onboard PM-and-winding propulsion, a 225 kWh/car primary battery, a 600 kW/car motoring cap and large traction-oriented charging cases. The current Rust support allocator does not have a longitudinal actuator. These are substantive code/schema changes rather than a visual rebrand.</w:t>
      </w:r>
    </w:p>
    <w:p>
      <w:pPr>
        <w:pStyle w:val="Heading1"/>
        <w:pageBreakBefore w:val="0"/>
      </w:pPr>
      <w:r>
        <w:t>Cost reconciliation</w:t>
      </w:r>
    </w:p>
    <w:p>
      <w:pPr/>
      <w:r>
        <w:rPr>
          <w:b w:val="0"/>
        </w:rPr>
        <w:t>This first table isolates the battery change in manufacturing.vehicle(). It retains the USD 270,000/train magnetic-equipment allowance and all other priced equipment. The battery-only mass is 16.8 t/car; the preceding station-powered study assumed a further 1.4 t/car equipment reduction to 15.4 t. The central GFRP revision removes another 1.2 t from the equipped-body budget, giving 14.2 t. None of these allowances is a complete production quotation.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cantSplit/>
          <w:tblHeader/>
        </w:trPr>
        <w:tc>
          <w:tcPr>
            <w:tcW w:type="dxa" w:w="5328"/>
            <w:vAlign w:val="center"/>
            <w:tcMar>
              <w:top w:w="85" w:type="dxa"/>
              <w:bottom w:w="85" w:type="dxa"/>
              <w:left w:w="90" w:type="dxa"/>
              <w:right w:w="90" w:type="dxa"/>
            </w:tcMar>
            <w:shd w:fill="F2F2F2"/>
          </w:tcPr>
          <w:p>
            <w:pPr>
              <w:keepNext/>
              <w:keepLines/>
              <w:spacing w:after="0" w:line="252" w:lineRule="auto"/>
            </w:pPr>
            <w:r>
              <w:rPr>
                <w:b/>
                <w:sz w:val="20"/>
              </w:rPr>
              <w:t>Cost item</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225 kWh per car</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30 kWh per car</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Total battery capacity per train</w:t>
            </w:r>
          </w:p>
        </w:tc>
        <w:tc>
          <w:tcPr>
            <w:tcW w:type="dxa" w:w="2232"/>
            <w:vAlign w:val="center"/>
            <w:tcMar>
              <w:top w:w="85" w:type="dxa"/>
              <w:bottom w:w="85" w:type="dxa"/>
              <w:left w:w="90" w:type="dxa"/>
              <w:right w:w="90" w:type="dxa"/>
            </w:tcMar>
          </w:tcPr>
          <w:p>
            <w:pPr>
              <w:keepLines/>
              <w:spacing w:after="0" w:line="252" w:lineRule="auto"/>
            </w:pPr>
            <w:r>
              <w:rPr>
                <w:b w:val="0"/>
                <w:sz w:val="20"/>
              </w:rPr>
              <w:t>1,350 kWh</w:t>
            </w:r>
          </w:p>
        </w:tc>
        <w:tc>
          <w:tcPr>
            <w:tcW w:type="dxa" w:w="2232"/>
            <w:vAlign w:val="center"/>
            <w:tcMar>
              <w:top w:w="85" w:type="dxa"/>
              <w:bottom w:w="85" w:type="dxa"/>
              <w:left w:w="90" w:type="dxa"/>
              <w:right w:w="90" w:type="dxa"/>
            </w:tcMar>
          </w:tcPr>
          <w:p>
            <w:pPr>
              <w:keepLines/>
              <w:spacing w:after="0" w:line="252" w:lineRule="auto"/>
            </w:pPr>
            <w:r>
              <w:rPr>
                <w:b w:val="0"/>
                <w:sz w:val="20"/>
              </w:rPr>
              <w:t>180 kWh</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Battery allowance at USD 120/kWh</w:t>
            </w:r>
          </w:p>
        </w:tc>
        <w:tc>
          <w:tcPr>
            <w:tcW w:type="dxa" w:w="2232"/>
            <w:vAlign w:val="center"/>
            <w:tcMar>
              <w:top w:w="85" w:type="dxa"/>
              <w:bottom w:w="85" w:type="dxa"/>
              <w:left w:w="90" w:type="dxa"/>
              <w:right w:w="90" w:type="dxa"/>
            </w:tcMar>
          </w:tcPr>
          <w:p>
            <w:pPr>
              <w:keepLines/>
              <w:spacing w:after="0" w:line="252" w:lineRule="auto"/>
            </w:pPr>
            <w:r>
              <w:rPr>
                <w:b w:val="0"/>
                <w:sz w:val="20"/>
              </w:rPr>
              <w:t>USD 162,000</w:t>
            </w:r>
          </w:p>
        </w:tc>
        <w:tc>
          <w:tcPr>
            <w:tcW w:type="dxa" w:w="2232"/>
            <w:vAlign w:val="center"/>
            <w:tcMar>
              <w:top w:w="85" w:type="dxa"/>
              <w:bottom w:w="85" w:type="dxa"/>
              <w:left w:w="90" w:type="dxa"/>
              <w:right w:w="90" w:type="dxa"/>
            </w:tcMar>
          </w:tcPr>
          <w:p>
            <w:pPr>
              <w:keepLines/>
              <w:spacing w:after="0" w:line="252" w:lineRule="auto"/>
            </w:pPr>
            <w:r>
              <w:rPr>
                <w:b w:val="0"/>
                <w:sz w:val="20"/>
              </w:rPr>
              <w:t>USD 21,600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Other priced rows unchanged</w:t>
            </w:r>
          </w:p>
        </w:tc>
        <w:tc>
          <w:tcPr>
            <w:tcW w:type="dxa" w:w="2232"/>
            <w:vAlign w:val="center"/>
            <w:tcMar>
              <w:top w:w="85" w:type="dxa"/>
              <w:bottom w:w="85" w:type="dxa"/>
              <w:left w:w="90" w:type="dxa"/>
              <w:right w:w="90" w:type="dxa"/>
            </w:tcMar>
          </w:tcPr>
          <w:p>
            <w:pPr>
              <w:keepLines/>
              <w:spacing w:after="0" w:line="252" w:lineRule="auto"/>
            </w:pPr>
            <w:r>
              <w:rPr>
                <w:b w:val="0"/>
                <w:sz w:val="20"/>
              </w:rPr>
              <w:t>USD 962,100</w:t>
            </w:r>
          </w:p>
        </w:tc>
        <w:tc>
          <w:tcPr>
            <w:tcW w:type="dxa" w:w="2232"/>
            <w:vAlign w:val="center"/>
            <w:tcMar>
              <w:top w:w="85" w:type="dxa"/>
              <w:bottom w:w="85" w:type="dxa"/>
              <w:left w:w="90" w:type="dxa"/>
              <w:right w:w="90" w:type="dxa"/>
            </w:tcMar>
          </w:tcPr>
          <w:p>
            <w:pPr>
              <w:keepLines/>
              <w:spacing w:after="0" w:line="252" w:lineRule="auto"/>
            </w:pPr>
            <w:r>
              <w:rPr>
                <w:b w:val="0"/>
                <w:sz w:val="20"/>
              </w:rPr>
              <w:t>USD 962,100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Priced scope subtotal</w:t>
            </w:r>
          </w:p>
        </w:tc>
        <w:tc>
          <w:tcPr>
            <w:tcW w:type="dxa" w:w="2232"/>
            <w:vAlign w:val="center"/>
            <w:tcMar>
              <w:top w:w="85" w:type="dxa"/>
              <w:bottom w:w="85" w:type="dxa"/>
              <w:left w:w="90" w:type="dxa"/>
              <w:right w:w="90" w:type="dxa"/>
            </w:tcMar>
          </w:tcPr>
          <w:p>
            <w:pPr>
              <w:keepLines/>
              <w:spacing w:after="0" w:line="252" w:lineRule="auto"/>
            </w:pPr>
            <w:r>
              <w:rPr>
                <w:b w:val="0"/>
                <w:sz w:val="20"/>
              </w:rPr>
              <w:t>USD 1,124,100</w:t>
            </w:r>
          </w:p>
        </w:tc>
        <w:tc>
          <w:tcPr>
            <w:tcW w:type="dxa" w:w="2232"/>
            <w:vAlign w:val="center"/>
            <w:tcMar>
              <w:top w:w="85" w:type="dxa"/>
              <w:bottom w:w="85" w:type="dxa"/>
              <w:left w:w="90" w:type="dxa"/>
              <w:right w:w="90" w:type="dxa"/>
            </w:tcMar>
          </w:tcPr>
          <w:p>
            <w:pPr>
              <w:keepLines/>
              <w:spacing w:after="0" w:line="252" w:lineRule="auto"/>
            </w:pPr>
            <w:r>
              <w:rPr>
                <w:b w:val="0"/>
                <w:sz w:val="20"/>
              </w:rPr>
              <w:t>USD 983,700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Integration reserve at 20%</w:t>
            </w:r>
          </w:p>
        </w:tc>
        <w:tc>
          <w:tcPr>
            <w:tcW w:type="dxa" w:w="2232"/>
            <w:vAlign w:val="center"/>
            <w:tcMar>
              <w:top w:w="85" w:type="dxa"/>
              <w:bottom w:w="85" w:type="dxa"/>
              <w:left w:w="90" w:type="dxa"/>
              <w:right w:w="90" w:type="dxa"/>
            </w:tcMar>
          </w:tcPr>
          <w:p>
            <w:pPr>
              <w:keepLines/>
              <w:spacing w:after="0" w:line="252" w:lineRule="auto"/>
            </w:pPr>
            <w:r>
              <w:rPr>
                <w:b w:val="0"/>
                <w:sz w:val="20"/>
              </w:rPr>
              <w:t>USD 224,820</w:t>
            </w:r>
          </w:p>
        </w:tc>
        <w:tc>
          <w:tcPr>
            <w:tcW w:type="dxa" w:w="2232"/>
            <w:vAlign w:val="center"/>
            <w:tcMar>
              <w:top w:w="85" w:type="dxa"/>
              <w:bottom w:w="85" w:type="dxa"/>
              <w:left w:w="90" w:type="dxa"/>
              <w:right w:w="90" w:type="dxa"/>
            </w:tcMar>
          </w:tcPr>
          <w:p>
            <w:pPr>
              <w:keepLines/>
              <w:spacing w:after="0" w:line="252" w:lineRule="auto"/>
            </w:pPr>
            <w:r>
              <w:rPr>
                <w:b w:val="0"/>
                <w:sz w:val="20"/>
              </w:rPr>
              <w:t>USD 196,740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Repeat train allowance</w:t>
            </w:r>
          </w:p>
        </w:tc>
        <w:tc>
          <w:tcPr>
            <w:tcW w:type="dxa" w:w="2232"/>
            <w:vAlign w:val="center"/>
            <w:tcMar>
              <w:top w:w="85" w:type="dxa"/>
              <w:bottom w:w="85" w:type="dxa"/>
              <w:left w:w="90" w:type="dxa"/>
              <w:right w:w="90" w:type="dxa"/>
            </w:tcMar>
          </w:tcPr>
          <w:p>
            <w:pPr>
              <w:keepLines/>
              <w:spacing w:after="0" w:line="252" w:lineRule="auto"/>
            </w:pPr>
            <w:r>
              <w:rPr>
                <w:b w:val="0"/>
                <w:sz w:val="20"/>
              </w:rPr>
              <w:t>USD 1,348,920</w:t>
            </w:r>
          </w:p>
        </w:tc>
        <w:tc>
          <w:tcPr>
            <w:tcW w:type="dxa" w:w="2232"/>
            <w:vAlign w:val="center"/>
            <w:tcMar>
              <w:top w:w="85" w:type="dxa"/>
              <w:bottom w:w="85" w:type="dxa"/>
              <w:left w:w="90" w:type="dxa"/>
              <w:right w:w="90" w:type="dxa"/>
            </w:tcMar>
          </w:tcPr>
          <w:p>
            <w:pPr>
              <w:keepLines/>
              <w:spacing w:after="0" w:line="252" w:lineRule="auto"/>
            </w:pPr>
            <w:r>
              <w:rPr>
                <w:b w:val="0"/>
                <w:sz w:val="20"/>
              </w:rPr>
              <w:t>USD 1,180,440</w:t>
            </w:r>
          </w:p>
        </w:tc>
      </w:tr>
    </w:tbl>
    <w:p>
      <w:pPr>
        <w:spacing w:after="40"/>
      </w:pPr>
    </w:p>
    <w:p>
      <w:pPr/>
      <w:r>
        <w:rPr>
          <w:b w:val="0"/>
        </w:rPr>
        <w:t>The USD 168,480 difference comprises USD 140,400 battery allowance plus USD 28,080 reduced integration reserve. Complete evacuation equipment, development/qualification, factory capital, warranty/initial spares, tax/duty/freight/finance and new station propulsion are not established by this comparison.</w:t>
      </w:r>
    </w:p>
    <w:p>
      <w:pPr/>
      <w:r>
        <w:rPr>
          <w:b w:val="0"/>
        </w:rPr>
        <w:t>The finished-body allowance is currently per car rather than derived from material quantities. Lower weight does not automatically reduce doors, windows, bought fittings, tooling, process time or quality costs. The following body-cost percentages are deliberately assumed sensitivities. All other priced rows remain unchanged, except the conditional 2.852 t ferrite case, and the same 20% reserve is applied.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cantSplit/>
          <w:tblHeader/>
        </w:trPr>
        <w:tc>
          <w:tcPr>
            <w:tcW w:type="dxa" w:w="5328"/>
            <w:vAlign w:val="center"/>
            <w:tcMar>
              <w:top w:w="85" w:type="dxa"/>
              <w:bottom w:w="85" w:type="dxa"/>
              <w:left w:w="90" w:type="dxa"/>
              <w:right w:w="90" w:type="dxa"/>
            </w:tcMar>
            <w:shd w:fill="F2F2F2"/>
          </w:tcPr>
          <w:p>
            <w:pPr>
              <w:keepNext/>
              <w:keepLines/>
              <w:spacing w:after="0" w:line="252" w:lineRule="auto"/>
            </w:pPr>
            <w:r>
              <w:rPr>
                <w:b/>
                <w:sz w:val="20"/>
              </w:rPr>
              <w:t>Assumed equipped-body cost change</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Body allowance/car</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Six-car priced scope after conditional ferrite resizing</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No body-cost reduction</w:t>
            </w:r>
          </w:p>
        </w:tc>
        <w:tc>
          <w:tcPr>
            <w:tcW w:type="dxa" w:w="2232"/>
            <w:vAlign w:val="center"/>
            <w:tcMar>
              <w:top w:w="85" w:type="dxa"/>
              <w:bottom w:w="85" w:type="dxa"/>
              <w:left w:w="90" w:type="dxa"/>
              <w:right w:w="90" w:type="dxa"/>
            </w:tcMar>
          </w:tcPr>
          <w:p>
            <w:pPr>
              <w:keepLines/>
              <w:spacing w:after="0" w:line="252" w:lineRule="auto"/>
            </w:pPr>
            <w:r>
              <w:rPr>
                <w:b w:val="0"/>
                <w:sz w:val="20"/>
              </w:rPr>
              <w:t>USD 64,000</w:t>
            </w:r>
          </w:p>
        </w:tc>
        <w:tc>
          <w:tcPr>
            <w:tcW w:type="dxa" w:w="2232"/>
            <w:vAlign w:val="center"/>
            <w:tcMar>
              <w:top w:w="85" w:type="dxa"/>
              <w:bottom w:w="85" w:type="dxa"/>
              <w:left w:w="90" w:type="dxa"/>
              <w:right w:w="90" w:type="dxa"/>
            </w:tcMar>
          </w:tcPr>
          <w:p>
            <w:pPr>
              <w:keepLines/>
              <w:spacing w:after="0" w:line="252" w:lineRule="auto"/>
            </w:pPr>
            <w:r>
              <w:rPr>
                <w:b w:val="0"/>
                <w:sz w:val="20"/>
              </w:rPr>
              <w:t>USD 1,177,961</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5% body-cost reduction</w:t>
            </w:r>
          </w:p>
        </w:tc>
        <w:tc>
          <w:tcPr>
            <w:tcW w:type="dxa" w:w="2232"/>
            <w:vAlign w:val="center"/>
            <w:tcMar>
              <w:top w:w="85" w:type="dxa"/>
              <w:bottom w:w="85" w:type="dxa"/>
              <w:left w:w="90" w:type="dxa"/>
              <w:right w:w="90" w:type="dxa"/>
            </w:tcMar>
          </w:tcPr>
          <w:p>
            <w:pPr>
              <w:keepLines/>
              <w:spacing w:after="0" w:line="252" w:lineRule="auto"/>
            </w:pPr>
            <w:r>
              <w:rPr>
                <w:b w:val="0"/>
                <w:sz w:val="20"/>
              </w:rPr>
              <w:t>USD 60,800</w:t>
            </w:r>
          </w:p>
        </w:tc>
        <w:tc>
          <w:tcPr>
            <w:tcW w:type="dxa" w:w="2232"/>
            <w:vAlign w:val="center"/>
            <w:tcMar>
              <w:top w:w="85" w:type="dxa"/>
              <w:bottom w:w="85" w:type="dxa"/>
              <w:left w:w="90" w:type="dxa"/>
              <w:right w:w="90" w:type="dxa"/>
            </w:tcMar>
          </w:tcPr>
          <w:p>
            <w:pPr>
              <w:keepLines/>
              <w:spacing w:after="0" w:line="252" w:lineRule="auto"/>
            </w:pPr>
            <w:r>
              <w:rPr>
                <w:b w:val="0"/>
                <w:sz w:val="20"/>
              </w:rPr>
              <w:t>USD 1,154,921</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10% body-cost reduction</w:t>
            </w:r>
          </w:p>
        </w:tc>
        <w:tc>
          <w:tcPr>
            <w:tcW w:type="dxa" w:w="2232"/>
            <w:vAlign w:val="center"/>
            <w:tcMar>
              <w:top w:w="85" w:type="dxa"/>
              <w:bottom w:w="85" w:type="dxa"/>
              <w:left w:w="90" w:type="dxa"/>
              <w:right w:w="90" w:type="dxa"/>
            </w:tcMar>
          </w:tcPr>
          <w:p>
            <w:pPr>
              <w:keepLines/>
              <w:spacing w:after="0" w:line="252" w:lineRule="auto"/>
            </w:pPr>
            <w:r>
              <w:rPr>
                <w:b w:val="0"/>
                <w:sz w:val="20"/>
              </w:rPr>
              <w:t>USD 57,600</w:t>
            </w:r>
          </w:p>
        </w:tc>
        <w:tc>
          <w:tcPr>
            <w:tcW w:type="dxa" w:w="2232"/>
            <w:vAlign w:val="center"/>
            <w:tcMar>
              <w:top w:w="85" w:type="dxa"/>
              <w:bottom w:w="85" w:type="dxa"/>
              <w:left w:w="90" w:type="dxa"/>
              <w:right w:w="90" w:type="dxa"/>
            </w:tcMar>
          </w:tcPr>
          <w:p>
            <w:pPr>
              <w:keepLines/>
              <w:spacing w:after="0" w:line="252" w:lineRule="auto"/>
            </w:pPr>
            <w:r>
              <w:rPr>
                <w:b w:val="0"/>
                <w:sz w:val="20"/>
              </w:rPr>
              <w:t>USD 1,131,881</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20% body-cost reduction</w:t>
            </w:r>
          </w:p>
        </w:tc>
        <w:tc>
          <w:tcPr>
            <w:tcW w:type="dxa" w:w="2232"/>
            <w:vAlign w:val="center"/>
            <w:tcMar>
              <w:top w:w="85" w:type="dxa"/>
              <w:bottom w:w="85" w:type="dxa"/>
              <w:left w:w="90" w:type="dxa"/>
              <w:right w:w="90" w:type="dxa"/>
            </w:tcMar>
          </w:tcPr>
          <w:p>
            <w:pPr>
              <w:keepLines/>
              <w:spacing w:after="0" w:line="252" w:lineRule="auto"/>
            </w:pPr>
            <w:r>
              <w:rPr>
                <w:b w:val="0"/>
                <w:sz w:val="20"/>
              </w:rPr>
              <w:t>USD 51,200</w:t>
            </w:r>
          </w:p>
        </w:tc>
        <w:tc>
          <w:tcPr>
            <w:tcW w:type="dxa" w:w="2232"/>
            <w:vAlign w:val="center"/>
            <w:tcMar>
              <w:top w:w="85" w:type="dxa"/>
              <w:bottom w:w="85" w:type="dxa"/>
              <w:left w:w="90" w:type="dxa"/>
              <w:right w:w="90" w:type="dxa"/>
            </w:tcMar>
          </w:tcPr>
          <w:p>
            <w:pPr>
              <w:keepLines/>
              <w:spacing w:after="0" w:line="252" w:lineRule="auto"/>
            </w:pPr>
            <w:r>
              <w:rPr>
                <w:b w:val="0"/>
                <w:sz w:val="20"/>
              </w:rPr>
              <w:t>USD 1,085,801</w:t>
            </w:r>
          </w:p>
        </w:tc>
      </w:tr>
    </w:tbl>
    <w:p>
      <w:pPr>
        <w:spacing w:after="40"/>
      </w:pPr>
    </w:p>
    <w:p>
      <w:pPr/>
      <w:r>
        <w:rPr>
          <w:b w:val="0"/>
        </w:rPr>
        <w:t>For example, a USD 1,000/car body/process reduction changes the six-car allowance by USD 7,200 including reserve. A 100 kg/car ferrite reduction changes it by only USD 1,680. Lower-mass composite manufacture can cost more during early development or at low production volume; process simplicity and tooling amortization must be measured separately from installed mass.</w:t>
      </w:r>
    </w:p>
    <w:p>
      <w:pPr>
        <w:pStyle w:val="Heading2"/>
      </w:pPr>
      <w:r>
        <w:t>Civil cost targets and savings attribution</w:t>
      </w:r>
    </w:p>
    <w:p>
      <w:pPr/>
      <w:r>
        <w:rPr>
          <w:b w:val="0"/>
        </w:rPr>
        <w:t>All amounts below are USD per two-direction route-km, averaged over a continuous ordinary 25 m route. The current source already has one narrow beam per direction. Its USD 4.255 million no-walkway subtotal is an incomplete priced scope with assumed rates; it is not a completed conventional-light-rail or railway price. The central target uses 0.57 m² effective beam area, 1,140 m³ beam concrete, 40 shared supports and 80 beam lifts. It retains all 600.47 t of current passive iron. [R32]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cantSplit/>
          <w:tblHeader/>
        </w:trPr>
        <w:tc>
          <w:tcPr>
            <w:tcW w:type="dxa" w:w="5328"/>
            <w:vAlign w:val="center"/>
            <w:tcMar>
              <w:top w:w="85" w:type="dxa"/>
              <w:bottom w:w="85" w:type="dxa"/>
              <w:left w:w="90" w:type="dxa"/>
              <w:right w:w="90" w:type="dxa"/>
            </w:tcMar>
            <w:shd w:fill="F2F2F2"/>
          </w:tcPr>
          <w:p>
            <w:pPr>
              <w:keepNext/>
              <w:keepLines/>
              <w:spacing w:after="0" w:line="252" w:lineRule="auto"/>
            </w:pPr>
            <w:r>
              <w:rPr>
                <w:b/>
                <w:sz w:val="20"/>
              </w:rPr>
              <w:t>Cost row</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Current allowance, USD</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Central target, USD</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Beam concrete, cast/cure</w:t>
            </w:r>
          </w:p>
        </w:tc>
        <w:tc>
          <w:tcPr>
            <w:tcW w:type="dxa" w:w="2232"/>
            <w:vAlign w:val="center"/>
            <w:tcMar>
              <w:top w:w="85" w:type="dxa"/>
              <w:bottom w:w="85" w:type="dxa"/>
              <w:left w:w="90" w:type="dxa"/>
              <w:right w:w="90" w:type="dxa"/>
            </w:tcMar>
          </w:tcPr>
          <w:p>
            <w:pPr>
              <w:keepLines/>
              <w:spacing w:after="0" w:line="252" w:lineRule="auto"/>
            </w:pPr>
            <w:r>
              <w:rPr>
                <w:b w:val="0"/>
                <w:sz w:val="20"/>
              </w:rPr>
              <w:t>290,400</w:t>
            </w:r>
          </w:p>
        </w:tc>
        <w:tc>
          <w:tcPr>
            <w:tcW w:type="dxa" w:w="2232"/>
            <w:vAlign w:val="center"/>
            <w:tcMar>
              <w:top w:w="85" w:type="dxa"/>
              <w:bottom w:w="85" w:type="dxa"/>
              <w:left w:w="90" w:type="dxa"/>
              <w:right w:w="90" w:type="dxa"/>
            </w:tcMar>
          </w:tcPr>
          <w:p>
            <w:pPr>
              <w:keepLines/>
              <w:spacing w:after="0" w:line="252" w:lineRule="auto"/>
            </w:pPr>
            <w:r>
              <w:rPr>
                <w:b w:val="0"/>
                <w:sz w:val="20"/>
              </w:rPr>
              <w:t>250,800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Reinforcement intensity allowance</w:t>
            </w:r>
          </w:p>
        </w:tc>
        <w:tc>
          <w:tcPr>
            <w:tcW w:type="dxa" w:w="2232"/>
            <w:vAlign w:val="center"/>
            <w:tcMar>
              <w:top w:w="85" w:type="dxa"/>
              <w:bottom w:w="85" w:type="dxa"/>
              <w:left w:w="90" w:type="dxa"/>
              <w:right w:w="90" w:type="dxa"/>
            </w:tcMar>
          </w:tcPr>
          <w:p>
            <w:pPr>
              <w:keepLines/>
              <w:spacing w:after="0" w:line="252" w:lineRule="auto"/>
            </w:pPr>
            <w:r>
              <w:rPr>
                <w:b w:val="0"/>
                <w:sz w:val="20"/>
              </w:rPr>
              <w:t>332,640</w:t>
            </w:r>
          </w:p>
        </w:tc>
        <w:tc>
          <w:tcPr>
            <w:tcW w:type="dxa" w:w="2232"/>
            <w:vAlign w:val="center"/>
            <w:tcMar>
              <w:top w:w="85" w:type="dxa"/>
              <w:bottom w:w="85" w:type="dxa"/>
              <w:left w:w="90" w:type="dxa"/>
              <w:right w:w="90" w:type="dxa"/>
            </w:tcMar>
          </w:tcPr>
          <w:p>
            <w:pPr>
              <w:keepLines/>
              <w:spacing w:after="0" w:line="252" w:lineRule="auto"/>
            </w:pPr>
            <w:r>
              <w:rPr>
                <w:b w:val="0"/>
                <w:sz w:val="20"/>
              </w:rPr>
              <w:t>287,280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Passive magnetic rail</w:t>
            </w:r>
          </w:p>
        </w:tc>
        <w:tc>
          <w:tcPr>
            <w:tcW w:type="dxa" w:w="2232"/>
            <w:vAlign w:val="center"/>
            <w:tcMar>
              <w:top w:w="85" w:type="dxa"/>
              <w:bottom w:w="85" w:type="dxa"/>
              <w:left w:w="90" w:type="dxa"/>
              <w:right w:w="90" w:type="dxa"/>
            </w:tcMar>
          </w:tcPr>
          <w:p>
            <w:pPr>
              <w:keepLines/>
              <w:spacing w:after="0" w:line="252" w:lineRule="auto"/>
            </w:pPr>
            <w:r>
              <w:rPr>
                <w:b w:val="0"/>
                <w:sz w:val="20"/>
              </w:rPr>
              <w:t>1,200,937</w:t>
            </w:r>
          </w:p>
        </w:tc>
        <w:tc>
          <w:tcPr>
            <w:tcW w:type="dxa" w:w="2232"/>
            <w:vAlign w:val="center"/>
            <w:tcMar>
              <w:top w:w="85" w:type="dxa"/>
              <w:bottom w:w="85" w:type="dxa"/>
              <w:left w:w="90" w:type="dxa"/>
              <w:right w:w="90" w:type="dxa"/>
            </w:tcMar>
          </w:tcPr>
          <w:p>
            <w:pPr>
              <w:keepLines/>
              <w:spacing w:after="0" w:line="252" w:lineRule="auto"/>
            </w:pPr>
            <w:r>
              <w:rPr>
                <w:b w:val="0"/>
                <w:sz w:val="20"/>
              </w:rPr>
              <w:t>1,200,937</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Foundation, pier and cap packages</w:t>
            </w:r>
          </w:p>
        </w:tc>
        <w:tc>
          <w:tcPr>
            <w:tcW w:type="dxa" w:w="2232"/>
            <w:vAlign w:val="center"/>
            <w:tcMar>
              <w:top w:w="85" w:type="dxa"/>
              <w:bottom w:w="85" w:type="dxa"/>
              <w:left w:w="90" w:type="dxa"/>
              <w:right w:w="90" w:type="dxa"/>
            </w:tcMar>
          </w:tcPr>
          <w:p>
            <w:pPr>
              <w:keepLines/>
              <w:spacing w:after="0" w:line="252" w:lineRule="auto"/>
            </w:pPr>
            <w:r>
              <w:rPr>
                <w:b w:val="0"/>
                <w:sz w:val="20"/>
              </w:rPr>
              <w:t>1,400,000</w:t>
            </w:r>
          </w:p>
        </w:tc>
        <w:tc>
          <w:tcPr>
            <w:tcW w:type="dxa" w:w="2232"/>
            <w:vAlign w:val="center"/>
            <w:tcMar>
              <w:top w:w="85" w:type="dxa"/>
              <w:bottom w:w="85" w:type="dxa"/>
              <w:left w:w="90" w:type="dxa"/>
              <w:right w:w="90" w:type="dxa"/>
            </w:tcMar>
          </w:tcPr>
          <w:p>
            <w:pPr>
              <w:keepLines/>
              <w:spacing w:after="0" w:line="252" w:lineRule="auto"/>
            </w:pPr>
            <w:r>
              <w:rPr>
                <w:b w:val="0"/>
                <w:sz w:val="20"/>
              </w:rPr>
              <w:t>880,000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Beam delivery</w:t>
            </w:r>
          </w:p>
        </w:tc>
        <w:tc>
          <w:tcPr>
            <w:tcW w:type="dxa" w:w="2232"/>
            <w:vAlign w:val="center"/>
            <w:tcMar>
              <w:top w:w="85" w:type="dxa"/>
              <w:bottom w:w="85" w:type="dxa"/>
              <w:left w:w="90" w:type="dxa"/>
              <w:right w:w="90" w:type="dxa"/>
            </w:tcMar>
          </w:tcPr>
          <w:p>
            <w:pPr>
              <w:keepLines/>
              <w:spacing w:after="0" w:line="252" w:lineRule="auto"/>
            </w:pPr>
            <w:r>
              <w:rPr>
                <w:b w:val="0"/>
                <w:sz w:val="20"/>
              </w:rPr>
              <w:t>176,000</w:t>
            </w:r>
          </w:p>
        </w:tc>
        <w:tc>
          <w:tcPr>
            <w:tcW w:type="dxa" w:w="2232"/>
            <w:vAlign w:val="center"/>
            <w:tcMar>
              <w:top w:w="85" w:type="dxa"/>
              <w:bottom w:w="85" w:type="dxa"/>
              <w:left w:w="90" w:type="dxa"/>
              <w:right w:w="90" w:type="dxa"/>
            </w:tcMar>
          </w:tcPr>
          <w:p>
            <w:pPr>
              <w:keepLines/>
              <w:spacing w:after="0" w:line="252" w:lineRule="auto"/>
            </w:pPr>
            <w:r>
              <w:rPr>
                <w:b w:val="0"/>
                <w:sz w:val="20"/>
              </w:rPr>
              <w:t>120,000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Beam erection</w:t>
            </w:r>
          </w:p>
        </w:tc>
        <w:tc>
          <w:tcPr>
            <w:tcW w:type="dxa" w:w="2232"/>
            <w:vAlign w:val="center"/>
            <w:tcMar>
              <w:top w:w="85" w:type="dxa"/>
              <w:bottom w:w="85" w:type="dxa"/>
              <w:left w:w="90" w:type="dxa"/>
              <w:right w:w="90" w:type="dxa"/>
            </w:tcMar>
          </w:tcPr>
          <w:p>
            <w:pPr>
              <w:keepLines/>
              <w:spacing w:after="0" w:line="252" w:lineRule="auto"/>
            </w:pPr>
            <w:r>
              <w:rPr>
                <w:b w:val="0"/>
                <w:sz w:val="20"/>
              </w:rPr>
              <w:t>280,000</w:t>
            </w:r>
          </w:p>
        </w:tc>
        <w:tc>
          <w:tcPr>
            <w:tcW w:type="dxa" w:w="2232"/>
            <w:vAlign w:val="center"/>
            <w:tcMar>
              <w:top w:w="85" w:type="dxa"/>
              <w:bottom w:w="85" w:type="dxa"/>
              <w:left w:w="90" w:type="dxa"/>
              <w:right w:w="90" w:type="dxa"/>
            </w:tcMar>
          </w:tcPr>
          <w:p>
            <w:pPr>
              <w:keepLines/>
              <w:spacing w:after="0" w:line="252" w:lineRule="auto"/>
            </w:pPr>
            <w:r>
              <w:rPr>
                <w:b w:val="0"/>
                <w:sz w:val="20"/>
              </w:rPr>
              <w:t>144,000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Temporary works</w:t>
            </w:r>
          </w:p>
        </w:tc>
        <w:tc>
          <w:tcPr>
            <w:tcW w:type="dxa" w:w="2232"/>
            <w:vAlign w:val="center"/>
            <w:tcMar>
              <w:top w:w="85" w:type="dxa"/>
              <w:bottom w:w="85" w:type="dxa"/>
              <w:left w:w="90" w:type="dxa"/>
              <w:right w:w="90" w:type="dxa"/>
            </w:tcMar>
          </w:tcPr>
          <w:p>
            <w:pPr>
              <w:keepLines/>
              <w:spacing w:after="0" w:line="252" w:lineRule="auto"/>
            </w:pPr>
            <w:r>
              <w:rPr>
                <w:b w:val="0"/>
                <w:sz w:val="20"/>
              </w:rPr>
              <w:t>100,000</w:t>
            </w:r>
          </w:p>
        </w:tc>
        <w:tc>
          <w:tcPr>
            <w:tcW w:type="dxa" w:w="2232"/>
            <w:vAlign w:val="center"/>
            <w:tcMar>
              <w:top w:w="85" w:type="dxa"/>
              <w:bottom w:w="85" w:type="dxa"/>
              <w:left w:w="90" w:type="dxa"/>
              <w:right w:w="90" w:type="dxa"/>
            </w:tcMar>
          </w:tcPr>
          <w:p>
            <w:pPr>
              <w:keepLines/>
              <w:spacing w:after="0" w:line="252" w:lineRule="auto"/>
            </w:pPr>
            <w:r>
              <w:rPr>
                <w:b w:val="0"/>
                <w:sz w:val="20"/>
              </w:rPr>
              <w:t>40,000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Alignment and joints</w:t>
            </w:r>
          </w:p>
        </w:tc>
        <w:tc>
          <w:tcPr>
            <w:tcW w:type="dxa" w:w="2232"/>
            <w:vAlign w:val="center"/>
            <w:tcMar>
              <w:top w:w="85" w:type="dxa"/>
              <w:bottom w:w="85" w:type="dxa"/>
              <w:left w:w="90" w:type="dxa"/>
              <w:right w:w="90" w:type="dxa"/>
            </w:tcMar>
          </w:tcPr>
          <w:p>
            <w:pPr>
              <w:keepLines/>
              <w:spacing w:after="0" w:line="252" w:lineRule="auto"/>
            </w:pPr>
            <w:r>
              <w:rPr>
                <w:b w:val="0"/>
                <w:sz w:val="20"/>
              </w:rPr>
              <w:t>90,000</w:t>
            </w:r>
          </w:p>
        </w:tc>
        <w:tc>
          <w:tcPr>
            <w:tcW w:type="dxa" w:w="2232"/>
            <w:vAlign w:val="center"/>
            <w:tcMar>
              <w:top w:w="85" w:type="dxa"/>
              <w:bottom w:w="85" w:type="dxa"/>
              <w:left w:w="90" w:type="dxa"/>
              <w:right w:w="90" w:type="dxa"/>
            </w:tcMar>
          </w:tcPr>
          <w:p>
            <w:pPr>
              <w:keepLines/>
              <w:spacing w:after="0" w:line="252" w:lineRule="auto"/>
            </w:pPr>
            <w:r>
              <w:rPr>
                <w:b w:val="0"/>
                <w:sz w:val="20"/>
              </w:rPr>
              <w:t>60,000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Access allowance</w:t>
            </w:r>
          </w:p>
        </w:tc>
        <w:tc>
          <w:tcPr>
            <w:tcW w:type="dxa" w:w="2232"/>
            <w:vAlign w:val="center"/>
            <w:tcMar>
              <w:top w:w="85" w:type="dxa"/>
              <w:bottom w:w="85" w:type="dxa"/>
              <w:left w:w="90" w:type="dxa"/>
              <w:right w:w="90" w:type="dxa"/>
            </w:tcMar>
          </w:tcPr>
          <w:p>
            <w:pPr>
              <w:keepLines/>
              <w:spacing w:after="0" w:line="252" w:lineRule="auto"/>
            </w:pPr>
            <w:r>
              <w:rPr>
                <w:b w:val="0"/>
                <w:sz w:val="20"/>
              </w:rPr>
              <w:t>60,000</w:t>
            </w:r>
          </w:p>
        </w:tc>
        <w:tc>
          <w:tcPr>
            <w:tcW w:type="dxa" w:w="2232"/>
            <w:vAlign w:val="center"/>
            <w:tcMar>
              <w:top w:w="85" w:type="dxa"/>
              <w:bottom w:w="85" w:type="dxa"/>
              <w:left w:w="90" w:type="dxa"/>
              <w:right w:w="90" w:type="dxa"/>
            </w:tcMar>
          </w:tcPr>
          <w:p>
            <w:pPr>
              <w:keepLines/>
              <w:spacing w:after="0" w:line="252" w:lineRule="auto"/>
            </w:pPr>
            <w:r>
              <w:rPr>
                <w:b w:val="0"/>
                <w:sz w:val="20"/>
              </w:rPr>
              <w:t>40,000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Route quality assurance</w:t>
            </w:r>
          </w:p>
        </w:tc>
        <w:tc>
          <w:tcPr>
            <w:tcW w:type="dxa" w:w="2232"/>
            <w:vAlign w:val="center"/>
            <w:tcMar>
              <w:top w:w="85" w:type="dxa"/>
              <w:bottom w:w="85" w:type="dxa"/>
              <w:left w:w="90" w:type="dxa"/>
              <w:right w:w="90" w:type="dxa"/>
            </w:tcMar>
          </w:tcPr>
          <w:p>
            <w:pPr>
              <w:keepLines/>
              <w:spacing w:after="0" w:line="252" w:lineRule="auto"/>
            </w:pPr>
            <w:r>
              <w:rPr>
                <w:b w:val="0"/>
                <w:sz w:val="20"/>
              </w:rPr>
              <w:t>90,000</w:t>
            </w:r>
          </w:p>
        </w:tc>
        <w:tc>
          <w:tcPr>
            <w:tcW w:type="dxa" w:w="2232"/>
            <w:vAlign w:val="center"/>
            <w:tcMar>
              <w:top w:w="85" w:type="dxa"/>
              <w:bottom w:w="85" w:type="dxa"/>
              <w:left w:w="90" w:type="dxa"/>
              <w:right w:w="90" w:type="dxa"/>
            </w:tcMar>
          </w:tcPr>
          <w:p>
            <w:pPr>
              <w:keepLines/>
              <w:spacing w:after="0" w:line="252" w:lineRule="auto"/>
            </w:pPr>
            <w:r>
              <w:rPr>
                <w:b w:val="0"/>
                <w:sz w:val="20"/>
              </w:rPr>
              <w:t>90,000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Ordinary utilities</w:t>
            </w:r>
          </w:p>
        </w:tc>
        <w:tc>
          <w:tcPr>
            <w:tcW w:type="dxa" w:w="2232"/>
            <w:vAlign w:val="center"/>
            <w:tcMar>
              <w:top w:w="85" w:type="dxa"/>
              <w:bottom w:w="85" w:type="dxa"/>
              <w:left w:w="90" w:type="dxa"/>
              <w:right w:w="90" w:type="dxa"/>
            </w:tcMar>
          </w:tcPr>
          <w:p>
            <w:pPr>
              <w:keepLines/>
              <w:spacing w:after="0" w:line="252" w:lineRule="auto"/>
            </w:pPr>
            <w:r>
              <w:rPr>
                <w:b w:val="0"/>
                <w:sz w:val="20"/>
              </w:rPr>
              <w:t>150,000</w:t>
            </w:r>
          </w:p>
        </w:tc>
        <w:tc>
          <w:tcPr>
            <w:tcW w:type="dxa" w:w="2232"/>
            <w:vAlign w:val="center"/>
            <w:tcMar>
              <w:top w:w="85" w:type="dxa"/>
              <w:bottom w:w="85" w:type="dxa"/>
              <w:left w:w="90" w:type="dxa"/>
              <w:right w:w="90" w:type="dxa"/>
            </w:tcMar>
          </w:tcPr>
          <w:p>
            <w:pPr>
              <w:keepLines/>
              <w:spacing w:after="0" w:line="252" w:lineRule="auto"/>
            </w:pPr>
            <w:r>
              <w:rPr>
                <w:b w:val="0"/>
                <w:sz w:val="20"/>
              </w:rPr>
              <w:t>150,000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Traffic management</w:t>
            </w:r>
          </w:p>
        </w:tc>
        <w:tc>
          <w:tcPr>
            <w:tcW w:type="dxa" w:w="2232"/>
            <w:vAlign w:val="center"/>
            <w:tcMar>
              <w:top w:w="85" w:type="dxa"/>
              <w:bottom w:w="85" w:type="dxa"/>
              <w:left w:w="90" w:type="dxa"/>
              <w:right w:w="90" w:type="dxa"/>
            </w:tcMar>
          </w:tcPr>
          <w:p>
            <w:pPr>
              <w:keepLines/>
              <w:spacing w:after="0" w:line="252" w:lineRule="auto"/>
            </w:pPr>
            <w:r>
              <w:rPr>
                <w:b w:val="0"/>
                <w:sz w:val="20"/>
              </w:rPr>
              <w:t>85,000</w:t>
            </w:r>
          </w:p>
        </w:tc>
        <w:tc>
          <w:tcPr>
            <w:tcW w:type="dxa" w:w="2232"/>
            <w:vAlign w:val="center"/>
            <w:tcMar>
              <w:top w:w="85" w:type="dxa"/>
              <w:bottom w:w="85" w:type="dxa"/>
              <w:left w:w="90" w:type="dxa"/>
              <w:right w:w="90" w:type="dxa"/>
            </w:tcMar>
          </w:tcPr>
          <w:p>
            <w:pPr>
              <w:keepLines/>
              <w:spacing w:after="0" w:line="252" w:lineRule="auto"/>
            </w:pPr>
            <w:r>
              <w:rPr>
                <w:b w:val="0"/>
                <w:sz w:val="20"/>
              </w:rPr>
              <w:t>50,000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Listed scope subtotal</w:t>
            </w:r>
          </w:p>
        </w:tc>
        <w:tc>
          <w:tcPr>
            <w:tcW w:type="dxa" w:w="2232"/>
            <w:vAlign w:val="center"/>
            <w:tcMar>
              <w:top w:w="85" w:type="dxa"/>
              <w:bottom w:w="85" w:type="dxa"/>
              <w:left w:w="90" w:type="dxa"/>
              <w:right w:w="90" w:type="dxa"/>
            </w:tcMar>
          </w:tcPr>
          <w:p>
            <w:pPr>
              <w:keepLines/>
              <w:spacing w:after="0" w:line="252" w:lineRule="auto"/>
            </w:pPr>
            <w:r>
              <w:rPr>
                <w:b w:val="0"/>
                <w:sz w:val="20"/>
              </w:rPr>
              <w:t>4,254,977</w:t>
            </w:r>
          </w:p>
        </w:tc>
        <w:tc>
          <w:tcPr>
            <w:tcW w:type="dxa" w:w="2232"/>
            <w:vAlign w:val="center"/>
            <w:tcMar>
              <w:top w:w="85" w:type="dxa"/>
              <w:bottom w:w="85" w:type="dxa"/>
              <w:left w:w="90" w:type="dxa"/>
              <w:right w:w="90" w:type="dxa"/>
            </w:tcMar>
          </w:tcPr>
          <w:p>
            <w:pPr>
              <w:keepLines/>
              <w:spacing w:after="0" w:line="252" w:lineRule="auto"/>
            </w:pPr>
            <w:r>
              <w:rPr>
                <w:b w:val="0"/>
                <w:sz w:val="20"/>
              </w:rPr>
              <w:t>3,313,017</w:t>
            </w:r>
          </w:p>
        </w:tc>
      </w:tr>
    </w:tbl>
    <w:p>
      <w:pPr>
        <w:spacing w:after="40"/>
      </w:pPr>
    </w:p>
    <w:p>
      <w:pPr/>
      <w:r>
        <w:rPr>
          <w:b w:val="0"/>
        </w:rPr>
        <w:t>Concrete remains USD 220/m³. The provisional reinforcement convention remains 180 kg/m³ at USD 1.40/kg, reducing the allowance from 237.6 to 205.2 t. Passive iron remains USD 2/kg. The new process objectives are USD 22,000/support, USD 1,500/beam delivery, USD 1,800/beam erection, USD 1,000/support temporary works and USD 30/direction-m for alignment/joints. They are bid and process targets, not Iraqi market quotations. Each package must state included equipment, tooling amortization, labour, inspection and commercial overhead.</w:t>
      </w:r>
    </w:p>
    <w:p>
      <w:pPr/>
      <w:r>
        <w:rPr>
          <w:b w:val="0"/>
        </w:rPr>
        <w:t>The USD 941,960/km proposed saving consists of USD 84,960 in beam concrete/steel allowances, USD 520,000 in support packages, USD 282,000 in delivery/erection/temporary works/alignment and USD 55,000 in access/traffic occupation. Support procurement supplies about 55% of the total target saving. The non-magnetic-rail portion falls from USD 3.054 million to USD 2.112 million, a 30.8% reduction; the complete listed subtotal falls 22.1%. Reducing the beam budget further to 0.53 m² yields USD 3.275 million, only USD 37,760 below the balanced target. This small cost difference supports retaining width until coupled dynamics justifies the narrower variant.</w:t>
      </w:r>
    </w:p>
    <w:p>
      <w:pPr>
        <w:keepNext/>
      </w:pPr>
      <w:r>
        <w:drawing>
          <wp:inline xmlns:a="http://schemas.openxmlformats.org/drawingml/2006/main" xmlns:pic="http://schemas.openxmlformats.org/drawingml/2006/picture">
            <wp:extent cx="6217920" cy="2699886"/>
            <wp:docPr id="4" name="Picture 4"/>
            <wp:cNvGraphicFramePr>
              <a:graphicFrameLocks noChangeAspect="1"/>
            </wp:cNvGraphicFramePr>
            <a:graphic>
              <a:graphicData uri="http://schemas.openxmlformats.org/drawingml/2006/picture">
                <pic:pic>
                  <pic:nvPicPr>
                    <pic:cNvPr id="0" name="civil_cost_targets.png"/>
                    <pic:cNvPicPr/>
                  </pic:nvPicPr>
                  <pic:blipFill>
                    <a:blip r:embed="rId13"/>
                    <a:stretch>
                      <a:fillRect/>
                    </a:stretch>
                  </pic:blipFill>
                  <pic:spPr>
                    <a:xfrm>
                      <a:off x="0" y="0"/>
                      <a:ext cx="6217920" cy="2699886"/>
                    </a:xfrm>
                    <a:prstGeom prst="rect"/>
                  </pic:spPr>
                </pic:pic>
              </a:graphicData>
            </a:graphic>
          </wp:inline>
        </w:drawing>
      </w:r>
    </w:p>
    <w:p>
      <w:pPr/>
      <w:r>
        <w:rPr>
          <w:b w:val="0"/>
          <w:sz w:val="20"/>
        </w:rPr>
        <w:t>Calculated cost targets under the stated quantity and rate assumptions. *The 20% rail reduction is a separate, unvalidated optimization case. The comparison excludes unpriced station, electrical, evacuation and other programme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cantSplit/>
          <w:tblHeader/>
        </w:trPr>
        <w:tc>
          <w:tcPr>
            <w:tcW w:type="dxa" w:w="5328"/>
            <w:vAlign w:val="center"/>
            <w:tcMar>
              <w:top w:w="85" w:type="dxa"/>
              <w:bottom w:w="85" w:type="dxa"/>
              <w:left w:w="90" w:type="dxa"/>
              <w:right w:w="90" w:type="dxa"/>
            </w:tcMar>
            <w:shd w:fill="F2F2F2"/>
          </w:tcPr>
          <w:p>
            <w:pPr>
              <w:keepNext/>
              <w:keepLines/>
              <w:spacing w:after="0" w:line="252" w:lineRule="auto"/>
            </w:pPr>
            <w:r>
              <w:rPr>
                <w:b/>
                <w:sz w:val="20"/>
              </w:rPr>
              <w:t>Cost sensitivity</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Listed scope, USD million/km</w:t>
            </w:r>
          </w:p>
        </w:tc>
        <w:tc>
          <w:tcPr>
            <w:tcW w:type="dxa" w:w="2232"/>
            <w:vAlign w:val="center"/>
            <w:tcMar>
              <w:top w:w="85" w:type="dxa"/>
              <w:bottom w:w="85" w:type="dxa"/>
              <w:left w:w="90" w:type="dxa"/>
              <w:right w:w="90" w:type="dxa"/>
            </w:tcMar>
            <w:shd w:fill="F2F2F2"/>
          </w:tcPr>
          <w:p>
            <w:pPr>
              <w:keepNext/>
              <w:keepLines/>
              <w:spacing w:after="0" w:line="252" w:lineRule="auto"/>
            </w:pPr>
            <w:r>
              <w:rPr>
                <w:b/>
                <w:sz w:val="20"/>
              </w:rPr>
              <w:t>Reduction versus current listed scope</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Balanced civil/production target, iron unchanged</w:t>
            </w:r>
          </w:p>
        </w:tc>
        <w:tc>
          <w:tcPr>
            <w:tcW w:type="dxa" w:w="2232"/>
            <w:vAlign w:val="center"/>
            <w:tcMar>
              <w:top w:w="85" w:type="dxa"/>
              <w:bottom w:w="85" w:type="dxa"/>
              <w:left w:w="90" w:type="dxa"/>
              <w:right w:w="90" w:type="dxa"/>
            </w:tcMar>
          </w:tcPr>
          <w:p>
            <w:pPr>
              <w:keepLines/>
              <w:spacing w:after="0" w:line="252" w:lineRule="auto"/>
            </w:pPr>
            <w:r>
              <w:rPr>
                <w:b w:val="0"/>
                <w:sz w:val="20"/>
              </w:rPr>
              <w:t>3.313</w:t>
            </w:r>
          </w:p>
        </w:tc>
        <w:tc>
          <w:tcPr>
            <w:tcW w:type="dxa" w:w="2232"/>
            <w:vAlign w:val="center"/>
            <w:tcMar>
              <w:top w:w="85" w:type="dxa"/>
              <w:bottom w:w="85" w:type="dxa"/>
              <w:left w:w="90" w:type="dxa"/>
              <w:right w:w="90" w:type="dxa"/>
            </w:tcMar>
          </w:tcPr>
          <w:p>
            <w:pPr>
              <w:keepLines/>
              <w:spacing w:after="0" w:line="252" w:lineRule="auto"/>
            </w:pPr>
            <w:r>
              <w:rPr>
                <w:b w:val="0"/>
                <w:sz w:val="20"/>
              </w:rPr>
              <w:t>22.1%</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Narrow beam target, iron unchanged</w:t>
            </w:r>
          </w:p>
        </w:tc>
        <w:tc>
          <w:tcPr>
            <w:tcW w:type="dxa" w:w="2232"/>
            <w:vAlign w:val="center"/>
            <w:tcMar>
              <w:top w:w="85" w:type="dxa"/>
              <w:bottom w:w="85" w:type="dxa"/>
              <w:left w:w="90" w:type="dxa"/>
              <w:right w:w="90" w:type="dxa"/>
            </w:tcMar>
          </w:tcPr>
          <w:p>
            <w:pPr>
              <w:keepLines/>
              <w:spacing w:after="0" w:line="252" w:lineRule="auto"/>
            </w:pPr>
            <w:r>
              <w:rPr>
                <w:b w:val="0"/>
                <w:sz w:val="20"/>
              </w:rPr>
              <w:t>3.275</w:t>
            </w:r>
          </w:p>
        </w:tc>
        <w:tc>
          <w:tcPr>
            <w:tcW w:type="dxa" w:w="2232"/>
            <w:vAlign w:val="center"/>
            <w:tcMar>
              <w:top w:w="85" w:type="dxa"/>
              <w:bottom w:w="85" w:type="dxa"/>
              <w:left w:w="90" w:type="dxa"/>
              <w:right w:w="90" w:type="dxa"/>
            </w:tcMar>
          </w:tcPr>
          <w:p>
            <w:pPr>
              <w:keepLines/>
              <w:spacing w:after="0" w:line="252" w:lineRule="auto"/>
            </w:pPr>
            <w:r>
              <w:rPr>
                <w:b w:val="0"/>
                <w:sz w:val="20"/>
              </w:rPr>
              <w:t>23.0%</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Balanced plus validated 20% iron reduction</w:t>
            </w:r>
          </w:p>
        </w:tc>
        <w:tc>
          <w:tcPr>
            <w:tcW w:type="dxa" w:w="2232"/>
            <w:vAlign w:val="center"/>
            <w:tcMar>
              <w:top w:w="85" w:type="dxa"/>
              <w:bottom w:w="85" w:type="dxa"/>
              <w:left w:w="90" w:type="dxa"/>
              <w:right w:w="90" w:type="dxa"/>
            </w:tcMar>
          </w:tcPr>
          <w:p>
            <w:pPr>
              <w:keepLines/>
              <w:spacing w:after="0" w:line="252" w:lineRule="auto"/>
            </w:pPr>
            <w:r>
              <w:rPr>
                <w:b w:val="0"/>
                <w:sz w:val="20"/>
              </w:rPr>
              <w:t>3.073</w:t>
            </w:r>
          </w:p>
        </w:tc>
        <w:tc>
          <w:tcPr>
            <w:tcW w:type="dxa" w:w="2232"/>
            <w:vAlign w:val="center"/>
            <w:tcMar>
              <w:top w:w="85" w:type="dxa"/>
              <w:bottom w:w="85" w:type="dxa"/>
              <w:left w:w="90" w:type="dxa"/>
              <w:right w:w="90" w:type="dxa"/>
            </w:tcMar>
          </w:tcPr>
          <w:p>
            <w:pPr>
              <w:keepLines/>
              <w:spacing w:after="0" w:line="252" w:lineRule="auto"/>
            </w:pPr>
            <w:r>
              <w:rPr>
                <w:b w:val="0"/>
                <w:sz w:val="20"/>
              </w:rPr>
              <w:t>27.8%</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Balanced plus validated 30% iron reduction</w:t>
            </w:r>
          </w:p>
        </w:tc>
        <w:tc>
          <w:tcPr>
            <w:tcW w:type="dxa" w:w="2232"/>
            <w:vAlign w:val="center"/>
            <w:tcMar>
              <w:top w:w="85" w:type="dxa"/>
              <w:bottom w:w="85" w:type="dxa"/>
              <w:left w:w="90" w:type="dxa"/>
              <w:right w:w="90" w:type="dxa"/>
            </w:tcMar>
          </w:tcPr>
          <w:p>
            <w:pPr>
              <w:keepLines/>
              <w:spacing w:after="0" w:line="252" w:lineRule="auto"/>
            </w:pPr>
            <w:r>
              <w:rPr>
                <w:b w:val="0"/>
                <w:sz w:val="20"/>
              </w:rPr>
              <w:t>2.953</w:t>
            </w:r>
          </w:p>
        </w:tc>
        <w:tc>
          <w:tcPr>
            <w:tcW w:type="dxa" w:w="2232"/>
            <w:vAlign w:val="center"/>
            <w:tcMar>
              <w:top w:w="85" w:type="dxa"/>
              <w:bottom w:w="85" w:type="dxa"/>
              <w:left w:w="90" w:type="dxa"/>
              <w:right w:w="90" w:type="dxa"/>
            </w:tcMar>
          </w:tcPr>
          <w:p>
            <w:pPr>
              <w:keepLines/>
              <w:spacing w:after="0" w:line="252" w:lineRule="auto"/>
            </w:pPr>
            <w:r>
              <w:rPr>
                <w:b w:val="0"/>
                <w:sz w:val="20"/>
              </w:rPr>
              <w:t>30.6%</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Balanced with USD 28,000 average support</w:t>
            </w:r>
          </w:p>
        </w:tc>
        <w:tc>
          <w:tcPr>
            <w:tcW w:type="dxa" w:w="2232"/>
            <w:vAlign w:val="center"/>
            <w:tcMar>
              <w:top w:w="85" w:type="dxa"/>
              <w:bottom w:w="85" w:type="dxa"/>
              <w:left w:w="90" w:type="dxa"/>
              <w:right w:w="90" w:type="dxa"/>
            </w:tcMar>
          </w:tcPr>
          <w:p>
            <w:pPr>
              <w:keepLines/>
              <w:spacing w:after="0" w:line="252" w:lineRule="auto"/>
            </w:pPr>
            <w:r>
              <w:rPr>
                <w:b w:val="0"/>
                <w:sz w:val="20"/>
              </w:rPr>
              <w:t>3.553</w:t>
            </w:r>
          </w:p>
        </w:tc>
        <w:tc>
          <w:tcPr>
            <w:tcW w:type="dxa" w:w="2232"/>
            <w:vAlign w:val="center"/>
            <w:tcMar>
              <w:top w:w="85" w:type="dxa"/>
              <w:bottom w:w="85" w:type="dxa"/>
              <w:left w:w="90" w:type="dxa"/>
              <w:right w:w="90" w:type="dxa"/>
            </w:tcMar>
          </w:tcPr>
          <w:p>
            <w:pPr>
              <w:keepLines/>
              <w:spacing w:after="0" w:line="252" w:lineRule="auto"/>
            </w:pPr>
            <w:r>
              <w:rPr>
                <w:b w:val="0"/>
                <w:sz w:val="20"/>
              </w:rPr>
              <w:t>16.5%</w:t>
            </w:r>
          </w:p>
        </w:tc>
      </w:tr>
      <w:tr>
        <w:trPr>
          <w:cantSplit/>
        </w:trPr>
        <w:tc>
          <w:tcPr>
            <w:tcW w:type="dxa" w:w="5328"/>
            <w:vAlign w:val="center"/>
            <w:tcMar>
              <w:top w:w="85" w:type="dxa"/>
              <w:bottom w:w="85" w:type="dxa"/>
              <w:left w:w="90" w:type="dxa"/>
              <w:right w:w="90" w:type="dxa"/>
            </w:tcMar>
          </w:tcPr>
          <w:p>
            <w:pPr>
              <w:keepLines/>
              <w:spacing w:after="0" w:line="252" w:lineRule="auto"/>
            </w:pPr>
            <w:r>
              <w:rPr>
                <w:b w:val="0"/>
                <w:sz w:val="20"/>
              </w:rPr>
              <w:t>Balanced with USD 35,000 average support</w:t>
            </w:r>
          </w:p>
        </w:tc>
        <w:tc>
          <w:tcPr>
            <w:tcW w:type="dxa" w:w="2232"/>
            <w:vAlign w:val="center"/>
            <w:tcMar>
              <w:top w:w="85" w:type="dxa"/>
              <w:bottom w:w="85" w:type="dxa"/>
              <w:left w:w="90" w:type="dxa"/>
              <w:right w:w="90" w:type="dxa"/>
            </w:tcMar>
          </w:tcPr>
          <w:p>
            <w:pPr>
              <w:keepLines/>
              <w:spacing w:after="0" w:line="252" w:lineRule="auto"/>
            </w:pPr>
            <w:r>
              <w:rPr>
                <w:b w:val="0"/>
                <w:sz w:val="20"/>
              </w:rPr>
              <w:t>3.833</w:t>
            </w:r>
          </w:p>
        </w:tc>
        <w:tc>
          <w:tcPr>
            <w:tcW w:type="dxa" w:w="2232"/>
            <w:vAlign w:val="center"/>
            <w:tcMar>
              <w:top w:w="85" w:type="dxa"/>
              <w:bottom w:w="85" w:type="dxa"/>
              <w:left w:w="90" w:type="dxa"/>
              <w:right w:w="90" w:type="dxa"/>
            </w:tcMar>
          </w:tcPr>
          <w:p>
            <w:pPr>
              <w:keepLines/>
              <w:spacing w:after="0" w:line="252" w:lineRule="auto"/>
            </w:pPr>
            <w:r>
              <w:rPr>
                <w:b w:val="0"/>
                <w:sz w:val="20"/>
              </w:rPr>
              <w:t>9.9%</w:t>
            </w:r>
          </w:p>
        </w:tc>
      </w:tr>
    </w:tbl>
    <w:p>
      <w:pPr>
        <w:spacing w:after="40"/>
      </w:pPr>
    </w:p>
    <w:p>
      <w:pPr/>
      <w:r>
        <w:rPr>
          <w:b w:val="0"/>
        </w:rPr>
        <w:t>Iron reductions are conditional electromagnetic/structural objectives at an unchanged USD 2/kg rate. They require accepted force, saturation, losses, segmentation, stiffness, joints and attachments; magnet optimization has not demonstrated them. A USD 1/kg increase in the finished-rail price adds about USD 0.600 million/km at the unchanged quantity. If the original reinforcement allowance is retained until the bar/strand schedule is complete, the central subtotal rises to USD 3.358 million. Increasing the assumed reinforcement intensity to 220 kg/m³ raises it to USD 3.377 million. Twenty percent of supports at USD 40,000 instead of USD 22,000 adds USD 0.144 million/km. These sensitivities show which procurement and ground results control the target.</w:t>
      </w:r>
    </w:p>
    <w:p>
      <w:pPr/>
      <w:r>
        <w:rPr>
          <w:b w:val="0"/>
        </w:rPr>
      </w:r>
      <w:r>
        <w:rPr>
          <w:b/>
        </w:rPr>
        <w:t>Scope and reserve.</w:t>
      </w:r>
      <w:r>
        <w:rPr>
          <w:b w:val="0"/>
        </w:rPr>
        <w:t xml:space="preserve"> Resolve strands, anchorages, bearings, shear keys, rail brackets, lifting inserts, connectors, formers, temporary stability and actual tooling into the priced packages; do not treat them as deleted. The reinforcement allowance is not a completed prestressing design or quotation. Use a separate estimating reserve: an illustrative common 20% raises the current subtotal to USD 5.106 million and central target to USD 3.976 million, preserving the percentage comparison but not pricing omissions. The complete installed price remains unestablished.</w:t>
      </w:r>
    </w:p>
    <w:p>
      <w:pPr/>
      <w:r>
        <w:rPr>
          <w:b w:val="0"/>
        </w:rPr>
        <w:t>Both comparisons retain the same outstanding scope: station structures, new LSMs/converters/grid and services charging, terminal/depot/recovery systems, property/air rights, major crossings/diversions, complete evacuation provision, development/qualification, factory capital, unpriced contractor overhead/profit, taxes/duties, finance and programme risk. The no-walkway variant does not establish an accepted evacuation design; the source's provisional walkway case is about USD 4.448 million before redesign. Compare conventional elevated light rail only after pricing the same route, capacity, reliability, station and evacuation scope. Do not borrow a wide-deck cost and attribute its full removal to this already-narrow-beam revision.</w:t>
      </w:r>
    </w:p>
    <w:p>
      <w:pPr>
        <w:pStyle w:val="Heading1"/>
        <w:pageBreakBefore w:val="0"/>
      </w:pPr>
      <w:r>
        <w:t>Calculation basis</w:t>
      </w:r>
    </w:p>
    <w:p>
      <w:pPr/>
      <w:r>
        <w:rPr>
          <w:b w:val="0"/>
        </w:rPr>
        <w:t>The equations immediately below reproduce the historical no-jerk comparison only. The new launch study instead integrates each constant-jerk segment exactly, then uses the same coast integral and solves launch/brake-entry speeds for total distance and time. Mechanical work is integrated from Fv, with F = M·a + R(v); a separate kinetic-energy and drag-work balance checks it. Actual magnetic-band overlap is evaluated at no more than 0.01 s intervals; a 0.1 m winding-position search supplies the reported conditional length minima. These numerical checks establish arithmetic closure, not validity of the assumed drag, force density or efficiency.</w:t>
      </w:r>
    </w:p>
    <w:p>
      <w:pPr/>
      <w:r>
        <w:rPr>
          <w:b w:val="0"/>
        </w:rPr>
        <w:t>The comparative profiles use constant net acceleration a and service deceleration d, with resistance c + b·v². For launch speed V and speed w at the start of braking:</w:t>
      </w:r>
    </w:p>
    <w:p>
      <w:pPr>
        <w:spacing w:after="180"/>
      </w:pPr>
      <m:oMath>
        <m:r>
          <m:t>Launch distance = V²/(2a).</m:t>
        </m:r>
      </m:oMath>
    </w:p>
    <w:p>
      <w:pPr>
        <w:spacing w:after="180"/>
      </w:pPr>
      <m:oMath>
        <m:r>
          <m:t>Coasting distance = m/(2b) · ln[(c + bV²)/(c + bw²)].</m:t>
        </m:r>
      </m:oMath>
    </w:p>
    <w:p>
      <w:pPr>
        <w:spacing w:after="180"/>
      </w:pPr>
      <m:oMath>
        <m:r>
          <m:t>Braking distance = w²/(2d).</m:t>
        </m:r>
      </m:oMath>
    </w:p>
    <w:p>
      <w:pPr>
        <w:spacing w:after="180"/>
      </w:pPr>
      <m:oMath>
        <m:r>
          <m:t>Coasting time = m/√(cb) · [atan(V√(b/c)) − atan(w√(b/c))].</m:t>
        </m:r>
      </m:oMath>
    </w:p>
    <w:p>
      <w:pPr>
        <w:spacing w:after="180"/>
      </w:pPr>
      <m:oMath>
        <m:r>
          <m:t>Total time = V/a + coasting time + w/d.</m:t>
        </m:r>
      </m:oMath>
    </w:p>
    <w:p>
      <w:pPr>
        <w:spacing w:after="180"/>
      </w:pPr>
      <m:oMath>
        <m:r>
          <m:t>Mechanical launch work per car = ½mV² + cV²/(2a) + bV⁴/(4a).</m:t>
        </m:r>
      </m:oMath>
    </w:p>
    <w:p>
      <w:pPr>
        <w:spacing w:after="180"/>
      </w:pPr>
      <m:oMath>
        <m:r>
          <m:t>Mechanical braking work per car = ½mw² − cw²/(2d) − bw⁴/(4d).</m:t>
        </m:r>
      </m:oMath>
    </w:p>
    <w:p>
      <w:pPr/>
      <w:r>
        <w:rPr>
          <w:b w:val="0"/>
        </w:rPr>
        <w:t>Use SI units. The equations apply to the stated constant-mass, flat, positive-resistance case. For variable grades, wind, current limits and jerk, integrate the actual dynamic model. The zero-speed continuation of the provisional resistance law is not a parking model.</w:t>
      </w:r>
    </w:p>
    <w:p>
      <w:pPr/>
      <w:r>
        <w:rPr>
          <w:b w:val="0"/>
        </w:rPr>
        <w:t>For an illustrative continuous stator envelope keeping the full train footprint engaged during launch/braking, installed length around a repeated station is approximately launch travel + braking travel + train footprint, with the shared platform footprint counted once. With the 104.5 m footprint, the 70, 90 and 120 s revised central cases give about 505, 275 and 191 m along one direction’s guideway per station. These are not final installation quantities: partial engagement, actual magnetic footprint, overlap, motor force density and handover margins change the result. Both directions and each wound magnetic face must be included in costing.</w:t>
      </w:r>
    </w:p>
    <w:p>
      <w:pPr/>
      <w:r>
        <w:rPr>
          <w:b w:val="0"/>
        </w:rPr>
        <w:t>Civil screens use concrete area A = bh − (b − 2t_w)(h − 2t_f), vertical second moment I = [bh³ − (b − 2t_w)(h − 2t_f)³]/12, and approximate thin-wall closed-section torsion J = 4A_m²/Σ(s/t). With a simply supported span L and uniform gravity load q, moment = qL²/8 and elastic deflection = 5qL⁴/(384EI). End infills enter volume, lifting mass and support reactions; the middle-section deflection table omits their small near-support contribution and requires a later variable-section model. Gross stiffness omits cracking, prestress/time effects, dynamic interaction and construction-stage conditions.</w:t>
      </w:r>
    </w:p>
    <w:p>
      <w:pPr/>
      <w:r>
        <w:rPr>
          <w:b w:val="0"/>
        </w:rPr>
        <w:t>Shared interior support gravity = 2L × (beam-and-iron line mass + loaded-vehicle line mass) × g, plus column/cap weight. For the budget calculation, beam concrete uses 0.57 m² effective area and the vehicle uses 26,200/17 kg/m. The footing screen adds its own weight and an assumed base moment; it is not a ground-design method or a substitute for settlement and structural checks.</w:t>
      </w:r>
    </w:p>
    <w:p>
      <w:pPr/>
      <w:r>
        <w:rPr>
          <w:b w:val="0"/>
        </w:rPr>
        <w:t>Accepted route output = minimum of factory, delivered and erected beams divided by two, accepted foundations and accepted piers, multiplied by span length; final rail/joint acceptance can impose a lower rate. Programme duration = initial pipeline lag + quantity / accepted bottleneck output + trailing completion lag. Rates and availability must use the same planned-working-day basis.</w:t>
      </w:r>
    </w:p>
    <w:p>
      <w:pPr>
        <w:keepNext/>
      </w:pPr>
      <w:r>
        <w:drawing>
          <wp:inline xmlns:a="http://schemas.openxmlformats.org/drawingml/2006/main" xmlns:pic="http://schemas.openxmlformats.org/drawingml/2006/picture">
            <wp:extent cx="6217920" cy="3272589"/>
            <wp:docPr id="5" name="Picture 5"/>
            <wp:cNvGraphicFramePr>
              <a:graphicFrameLocks noChangeAspect="1"/>
            </wp:cNvGraphicFramePr>
            <a:graphic>
              <a:graphicData uri="http://schemas.openxmlformats.org/drawingml/2006/picture">
                <pic:pic>
                  <pic:nvPicPr>
                    <pic:cNvPr id="0" name="trajectory_profiles.png"/>
                    <pic:cNvPicPr/>
                  </pic:nvPicPr>
                  <pic:blipFill>
                    <a:blip r:embed="rId14"/>
                    <a:stretch>
                      <a:fillRect/>
                    </a:stretch>
                  </pic:blipFill>
                  <pic:spPr>
                    <a:xfrm>
                      <a:off x="0" y="0"/>
                      <a:ext cx="6217920" cy="3272589"/>
                    </a:xfrm>
                    <a:prstGeom prst="rect"/>
                  </pic:spPr>
                </pic:pic>
              </a:graphicData>
            </a:graphic>
          </wp:inline>
        </w:drawing>
      </w:r>
    </w:p>
    <w:p>
      <w:pPr>
        <w:spacing w:after="200"/>
      </w:pPr>
      <w:r>
        <w:rPr>
          <w:b w:val="0"/>
          <w:sz w:val="20"/>
        </w:rPr>
        <w:t>Historical no-jerk profiles for the central 14.2 t tare / 26.2 t loaded car, six-car train and stated flat-route resistance, with acceleration/deceleration of 1 m/s². These retain the earlier mass comparison; use the new launch chapter for the jerk-limited reference. Solid segments show powered motion, dashed segments show coasting.</w:t>
      </w:r>
    </w:p>
    <w:p>
      <w:pPr>
        <w:keepNext/>
      </w:pPr>
      <w:r>
        <w:drawing>
          <wp:inline xmlns:a="http://schemas.openxmlformats.org/drawingml/2006/main" xmlns:pic="http://schemas.openxmlformats.org/drawingml/2006/picture">
            <wp:extent cx="6217920" cy="2208998"/>
            <wp:docPr id="6" name="Picture 6"/>
            <wp:cNvGraphicFramePr>
              <a:graphicFrameLocks noChangeAspect="1"/>
            </wp:cNvGraphicFramePr>
            <a:graphic>
              <a:graphicData uri="http://schemas.openxmlformats.org/drawingml/2006/picture">
                <pic:pic>
                  <pic:nvPicPr>
                    <pic:cNvPr id="0" name="mass_comparison.png"/>
                    <pic:cNvPicPr/>
                  </pic:nvPicPr>
                  <pic:blipFill>
                    <a:blip r:embed="rId15"/>
                    <a:stretch>
                      <a:fillRect/>
                    </a:stretch>
                  </pic:blipFill>
                  <pic:spPr>
                    <a:xfrm>
                      <a:off x="0" y="0"/>
                      <a:ext cx="6217920" cy="2208998"/>
                    </a:xfrm>
                    <a:prstGeom prst="rect"/>
                  </pic:spPr>
                </pic:pic>
              </a:graphicData>
            </a:graphic>
          </wp:inline>
        </w:drawing>
      </w:r>
    </w:p>
    <w:p>
      <w:pPr/>
      <w:r>
        <w:rPr>
          <w:b w:val="0"/>
          <w:sz w:val="20"/>
        </w:rPr>
        <w:t>Body changes reduce maximum loaded train mass from 164.4 t to 157.2 t centrally or 152.4 t in the stretch case. Passenger payload remains 72 t; the unchanged 36 t other-tare budget includes the full 10.8 t train growth reserve. Ferrite remains 18 t in this comparison.</w:t>
      </w:r>
    </w:p>
    <w:p>
      <w:pPr>
        <w:pStyle w:val="Heading1"/>
        <w:pageBreakBefore/>
      </w:pPr>
      <w:r>
        <w:t>References</w:t>
      </w:r>
    </w:p>
    <w:p>
      <w:pPr>
        <w:pStyle w:val="SpecSource"/>
      </w:pPr>
      <w:r>
        <w:t xml:space="preserve">[R1] OpenSourceRail repository, reviewed commit 2617b04e722ca24b7ad9120f94610fe869f27053. Existing configuration and model observations were checked against the local checkout. </w:t>
      </w:r>
      <w:hyperlink r:id="rId16">
        <w:r>
          <w:rPr>
            <w:color w:val="174E73"/>
            <w:sz w:val="20"/>
          </w:rPr>
          <w:t>github.com source</w:t>
        </w:r>
      </w:hyperlink>
      <w:r/>
    </w:p>
    <w:p>
      <w:pPr>
        <w:pStyle w:val="SpecSource"/>
      </w:pPr>
      <w:r>
        <w:t xml:space="preserve">[R2] MagneMotion Urban Maglev Final Report, November 2004. Developer report on combined PM suspension and wayside LSM. </w:t>
      </w:r>
      <w:hyperlink r:id="rId17">
        <w:r>
          <w:rPr>
            <w:color w:val="174E73"/>
            <w:sz w:val="20"/>
          </w:rPr>
          <w:t>rosap.ntl.bts.gov source</w:t>
        </w:r>
      </w:hyperlink>
      <w:r/>
    </w:p>
    <w:p>
      <w:pPr>
        <w:pStyle w:val="SpecSource"/>
      </w:pPr>
      <w:r>
        <w:t xml:space="preserve">[R3] TDK ferrite magnet catalogue. Grade values are material references, not quotations for OSR assemblies. </w:t>
      </w:r>
      <w:hyperlink r:id="rId18">
        <w:r>
          <w:rPr>
            <w:color w:val="174E73"/>
            <w:sz w:val="20"/>
          </w:rPr>
          <w:t>product.tdk.com source</w:t>
        </w:r>
      </w:hyperlink>
      <w:r/>
    </w:p>
    <w:p>
      <w:pPr>
        <w:pStyle w:val="SpecSource"/>
      </w:pPr>
      <w:r>
        <w:t xml:space="preserve">[R4] TDK technical history and composition of high-performance ferrites. </w:t>
      </w:r>
      <w:hyperlink r:id="rId19">
        <w:r>
          <w:rPr>
            <w:color w:val="174E73"/>
            <w:sz w:val="20"/>
          </w:rPr>
          <w:t>www.tdk.com source</w:t>
        </w:r>
      </w:hyperlink>
      <w:r/>
    </w:p>
    <w:p>
      <w:pPr>
        <w:pStyle w:val="SpecSource"/>
      </w:pPr>
      <w:r>
        <w:t xml:space="preserve">[R5] Arnold Magnetic Technologies, material selection technical note. </w:t>
      </w:r>
      <w:hyperlink r:id="rId20">
        <w:r>
          <w:rPr>
            <w:color w:val="174E73"/>
            <w:sz w:val="20"/>
          </w:rPr>
          <w:t>www.arnoldmagnetics.com source</w:t>
        </w:r>
      </w:hyperlink>
      <w:r/>
    </w:p>
    <w:p>
      <w:pPr>
        <w:pStyle w:val="SpecSource"/>
      </w:pPr>
      <w:r>
        <w:t xml:space="preserve">[R6] Arnold Magnetic Technologies, low-temperature ferrite technical note. </w:t>
      </w:r>
      <w:hyperlink r:id="rId21">
        <w:r>
          <w:rPr>
            <w:color w:val="174E73"/>
            <w:sz w:val="20"/>
          </w:rPr>
          <w:t>www.arnoldmagnetics.com source</w:t>
        </w:r>
      </w:hyperlink>
      <w:r/>
    </w:p>
    <w:p>
      <w:pPr>
        <w:pStyle w:val="SpecSource"/>
      </w:pPr>
      <w:r>
        <w:t xml:space="preserve">[R7] Dura Magnetics, available ceramic magnet grades and physical limitations. </w:t>
      </w:r>
      <w:hyperlink r:id="rId22">
        <w:r>
          <w:rPr>
            <w:color w:val="174E73"/>
            <w:sz w:val="20"/>
          </w:rPr>
          <w:t>www.duramag.com source</w:t>
        </w:r>
      </w:hyperlink>
      <w:r/>
    </w:p>
    <w:p>
      <w:pPr>
        <w:pStyle w:val="SpecSource"/>
      </w:pPr>
      <w:r>
        <w:t xml:space="preserve">[R8] voestalpine isovac electrical-steel grades. </w:t>
      </w:r>
      <w:hyperlink r:id="rId23">
        <w:r>
          <w:rPr>
            <w:color w:val="174E73"/>
            <w:sz w:val="20"/>
          </w:rPr>
          <w:t>www.voestalpine.com source</w:t>
        </w:r>
      </w:hyperlink>
      <w:r/>
    </w:p>
    <w:p>
      <w:pPr>
        <w:pStyle w:val="SpecSource"/>
      </w:pPr>
      <w:r>
        <w:t xml:space="preserve">[R9] Axis Engineering, linear induction motor arrangements and passive secondaries. </w:t>
      </w:r>
      <w:hyperlink r:id="rId24">
        <w:r>
          <w:rPr>
            <w:color w:val="174E73"/>
            <w:sz w:val="20"/>
          </w:rPr>
          <w:t>www.axisengineering.co.uk source</w:t>
        </w:r>
      </w:hyperlink>
      <w:r/>
    </w:p>
    <w:p>
      <w:pPr>
        <w:pStyle w:val="SpecSource"/>
      </w:pPr>
      <w:r>
        <w:t xml:space="preserve">[R10] Hitachi Review, China’s First Urban Monorail System in Chongqing, 2005. </w:t>
      </w:r>
      <w:hyperlink r:id="rId25">
        <w:r>
          <w:rPr>
            <w:color w:val="174E73"/>
            <w:sz w:val="20"/>
          </w:rPr>
          <w:t>www.hitachi.com source</w:t>
        </w:r>
      </w:hyperlink>
      <w:r/>
    </w:p>
    <w:p>
      <w:pPr>
        <w:pStyle w:val="SpecSource"/>
      </w:pPr>
      <w:r>
        <w:t xml:space="preserve">[R11] Permali, rail composite products. </w:t>
      </w:r>
      <w:hyperlink r:id="rId26">
        <w:r>
          <w:rPr>
            <w:color w:val="174E73"/>
            <w:sz w:val="20"/>
          </w:rPr>
          <w:t>www.permali.co.uk source</w:t>
        </w:r>
      </w:hyperlink>
      <w:r/>
    </w:p>
    <w:p>
      <w:pPr>
        <w:pStyle w:val="SpecSource"/>
      </w:pPr>
      <w:r>
        <w:t xml:space="preserve">[R12] Gurit, PET structural core material. Component qualification remains design-specific. </w:t>
      </w:r>
      <w:hyperlink r:id="rId27">
        <w:r>
          <w:rPr>
            <w:color w:val="174E73"/>
            <w:sz w:val="20"/>
          </w:rPr>
          <w:t>www.gurit.com source</w:t>
        </w:r>
      </w:hyperlink>
      <w:r/>
    </w:p>
    <w:p>
      <w:pPr>
        <w:pStyle w:val="SpecSource"/>
      </w:pPr>
      <w:r>
        <w:t xml:space="preserve">[R13] SUTRAK, ACE235 electric rooftop HVAC packaging reference. </w:t>
      </w:r>
      <w:hyperlink r:id="rId28">
        <w:r>
          <w:rPr>
            <w:color w:val="174E73"/>
            <w:sz w:val="20"/>
          </w:rPr>
          <w:t>sutrakusa.com source</w:t>
        </w:r>
      </w:hyperlink>
      <w:r/>
    </w:p>
    <w:p>
      <w:pPr>
        <w:pStyle w:val="SpecSource"/>
      </w:pPr>
      <w:r>
        <w:t xml:space="preserve">[R14] OpenSourceRail interlocking source, including resources.rs, resource_log.rs, ma.rs and bounded proof/test infrastructure. </w:t>
      </w:r>
      <w:hyperlink r:id="rId29">
        <w:r>
          <w:rPr>
            <w:color w:val="174E73"/>
            <w:sz w:val="20"/>
          </w:rPr>
          <w:t>github.com source</w:t>
        </w:r>
      </w:hyperlink>
      <w:r/>
    </w:p>
    <w:p>
      <w:pPr>
        <w:pStyle w:val="SpecSource"/>
      </w:pPr>
      <w:r>
        <w:t xml:space="preserve">[R15] STMicroelectronics, NUCLEO-G474RE board and design references. </w:t>
      </w:r>
      <w:hyperlink r:id="rId30">
        <w:r>
          <w:rPr>
            <w:color w:val="174E73"/>
            <w:sz w:val="20"/>
          </w:rPr>
          <w:t>www.st.com source</w:t>
        </w:r>
      </w:hyperlink>
      <w:r/>
    </w:p>
    <w:p>
      <w:pPr>
        <w:pStyle w:val="SpecSource"/>
      </w:pPr>
      <w:r>
        <w:t xml:space="preserve">[R16] Office of Rail and Road, additional factors for unattended passenger operation, 8 July 2024. Used as engineering guidance; project applicability is separate. </w:t>
      </w:r>
      <w:hyperlink r:id="rId31">
        <w:r>
          <w:rPr>
            <w:color w:val="174E73"/>
            <w:sz w:val="20"/>
          </w:rPr>
          <w:t>www.orr.gov.uk source</w:t>
        </w:r>
      </w:hyperlink>
      <w:r/>
    </w:p>
    <w:p>
      <w:pPr>
        <w:pStyle w:val="SpecSource"/>
      </w:pPr>
      <w:r>
        <w:t xml:space="preserve">[R17] FHWA, prefabricated bridge substructure connections. </w:t>
      </w:r>
      <w:hyperlink r:id="rId32">
        <w:r>
          <w:rPr>
            <w:color w:val="174E73"/>
            <w:sz w:val="20"/>
          </w:rPr>
          <w:t>www.fhwa.dot.gov source</w:t>
        </w:r>
      </w:hyperlink>
      <w:r/>
    </w:p>
    <w:p>
      <w:pPr>
        <w:pStyle w:val="SpecSource"/>
      </w:pPr>
      <w:r>
        <w:t xml:space="preserve">[R18] FHWA, prefabricated bridge elements and systems. </w:t>
      </w:r>
      <w:hyperlink r:id="rId33">
        <w:r>
          <w:rPr>
            <w:color w:val="174E73"/>
            <w:sz w:val="20"/>
          </w:rPr>
          <w:t>www.fhwa.dot.gov source</w:t>
        </w:r>
      </w:hyperlink>
      <w:r/>
    </w:p>
    <w:p>
      <w:pPr>
        <w:pStyle w:val="SpecSource"/>
      </w:pPr>
      <w:r>
        <w:t xml:space="preserve">[R19] Hitachi Review, New Solution for Urban Traffic: Small-type Monorail System, 2001; original manufacturer report hosted by The Monorail Society. </w:t>
      </w:r>
      <w:hyperlink r:id="rId34">
        <w:r>
          <w:rPr>
            <w:color w:val="174E73"/>
            <w:sz w:val="20"/>
          </w:rPr>
          <w:t>www.monorails.org source</w:t>
        </w:r>
      </w:hyperlink>
      <w:r/>
    </w:p>
    <w:p>
      <w:pPr>
        <w:pStyle w:val="SpecSource"/>
      </w:pPr>
      <w:r>
        <w:t xml:space="preserve">[R20] Axel Thoms, monorail and other special escape-chute applications. </w:t>
      </w:r>
      <w:hyperlink r:id="rId35">
        <w:r>
          <w:rPr>
            <w:color w:val="174E73"/>
            <w:sz w:val="20"/>
          </w:rPr>
          <w:t>escape-chute.net source</w:t>
        </w:r>
      </w:hyperlink>
      <w:r/>
    </w:p>
    <w:p>
      <w:pPr>
        <w:pStyle w:val="SpecSource"/>
      </w:pPr>
      <w:r>
        <w:t xml:space="preserve">[R21] Axel Thoms, stationary vertical spiral escape-chute family; supplier claims require installation-specific validation. </w:t>
      </w:r>
      <w:hyperlink r:id="rId36">
        <w:r>
          <w:rPr>
            <w:color w:val="174E73"/>
            <w:sz w:val="20"/>
          </w:rPr>
          <w:t>escape-chute.net source</w:t>
        </w:r>
      </w:hyperlink>
      <w:r/>
    </w:p>
    <w:p>
      <w:pPr>
        <w:pStyle w:val="SpecSource"/>
      </w:pPr>
      <w:r>
        <w:t xml:space="preserve">[R22] Patent publication DE19711884A1, emergency chute set for elevated train cabins. Used as a disclosed geometry reference, not a legal-status opinion. </w:t>
      </w:r>
      <w:hyperlink r:id="rId37">
        <w:r>
          <w:rPr>
            <w:color w:val="174E73"/>
            <w:sz w:val="20"/>
          </w:rPr>
          <w:t>patents.google.com source</w:t>
        </w:r>
      </w:hyperlink>
      <w:r/>
    </w:p>
    <w:p>
      <w:pPr>
        <w:pStyle w:val="SpecSource"/>
      </w:pPr>
      <w:r>
        <w:t xml:space="preserve">[R23] OpenSourceRail engineering identity and QA binding contract. </w:t>
      </w:r>
      <w:hyperlink r:id="rId38">
        <w:r>
          <w:rPr>
            <w:color w:val="174E73"/>
            <w:sz w:val="20"/>
          </w:rPr>
          <w:t>github.com source</w:t>
        </w:r>
      </w:hyperlink>
      <w:r/>
    </w:p>
    <w:p>
      <w:pPr>
        <w:pStyle w:val="SpecSource"/>
      </w:pPr>
      <w:r>
        <w:t xml:space="preserve">[R24] build123d documentation. </w:t>
      </w:r>
      <w:hyperlink r:id="rId39">
        <w:r>
          <w:rPr>
            <w:color w:val="174E73"/>
            <w:sz w:val="20"/>
          </w:rPr>
          <w:t>build123d.readthedocs.io source</w:t>
        </w:r>
      </w:hyperlink>
      <w:r/>
    </w:p>
    <w:p>
      <w:pPr>
        <w:pStyle w:val="SpecSource"/>
      </w:pPr>
      <w:r>
        <w:t xml:space="preserve">[R25] Gmsh reference manual. </w:t>
      </w:r>
      <w:hyperlink r:id="rId40">
        <w:r>
          <w:rPr>
            <w:color w:val="174E73"/>
            <w:sz w:val="20"/>
          </w:rPr>
          <w:t>gmsh.info source</w:t>
        </w:r>
      </w:hyperlink>
      <w:r/>
    </w:p>
    <w:p>
      <w:pPr>
        <w:pStyle w:val="SpecSource"/>
      </w:pPr>
      <w:r>
        <w:t xml:space="preserve">[R26] Elmer official electromagnetic tutorials and verification cases. </w:t>
      </w:r>
      <w:hyperlink r:id="rId41">
        <w:r>
          <w:rPr>
            <w:color w:val="174E73"/>
            <w:sz w:val="20"/>
          </w:rPr>
          <w:t>github.com source</w:t>
        </w:r>
      </w:hyperlink>
      <w:r/>
    </w:p>
    <w:p>
      <w:pPr>
        <w:pStyle w:val="SpecSource"/>
      </w:pPr>
      <w:r>
        <w:t xml:space="preserve">[R27] FEMM FAQ and analysis limitations. </w:t>
      </w:r>
      <w:hyperlink r:id="rId42">
        <w:r>
          <w:rPr>
            <w:color w:val="174E73"/>
            <w:sz w:val="20"/>
          </w:rPr>
          <w:t>femm.info source</w:t>
        </w:r>
      </w:hyperlink>
      <w:r/>
    </w:p>
    <w:p>
      <w:pPr>
        <w:pStyle w:val="SpecSource"/>
      </w:pPr>
      <w:r>
        <w:t xml:space="preserve">[R28] OpenModelica FMI documentation. </w:t>
      </w:r>
      <w:hyperlink r:id="rId43">
        <w:r>
          <w:rPr>
            <w:color w:val="174E73"/>
            <w:sz w:val="20"/>
          </w:rPr>
          <w:t>openmodelica.org source</w:t>
        </w:r>
      </w:hyperlink>
      <w:r/>
    </w:p>
    <w:p>
      <w:pPr>
        <w:pStyle w:val="SpecSource"/>
      </w:pPr>
      <w:r>
        <w:t xml:space="preserve">[R29] ERPNext manufacturing documentation. </w:t>
      </w:r>
      <w:hyperlink r:id="rId44">
        <w:r>
          <w:rPr>
            <w:color w:val="174E73"/>
            <w:sz w:val="20"/>
          </w:rPr>
          <w:t>docs.frappe.io source</w:t>
        </w:r>
      </w:hyperlink>
      <w:r>
        <w:t xml:space="preserve"> ; </w:t>
      </w:r>
      <w:hyperlink r:id="rId45">
        <w:r>
          <w:rPr>
            <w:color w:val="174E73"/>
            <w:sz w:val="20"/>
          </w:rPr>
          <w:t>docs.frappe.io source</w:t>
        </w:r>
      </w:hyperlink>
      <w:r>
        <w:t xml:space="preserve"> ; </w:t>
      </w:r>
      <w:hyperlink r:id="rId46">
        <w:r>
          <w:rPr>
            <w:color w:val="174E73"/>
            <w:sz w:val="20"/>
          </w:rPr>
          <w:t>docs.frappe.io source</w:t>
        </w:r>
      </w:hyperlink>
      <w:r/>
    </w:p>
    <w:p>
      <w:pPr>
        <w:pStyle w:val="SpecSource"/>
      </w:pPr>
      <w:r>
        <w:t xml:space="preserve">[R30] IfcOpenShell Python documentation and associated BIM utilities. </w:t>
      </w:r>
      <w:hyperlink r:id="rId47">
        <w:r>
          <w:rPr>
            <w:color w:val="174E73"/>
            <w:sz w:val="20"/>
          </w:rPr>
          <w:t>docs.ifcopenshell.org source</w:t>
        </w:r>
      </w:hyperlink>
      <w:r/>
    </w:p>
    <w:p>
      <w:pPr>
        <w:pStyle w:val="SpecSource"/>
      </w:pPr>
      <w:r>
        <w:t xml:space="preserve">[R31] FUXA official repository. </w:t>
      </w:r>
      <w:hyperlink r:id="rId48">
        <w:r>
          <w:rPr>
            <w:color w:val="174E73"/>
            <w:sz w:val="20"/>
          </w:rPr>
          <w:t>github.com source</w:t>
        </w:r>
      </w:hyperlink>
      <w:r/>
    </w:p>
    <w:p>
      <w:pPr>
        <w:pStyle w:val="SpecSource"/>
      </w:pPr>
      <w:r>
        <w:t xml:space="preserve">[R32] OpenSourceRail manufacturing implementation and cost rates. </w:t>
      </w:r>
      <w:hyperlink r:id="rId49">
        <w:r>
          <w:rPr>
            <w:color w:val="174E73"/>
            <w:sz w:val="20"/>
          </w:rPr>
          <w:t>github.com source</w:t>
        </w:r>
      </w:hyperlink>
      <w:r>
        <w:t xml:space="preserve"> ; </w:t>
      </w:r>
      <w:hyperlink r:id="rId50">
        <w:r>
          <w:rPr>
            <w:color w:val="174E73"/>
            <w:sz w:val="20"/>
          </w:rPr>
          <w:t>github.com source</w:t>
        </w:r>
      </w:hyperlink>
      <w:r/>
    </w:p>
    <w:p>
      <w:pPr>
        <w:pStyle w:val="SpecSource"/>
      </w:pPr>
      <w:r>
        <w:t xml:space="preserve">[R33] Richard F. Post, The Inductrack Approach to Magnetic Levitation, LLNL conference paper, 2000, US Department of Energy OSTI record. </w:t>
      </w:r>
      <w:hyperlink r:id="rId51">
        <w:r>
          <w:rPr>
            <w:color w:val="174E73"/>
            <w:sz w:val="20"/>
          </w:rPr>
          <w:t>www.osti.gov source</w:t>
        </w:r>
      </w:hyperlink>
      <w:r/>
    </w:p>
    <w:p>
      <w:pPr>
        <w:pStyle w:val="SpecSource"/>
      </w:pPr>
      <w:r>
        <w:t xml:space="preserve">[R34] Ingo Rehberg and Peter Blümler, Analytic approach to creating homogeneous fields with finite-size magnets, Physical Review Applied 23, 064029, 11 June 2025, DOI 10.1103/9nnk-jytn. Ring-field reference and finite-dipole optimization method. </w:t>
      </w:r>
      <w:hyperlink r:id="rId52">
        <w:r>
          <w:rPr>
            <w:color w:val="174E73"/>
            <w:sz w:val="20"/>
          </w:rPr>
          <w:t>journals.aps.org source</w:t>
        </w:r>
      </w:hyperlink>
      <w:r>
        <w:t xml:space="preserve"> ; </w:t>
      </w:r>
      <w:hyperlink r:id="rId53">
        <w:r>
          <w:rPr>
            <w:color w:val="174E73"/>
            <w:sz w:val="20"/>
          </w:rPr>
          <w:t>arxiv.org source</w:t>
        </w:r>
      </w:hyperlink>
      <w:r/>
    </w:p>
    <w:p>
      <w:pPr>
        <w:pStyle w:val="SpecSource"/>
      </w:pPr>
      <w:r>
        <w:t xml:space="preserve">[R35] Europe’s Rail, full-scale composite/hybrid carriage demonstrators and approximately 20% structural weight-reduction results. </w:t>
      </w:r>
      <w:hyperlink r:id="rId54">
        <w:r>
          <w:rPr>
            <w:color w:val="174E73"/>
            <w:sz w:val="20"/>
          </w:rPr>
          <w:t>rail-research.europa.eu source</w:t>
        </w:r>
      </w:hyperlink>
      <w:r/>
    </w:p>
    <w:p>
      <w:pPr>
        <w:pStyle w:val="SpecSource"/>
      </w:pPr>
      <w:r>
        <w:t xml:space="preserve">[R36] European Commission CORDIS, Mat4Rail final reporting: developed FST-performing composites and joints; shell-section reduction potential distinguished from measured whole-train mass. </w:t>
      </w:r>
      <w:hyperlink r:id="rId55">
        <w:r>
          <w:rPr>
            <w:color w:val="174E73"/>
            <w:sz w:val="20"/>
          </w:rPr>
          <w:t>cordis.europa.eu source</w:t>
        </w:r>
      </w:hyperlink>
      <w:r/>
    </w:p>
    <w:p>
      <w:pPr>
        <w:pStyle w:val="SpecSource"/>
      </w:pPr>
      <w:r>
        <w:t xml:space="preserve">[R37] Strongwell, Properties of EXTREN, May 2020. Density, directional properties and temperature-dependent retention provide material-specific context, not a property card for OSR laminates. </w:t>
      </w:r>
      <w:hyperlink r:id="rId56">
        <w:r>
          <w:rPr>
            <w:color w:val="174E73"/>
            <w:sz w:val="20"/>
          </w:rPr>
          <w:t>www.strongwell.com source</w:t>
        </w:r>
      </w:hyperlink>
      <w:r/>
    </w:p>
    <w:p>
      <w:pPr>
        <w:pStyle w:val="SpecSource"/>
      </w:pPr>
      <w:r>
        <w:t xml:space="preserve">[R38] Gurit Kerdyn PET, density and processing reference. Wind-market catalogue claims do not qualify rail panels. </w:t>
      </w:r>
      <w:hyperlink r:id="rId57">
        <w:r>
          <w:rPr>
            <w:color w:val="174E73"/>
            <w:sz w:val="20"/>
          </w:rPr>
          <w:t>www.gurit.com source</w:t>
        </w:r>
      </w:hyperlink>
      <w:r/>
    </w:p>
    <w:p>
      <w:pPr>
        <w:pStyle w:val="SpecSource"/>
      </w:pPr>
      <w:r>
        <w:t xml:space="preserve">[R39] 3A Composites, AIREX T90 product family, rail references, thermal/FST and processing information. Complete assembly qualification remains design-specific. </w:t>
      </w:r>
      <w:hyperlink r:id="rId58">
        <w:r>
          <w:rPr>
            <w:color w:val="174E73"/>
            <w:sz w:val="20"/>
          </w:rPr>
          <w:t>3accorematerials.com source</w:t>
        </w:r>
      </w:hyperlink>
      <w:r>
        <w:t xml:space="preserve"> ; </w:t>
      </w:r>
      <w:hyperlink r:id="rId59">
        <w:r>
          <w:rPr>
            <w:color w:val="174E73"/>
            <w:sz w:val="20"/>
          </w:rPr>
          <w:t>3accorematerials.com source</w:t>
        </w:r>
      </w:hyperlink>
      <w:r/>
    </w:p>
    <w:p>
      <w:pPr>
        <w:pStyle w:val="SpecSource"/>
      </w:pPr>
      <w:r>
        <w:t xml:space="preserve">[R40] 3A Composites, AIREX R82 technical data, March 2023. Higher-temperature core comparison with explicit density grades and qualification conditions. </w:t>
      </w:r>
      <w:hyperlink r:id="rId60">
        <w:r>
          <w:rPr>
            <w:color w:val="174E73"/>
            <w:sz w:val="20"/>
          </w:rPr>
          <w:t>www.3accorematerials.com source</w:t>
        </w:r>
      </w:hyperlink>
      <w:r/>
    </w:p>
    <w:p>
      <w:pPr>
        <w:pStyle w:val="SpecSource"/>
      </w:pPr>
      <w:r>
        <w:t xml:space="preserve">[R41] Gurit Kerdyn 180FR technical data. Used to illustrate density consequences of material substitution, not as a selected rail core. </w:t>
      </w:r>
      <w:hyperlink r:id="rId61">
        <w:r>
          <w:rPr>
            <w:color w:val="174E73"/>
            <w:sz w:val="20"/>
          </w:rPr>
          <w:t>www.gurit.com source</w:t>
        </w:r>
      </w:hyperlink>
      <w:r/>
    </w:p>
    <w:p>
      <w:pPr>
        <w:pStyle w:val="SpecSource"/>
      </w:pPr>
      <w:r>
        <w:t xml:space="preserve">[R42] Rehberg and Blümler, Halbach_two_point_oh, version 2.2.1, Zenodo, 25 September 2026. Reference exploration software; verify applicable code licence before integration. </w:t>
      </w:r>
      <w:hyperlink r:id="rId62">
        <w:r>
          <w:rPr>
            <w:color w:val="174E73"/>
            <w:sz w:val="20"/>
          </w:rPr>
          <w:t>zenodo.org source</w:t>
        </w:r>
      </w:hyperlink>
      <w:r/>
    </w:p>
    <w:p>
      <w:pPr>
        <w:pStyle w:val="SpecSource"/>
      </w:pPr>
      <w:r>
        <w:t xml:space="preserve">[R43] Magpylib official repository and analytical-field documentation; BSD-2-Clause licence. Pin a specific compatible version for reproducibility. </w:t>
      </w:r>
      <w:hyperlink r:id="rId63">
        <w:r>
          <w:rPr>
            <w:color w:val="174E73"/>
            <w:sz w:val="20"/>
          </w:rPr>
          <w:t>github.com source</w:t>
        </w:r>
      </w:hyperlink>
      <w:r>
        <w:t xml:space="preserve"> ; </w:t>
      </w:r>
      <w:hyperlink r:id="rId64">
        <w:r>
          <w:rPr>
            <w:color w:val="174E73"/>
            <w:sz w:val="20"/>
          </w:rPr>
          <w:t>magpylib.readthedocs.io source</w:t>
        </w:r>
      </w:hyperlink>
      <w:r/>
    </w:p>
    <w:p>
      <w:pPr>
        <w:pStyle w:val="SpecSource"/>
      </w:pPr>
      <w:r>
        <w:t xml:space="preserve">[R44] OpenSourceRail civil_bay and guideway_quantities geometry, reviewed commit 2617b04e722ca24b7ad9120f94610fe869f27053. Explicit study support solids, geometry scope and unqualified construction/ground conditions. </w:t>
      </w:r>
      <w:hyperlink r:id="rId65">
        <w:r>
          <w:rPr>
            <w:color w:val="174E73"/>
            <w:sz w:val="20"/>
          </w:rPr>
          <w:t>github.com source</w:t>
        </w:r>
      </w:hyperlink>
      <w:r/>
    </w:p>
    <w:p>
      <w:pPr>
        <w:pStyle w:val="SpecSource"/>
      </w:pPr>
      <w:r>
        <w:t xml:space="preserve">[R45] FHWA, Connection Details for Prefabricated Bridge Elements and Systems, Chapter 2, section 2.2.3. Prestressed box-beam construction precedent; highway dimensions and connections are not adopted as OSR design. </w:t>
      </w:r>
      <w:hyperlink r:id="rId66">
        <w:r>
          <w:rPr>
            <w:color w:val="174E73"/>
            <w:sz w:val="20"/>
          </w:rPr>
          <w:t>www.fhwa.dot.gov source</w:t>
        </w:r>
      </w:hyperlink>
      <w:r/>
    </w:p>
    <w:p>
      <w:pPr>
        <w:pStyle w:val="SpecSource"/>
      </w:pPr>
      <w:r>
        <w:t xml:space="preserve">[R46] FHWA-HIF-13-037, Precast Bent System for High Seismic Regions, June 2013. Column/socket and grouted cap connections, testing, construction lessons and design examples. </w:t>
      </w:r>
      <w:hyperlink r:id="rId67">
        <w:r>
          <w:rPr>
            <w:color w:val="174E73"/>
            <w:sz w:val="20"/>
          </w:rPr>
          <w:t>www.fhwa.dot.gov source</w:t>
        </w:r>
      </w:hyperlink>
      <w:r/>
    </w:p>
    <w:p>
      <w:pPr>
        <w:pStyle w:val="SpecSource"/>
      </w:pPr>
      <w:r>
        <w:t xml:space="preserve">[R47] FHWA Every Day Counts, Prefabricated Bridge Elements and Systems. Concurrent component manufacture and offsite construction processes. Establishes the method, not OSR price or output. </w:t>
      </w:r>
      <w:hyperlink r:id="rId68">
        <w:r>
          <w:rPr>
            <w:color w:val="174E73"/>
            <w:sz w:val="20"/>
          </w:rPr>
          <w:t>www.fhwa.dot.gov source</w:t>
        </w:r>
      </w:hyperlink>
      <w:r/>
    </w:p>
    <w:p>
      <w:pPr>
        <w:pStyle w:val="SpecSource"/>
      </w:pPr>
      <w:r>
        <w:t xml:space="preserve">[R48] SENSIL, How SENSIL LSM Launchers Work. Longitudinal alternating poles, pitch compatibility and motor/converter arrangement; a manufacturer explanation, not validation of OSR ferrite performance. </w:t>
      </w:r>
      <w:hyperlink r:id="rId69">
        <w:r>
          <w:rPr>
            <w:color w:val="174E73"/>
            <w:sz w:val="20"/>
          </w:rPr>
          <w:t>www.sensil.tech source</w:t>
        </w:r>
      </w:hyperlink>
      <w:r/>
    </w:p>
    <w:p>
      <w:pPr>
        <w:pStyle w:val="SpecSource"/>
      </w:pPr>
      <w:r>
        <w:t xml:space="preserve">[R49] Christopher Roger Lines, Modelling and control of segmented long-stator permanent-magnet linear synchronous motors, University of the Witwatersrand, 2014. Modular sections and switched inverter supply research; not a passenger-rail qualification. </w:t>
      </w:r>
      <w:hyperlink r:id="rId70">
        <w:r>
          <w:rPr>
            <w:color w:val="174E73"/>
            <w:sz w:val="20"/>
          </w:rPr>
          <w:t>wiredspace.wits.ac.za source</w:t>
        </w:r>
      </w:hyperlink>
      <w:r/>
    </w:p>
    <w:p>
      <w:pPr>
        <w:pStyle w:val="SpecSource"/>
      </w:pPr>
      <w:r>
        <w:t xml:space="preserve">[R50] ABB, ACS880 drive modules catalogue. Common DC systems, independent inverter modules, brake units and application-specific braking duty. Architecture reference only; no ABB quotation or motor compatibility is assumed. </w:t>
      </w:r>
      <w:hyperlink r:id="rId71">
        <w:r>
          <w:rPr>
            <w:color w:val="174E73"/>
            <w:sz w:val="20"/>
          </w:rPr>
          <w:t>library.e.abb.com source</w:t>
        </w:r>
      </w:hyperlink>
      <w:r/>
    </w:p>
    <w:p>
      <w:pPr>
        <w:pStyle w:val="SpecSource"/>
      </w:pPr>
      <w:r>
        <w:t xml:space="preserve">[R51] STMicroelectronics, X-CUBE-MCSDK. FOC, current sensing and encoder/Hall feedback functions. A development reference, not a complete railway control system. </w:t>
      </w:r>
      <w:hyperlink r:id="rId72">
        <w:r>
          <w:rPr>
            <w:color w:val="174E73"/>
            <w:sz w:val="20"/>
          </w:rPr>
          <w:t>www.st.com source</w:t>
        </w:r>
      </w:hyperlink>
      <w:r/>
    </w:p>
    <w:p>
      <w:pPr>
        <w:pStyle w:val="SpecSource"/>
      </w:pPr>
      <w:r>
        <w:t xml:space="preserve">[R52] SimpleFOC official source repository, MIT licence. Bench-level FOC algorithm and STM32 support reference. </w:t>
      </w:r>
      <w:hyperlink r:id="rId73">
        <w:r>
          <w:rPr>
            <w:color w:val="174E73"/>
            <w:sz w:val="20"/>
          </w:rPr>
          <w:t>github.com source</w:t>
        </w:r>
      </w:hyperlink>
      <w:r/>
    </w:p>
    <w:p>
      <w:pPr>
        <w:pStyle w:val="SpecSource"/>
      </w:pPr>
      <w:r>
        <w:t xml:space="preserve">[R53] Texas Instruments, TIDA-060045 linear-position sensing reference design. Reported performance applies to its specified magnet target/test range, not the proposed rail environment. </w:t>
      </w:r>
      <w:hyperlink r:id="rId74">
        <w:r>
          <w:rPr>
            <w:color w:val="174E73"/>
            <w:sz w:val="20"/>
          </w:rPr>
          <w:t>www.ti.com source</w:t>
        </w:r>
      </w:hyperlink>
      <w:r/>
    </w:p>
    <w:p>
      <w:pPr>
        <w:pStyle w:val="SpecSource"/>
      </w:pPr>
      <w:r>
        <w:t xml:space="preserve">[R54] InTraSys, SLIM drive and control-system manufacturer descriptions. Wayside LSM and position-dependent current distribution precedent; no ferrite railway qualification or supplier price is inferred. </w:t>
      </w:r>
      <w:hyperlink r:id="rId75">
        <w:r>
          <w:rPr>
            <w:color w:val="174E73"/>
            <w:sz w:val="20"/>
          </w:rPr>
          <w:t>intrasys-gmbh.com source</w:t>
        </w:r>
      </w:hyperlink>
      <w:r>
        <w:t xml:space="preserve"> ; </w:t>
      </w:r>
      <w:hyperlink r:id="rId76">
        <w:r>
          <w:rPr>
            <w:color w:val="174E73"/>
            <w:sz w:val="20"/>
          </w:rPr>
          <w:t>intrasys-gmbh.com source</w:t>
        </w:r>
      </w:hyperlink>
      <w:r/>
    </w:p>
    <w:sectPr w:rsidR="00FC693F" w:rsidRPr="0006063C" w:rsidSect="00034616">
      <w:footerReference w:type="default" r:id="rId9"/>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OpenSourceRail design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tem">
    <w:name w:val="Spec Item"/>
    <w:basedOn w:val="Normal"/>
    <w:pPr>
      <w:keepLines/>
      <w:spacing w:after="180"/>
      <w:ind w:left="490" w:hanging="490"/>
    </w:pPr>
  </w:style>
  <w:style w:type="paragraph" w:customStyle="1" w:styleId="SpecSource">
    <w:name w:val="Spec Source"/>
    <w:basedOn w:val="Normal"/>
    <w:pPr>
      <w:keepLines/>
      <w:spacing w:after="140"/>
    </w:pPr>
    <w:rPr>
      <w:sz w:val="20"/>
    </w:rPr>
  </w:style>
  <w:style w:type="paragraph" w:customStyle="1" w:styleId="SpecCode">
    <w:name w:val="Spec Code"/>
    <w:basedOn w:val="Normal"/>
    <w:pPr>
      <w:spacing w:after="0" w:line="240" w:lineRule="auto"/>
    </w:pPr>
    <w:rPr>
      <w:rFonts w:ascii="DejaVu Sans Mono" w:hAnsi="DejaVu Sans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modernecotech/OpenSourceRail/tree/2617b04e722ca24b7ad9120f94610fe869f27053" TargetMode="External"/><Relationship Id="rId17" Type="http://schemas.openxmlformats.org/officeDocument/2006/relationships/hyperlink" Target="https://rosap.ntl.bts.gov/view/dot/16183/dot_16183_DS1.pdf" TargetMode="External"/><Relationship Id="rId18" Type="http://schemas.openxmlformats.org/officeDocument/2006/relationships/hyperlink" Target="https://product.tdk.com/en/search/magnet/magnet/ferrite/catalog" TargetMode="External"/><Relationship Id="rId19" Type="http://schemas.openxmlformats.org/officeDocument/2006/relationships/hyperlink" Target="https://www.tdk.com/en/tech-mag/ferrite02/012" TargetMode="External"/><Relationship Id="rId20" Type="http://schemas.openxmlformats.org/officeDocument/2006/relationships/hyperlink" Target="https://www.arnoldmagnetics.com/wp-content/uploads/2017/10/TN_0205_rev_150716.pdf" TargetMode="External"/><Relationship Id="rId21" Type="http://schemas.openxmlformats.org/officeDocument/2006/relationships/hyperlink" Target="https://www.arnoldmagnetics.com/wp-content/uploads/2017/10/TN_0302_rev_150715.pdf" TargetMode="External"/><Relationship Id="rId22" Type="http://schemas.openxmlformats.org/officeDocument/2006/relationships/hyperlink" Target="https://www.duramag.com/ceramic-magnets/available-ceramic-magnet-grades/" TargetMode="External"/><Relationship Id="rId23" Type="http://schemas.openxmlformats.org/officeDocument/2006/relationships/hyperlink" Target="https://www.voestalpine.com/isovac/en/Products/isovac-R-grades" TargetMode="External"/><Relationship Id="rId24" Type="http://schemas.openxmlformats.org/officeDocument/2006/relationships/hyperlink" Target="https://www.axisengineering.co.uk/linear-induction-motors/" TargetMode="External"/><Relationship Id="rId25" Type="http://schemas.openxmlformats.org/officeDocument/2006/relationships/hyperlink" Target="https://www.hitachi.com/ICSFiles/afieldfile/2005/12/26/r2005_04_107.pdf" TargetMode="External"/><Relationship Id="rId26" Type="http://schemas.openxmlformats.org/officeDocument/2006/relationships/hyperlink" Target="https://www.permali.co.uk/rail-composites/" TargetMode="External"/><Relationship Id="rId27" Type="http://schemas.openxmlformats.org/officeDocument/2006/relationships/hyperlink" Target="https://www.gurit.com/pet/" TargetMode="External"/><Relationship Id="rId28" Type="http://schemas.openxmlformats.org/officeDocument/2006/relationships/hyperlink" Target="https://sutrakusa.com/roof-mount-ace-235-series/" TargetMode="External"/><Relationship Id="rId29" Type="http://schemas.openxmlformats.org/officeDocument/2006/relationships/hyperlink" Target="https://github.com/modernecotech/OpenSourceRail/tree/2617b04e722ca24b7ad9120f94610fe869f27053/crates/osr-interlocking" TargetMode="External"/><Relationship Id="rId30" Type="http://schemas.openxmlformats.org/officeDocument/2006/relationships/hyperlink" Target="https://www.st.com/en/evaluation-tools/nucleo-g474re.html" TargetMode="External"/><Relationship Id="rId31" Type="http://schemas.openxmlformats.org/officeDocument/2006/relationships/hyperlink" Target="https://www.orr.gov.uk/sites/default/files/2024-07/railway-safety-principles-factors-for-safe-operation-of-goa4-uto.pdf" TargetMode="External"/><Relationship Id="rId32" Type="http://schemas.openxmlformats.org/officeDocument/2006/relationships/hyperlink" Target="https://www.fhwa.dot.gov/bridge/prefab/if09010/03.cfm" TargetMode="External"/><Relationship Id="rId33" Type="http://schemas.openxmlformats.org/officeDocument/2006/relationships/hyperlink" Target="https://www.fhwa.dot.gov/bridge/abc/prefab_def.cfm" TargetMode="External"/><Relationship Id="rId34" Type="http://schemas.openxmlformats.org/officeDocument/2006/relationships/hyperlink" Target="https://www.monorails.org/webpix%202/HitachiSmall.pdf" TargetMode="External"/><Relationship Id="rId35" Type="http://schemas.openxmlformats.org/officeDocument/2006/relationships/hyperlink" Target="https://escape-chute.net/en/special-constructions/" TargetMode="External"/><Relationship Id="rId36" Type="http://schemas.openxmlformats.org/officeDocument/2006/relationships/hyperlink" Target="https://escape-chute.net/en/stationary-escape-chute/" TargetMode="External"/><Relationship Id="rId37" Type="http://schemas.openxmlformats.org/officeDocument/2006/relationships/hyperlink" Target="https://patents.google.com/patent/DE19711884A1/en" TargetMode="External"/><Relationship Id="rId38" Type="http://schemas.openxmlformats.org/officeDocument/2006/relationships/hyperlink" Target="https://github.com/modernecotech/OpenSourceRail/blob/2617b04e722ca24b7ad9120f94610fe869f27053/deployment/erpnext/apps/osr_erpnext/osr_erpnext/engineering_identity.py" TargetMode="External"/><Relationship Id="rId39" Type="http://schemas.openxmlformats.org/officeDocument/2006/relationships/hyperlink" Target="https://build123d.readthedocs.io/en/latest/" TargetMode="External"/><Relationship Id="rId40" Type="http://schemas.openxmlformats.org/officeDocument/2006/relationships/hyperlink" Target="https://gmsh.info/doc/texinfo/gmsh.html" TargetMode="External"/><Relationship Id="rId41" Type="http://schemas.openxmlformats.org/officeDocument/2006/relationships/hyperlink" Target="https://github.com/ElmerCSC/elmer-elmag" TargetMode="External"/><Relationship Id="rId42" Type="http://schemas.openxmlformats.org/officeDocument/2006/relationships/hyperlink" Target="https://femm.info/doku/doku.php?id=faq" TargetMode="External"/><Relationship Id="rId43" Type="http://schemas.openxmlformats.org/officeDocument/2006/relationships/hyperlink" Target="https://openmodelica.org/doc/OpenModelicaUsersGuide/latest/fmitlm.html" TargetMode="External"/><Relationship Id="rId44" Type="http://schemas.openxmlformats.org/officeDocument/2006/relationships/hyperlink" Target="https://docs.frappe.io/erpnext/bill-of-materials" TargetMode="External"/><Relationship Id="rId45" Type="http://schemas.openxmlformats.org/officeDocument/2006/relationships/hyperlink" Target="https://docs.frappe.io/erpnext/routing" TargetMode="External"/><Relationship Id="rId46" Type="http://schemas.openxmlformats.org/officeDocument/2006/relationships/hyperlink" Target="https://docs.frappe.io/erpnext/job-card" TargetMode="External"/><Relationship Id="rId47" Type="http://schemas.openxmlformats.org/officeDocument/2006/relationships/hyperlink" Target="https://docs.ifcopenshell.org/ifcopenshell-python.html" TargetMode="External"/><Relationship Id="rId48" Type="http://schemas.openxmlformats.org/officeDocument/2006/relationships/hyperlink" Target="https://github.com/frangoteam/FUXA" TargetMode="External"/><Relationship Id="rId49" Type="http://schemas.openxmlformats.org/officeDocument/2006/relationships/hyperlink" Target="https://github.com/modernecotech/OpenSourceRail/blob/2617b04e722ca24b7ad9120f94610fe869f27053/engineering/ferrite_maglev/manufacturing.py" TargetMode="External"/><Relationship Id="rId50" Type="http://schemas.openxmlformats.org/officeDocument/2006/relationships/hyperlink" Target="https://github.com/modernecotech/OpenSourceRail/blob/2617b04e722ca24b7ad9120f94610fe869f27053/engineering/ferrite_maglev/data/cost-rates.json" TargetMode="External"/><Relationship Id="rId51" Type="http://schemas.openxmlformats.org/officeDocument/2006/relationships/hyperlink" Target="https://www.osti.gov/biblio/791522" TargetMode="External"/><Relationship Id="rId52" Type="http://schemas.openxmlformats.org/officeDocument/2006/relationships/hyperlink" Target="https://journals.aps.org/prapplied/abstract/10.1103/9nnk-jytn" TargetMode="External"/><Relationship Id="rId53" Type="http://schemas.openxmlformats.org/officeDocument/2006/relationships/hyperlink" Target="https://arxiv.org/pdf/2502.18262v2" TargetMode="External"/><Relationship Id="rId54" Type="http://schemas.openxmlformats.org/officeDocument/2006/relationships/hyperlink" Target="https://rail-research.europa.eu/latest-news/leveraging-the-benefits-of-lighter-trains-and-running-gear/" TargetMode="External"/><Relationship Id="rId55" Type="http://schemas.openxmlformats.org/officeDocument/2006/relationships/hyperlink" Target="https://cordis.europa.eu/project/id/777595/reporting" TargetMode="External"/><Relationship Id="rId56" Type="http://schemas.openxmlformats.org/officeDocument/2006/relationships/hyperlink" Target="https://www.strongwell.com/wp-content/uploads/2020/05/Section03-0520.pdf" TargetMode="External"/><Relationship Id="rId57" Type="http://schemas.openxmlformats.org/officeDocument/2006/relationships/hyperlink" Target="https://www.gurit.com/kerdyn-pet-wind/" TargetMode="External"/><Relationship Id="rId58" Type="http://schemas.openxmlformats.org/officeDocument/2006/relationships/hyperlink" Target="https://3accorematerials.com/en/markets-and-products/airex-foam/airex-t90-fire-resistant-foam" TargetMode="External"/><Relationship Id="rId59" Type="http://schemas.openxmlformats.org/officeDocument/2006/relationships/hyperlink" Target="https://3accorematerials.com/uploads/pdf/TDS-AIREX-T90-E-07.2025.PDF" TargetMode="External"/><Relationship Id="rId60" Type="http://schemas.openxmlformats.org/officeDocument/2006/relationships/hyperlink" Target="https://www.3accorematerials.com/uploads/pdf/TDS-AIREX-R82-E-03.2023_2025-06-25-090817_xohj.pdf" TargetMode="External"/><Relationship Id="rId61" Type="http://schemas.openxmlformats.org/officeDocument/2006/relationships/hyperlink" Target="https://www.gurit.com/wp-content/uploads/2025/12/TDS-Kerdyn-180FR-13-1024.pdf" TargetMode="External"/><Relationship Id="rId62" Type="http://schemas.openxmlformats.org/officeDocument/2006/relationships/hyperlink" Target="https://zenodo.org/records/22957321" TargetMode="External"/><Relationship Id="rId63" Type="http://schemas.openxmlformats.org/officeDocument/2006/relationships/hyperlink" Target="https://github.com/magpylib/magpylib" TargetMode="External"/><Relationship Id="rId64" Type="http://schemas.openxmlformats.org/officeDocument/2006/relationships/hyperlink" Target="https://magpylib.readthedocs.io/en/latest/_pages/user_guide/guide_resources_01_physics.html" TargetMode="External"/><Relationship Id="rId65" Type="http://schemas.openxmlformats.org/officeDocument/2006/relationships/hyperlink" Target="https://github.com/modernecotech/OpenSourceRail/blob/2617b04e722ca24b7ad9120f94610fe869f27053/engineering/ferrite_maglev/geometry.py" TargetMode="External"/><Relationship Id="rId66" Type="http://schemas.openxmlformats.org/officeDocument/2006/relationships/hyperlink" Target="https://www.fhwa.dot.gov/bridge/prefab/if09010/02b.cfm" TargetMode="External"/><Relationship Id="rId67" Type="http://schemas.openxmlformats.org/officeDocument/2006/relationships/hyperlink" Target="https://www.fhwa.dot.gov/hfl/partnerships/precast_bridge/hif13037/" TargetMode="External"/><Relationship Id="rId68" Type="http://schemas.openxmlformats.org/officeDocument/2006/relationships/hyperlink" Target="https://www.fhwa.dot.gov/innovation/everydaycounts/edc-2/pbes.cfm" TargetMode="External"/><Relationship Id="rId69" Type="http://schemas.openxmlformats.org/officeDocument/2006/relationships/hyperlink" Target="https://www.sensil.tech/how-sensil-lsm-launchers-work" TargetMode="External"/><Relationship Id="rId70" Type="http://schemas.openxmlformats.org/officeDocument/2006/relationships/hyperlink" Target="https://wiredspace.wits.ac.za/items/6531732a-6b4b-4135-af77-7313951097cb" TargetMode="External"/><Relationship Id="rId71" Type="http://schemas.openxmlformats.org/officeDocument/2006/relationships/hyperlink" Target="https://library.e.abb.com/public/2ea96e5d24c1419794e6f126d537c301/ACS880-PHTC04U-EN_Rev_A.pdf" TargetMode="External"/><Relationship Id="rId72" Type="http://schemas.openxmlformats.org/officeDocument/2006/relationships/hyperlink" Target="https://www.st.com/en/embedded-software/x-cube-mcsdk.html" TargetMode="External"/><Relationship Id="rId73" Type="http://schemas.openxmlformats.org/officeDocument/2006/relationships/hyperlink" Target="https://github.com/simplefoc/Arduino-FOC" TargetMode="External"/><Relationship Id="rId74" Type="http://schemas.openxmlformats.org/officeDocument/2006/relationships/hyperlink" Target="https://www.ti.com/tool/TIDA-060045" TargetMode="External"/><Relationship Id="rId75" Type="http://schemas.openxmlformats.org/officeDocument/2006/relationships/hyperlink" Target="https://intrasys-gmbh.com/lineare-antriebstechnik/das-slim-antriebssystem/" TargetMode="External"/><Relationship Id="rId76" Type="http://schemas.openxmlformats.org/officeDocument/2006/relationships/hyperlink" Target="https://intrasys-gmbh.com/lineare-antriebstechnik/steuer-und-diagnos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OpenSourceRail Station Powered Ferrite Maglev Design Specification</dc:title>
  <dc:subject>Six car Baghdad architecture and executable engineering development specification</dc:subject>
  <dc:creator>OpenSourceRail design study</dc:creator>
  <cp:keywords>ferrite; maglev; station propulsion; digital twin; Baghdad</cp:keywords>
  <dc:description>generated by python-docx</dc:description>
  <cp:lastModifiedBy/>
  <cp:revision>1</cp:revision>
  <dcterms:created xsi:type="dcterms:W3CDTF">2013-12-23T23:15:00Z</dcterms:created>
  <dcterms:modified xsi:type="dcterms:W3CDTF">2013-12-23T23:15:00Z</dcterms:modified>
  <cp:category/>
</cp:coreProperties>
</file>