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Civil design exploration</w:t>
        <w:br/>
        <w:t>Implementation plan</w:t>
      </w:r>
    </w:p>
    <w:p>
      <w:pPr>
        <w:pStyle w:val="Subtitle"/>
      </w:pPr>
      <w:r>
        <w:t>Lightweight hybrid viaducts, piers and foundations for OpenSourceRail</w:t>
      </w:r>
    </w:p>
    <w:p>
      <w:r>
        <w:t>Repository reviewed: modernecotech/OpenSourceRail</w:t>
        <w:br/>
        <w:t>Baseline: main at 64549d89476e823be9bcfabf90357f41ac3a7493</w:t>
        <w:br/>
        <w:t>Review date: 9 October 2026</w:t>
      </w:r>
    </w:p>
    <w:p>
      <w:pPr>
        <w:pStyle w:val="Heading2"/>
      </w:pPr>
      <w:r>
        <w:t>The proposed outcome</w:t>
      </w:r>
    </w:p>
    <w:p>
      <w:r>
        <w:t>Create a reproducible engineering workbench that generates complete viaduct alternatives, assembles their load paths, tests them against common requirements and benchmarks, and improves their parameters through constrained optimisation. Its output is a shortlist of feasible designs with explicit trade-offs, uncertainties and evidence gaps.</w:t>
      </w:r>
    </w:p>
    <w:p>
      <w:r>
        <w:t>The first campaign should compare the existing 20 m and 25 m reference spans with conventional prestressed girders, hollow and ribbed concrete forms, targeted high-performance concrete, and selected FRP–concrete hybrids. Pier and foundation choices must be evaluated with each superstructure. Longer spans and novel materials remain labelled research cases until their models and connections are qualified.</w:t>
      </w:r>
    </w:p>
    <w:p>
      <w:pPr>
        <w:pStyle w:val="Heading2"/>
      </w:pPr>
      <w:r>
        <w:t>The key decision</w:t>
      </w:r>
    </w:p>
    <w:p>
      <w:r>
        <w:t>Extend the existing CAD, civil evidence, option-comparison and change-control workflows. Build a new civil exploration layer that orchestrates them; retain the existing structural release gates. Software execution, a low mass or a favourable cost estimate must never automatically change an engineering approval status.</w:t>
      </w:r>
    </w:p>
    <w:p>
      <w:pPr>
        <w:pStyle w:val="Heading2"/>
      </w:pPr>
      <w:r>
        <w:t>What this plan establishes</w:t>
      </w:r>
    </w:p>
    <w:p>
      <w:r>
        <w:t>A bounded option register, versioned candidate contracts, three levels of analysis, benchmark and physical-validation programmes, a staged implementation backlog, cost and uncertainty rules, and a controlled route from an investigated candidate to a reviewed product.</w:t>
      </w:r>
    </w:p>
    <w:p>
      <w:r>
        <w:t>This is an implementation plan based on source inspection and primary external references. It does not report new solver runs, certify designs, establish site-specific foundation dimensions or claim a percentage saving. Repository files have not been modified. Sources and their limitations appear on the final two pages.</w:t>
      </w:r>
    </w:p>
    <w:p>
      <w:pPr>
        <w:pStyle w:val="Heading1"/>
        <w:pageBreakBefore/>
      </w:pPr>
      <w:r>
        <w:t>What exists and what is missing</w:t>
      </w:r>
    </w:p>
    <w:p>
      <w:r>
        <w:t>The repository already contains more than conceptual geometry. The missing capability is an end-to-end search over complete civil systems, supported by models appropriate to each failure mode. [R1–R7]</w:t>
      </w:r>
    </w:p>
    <w:tbl>
      <w:tblPr>
        <w:tblW w:type="auto" w:w="0"/>
        <w:tblLayout w:type="fixed"/>
        <w:tblLook w:firstColumn="1" w:firstRow="1" w:lastColumn="0" w:lastRow="0" w:noHBand="0" w:noVBand="1" w:val="04A0"/>
      </w:tblPr>
      <w:tblGrid>
        <w:gridCol w:w="3096"/>
        <w:gridCol w:w="3600"/>
        <w:gridCol w:w="3528"/>
      </w:tblGrid>
      <w:tr>
        <w:trPr>
          <w:tblHeader/>
          <w:cantSplit/>
        </w:trPr>
        <w:tc>
          <w:tcPr>
            <w:tcW w:type="dxa" w:w="3096"/>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Existing foundation</w:t>
            </w:r>
          </w:p>
        </w:tc>
        <w:tc>
          <w:tcPr>
            <w:tcW w:type="dxa" w:w="3600"/>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Gap to close</w:t>
            </w:r>
          </w:p>
        </w:tc>
        <w:tc>
          <w:tcPr>
            <w:tcW w:type="dxa" w:w="3528"/>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Implementation response</w:t>
            </w:r>
          </w:p>
        </w:tc>
      </w:tr>
      <w:tr>
        <w:trPr>
          <w:cantSplit/>
        </w:trPr>
        <w:tc>
          <w:tcPr>
            <w:tcW w:type="dxa" w:w="309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Pi and U-girder families; civil substructure and foundation models</w:t>
            </w:r>
          </w:p>
        </w:tc>
        <w:tc>
          <w:tcPr>
            <w:tcW w:type="dxa" w:w="360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Planning/interface geometry is not a detailed reinforcement, prestress or connection design.</w:t>
            </w:r>
          </w:p>
        </w:tc>
        <w:tc>
          <w:tcPr>
            <w:tcW w:type="dxa" w:w="352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Add bounded parameters, section properties, material regions, tendon/rebar definitions and connection contracts.</w:t>
            </w:r>
          </w:p>
        </w:tc>
      </w:tr>
      <w:tr>
        <w:trPr>
          <w:cantSplit/>
        </w:trPr>
        <w:tc>
          <w:tcPr>
            <w:tcW w:type="dxa" w:w="309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Hollow/precast-shell pier-cap geometry; continuity options</w:t>
            </w:r>
          </w:p>
        </w:tc>
        <w:tc>
          <w:tcPr>
            <w:tcW w:type="dxa" w:w="360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 hollow cap already exists. Pier sections, staged continuity and flexible supports need broader analytical treatment.</w:t>
            </w:r>
          </w:p>
        </w:tc>
        <w:tc>
          <w:tcPr>
            <w:tcW w:type="dxa" w:w="352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Extend existing families; model hollow columns, joint behaviour and foundation flexibility explicitly.</w:t>
            </w:r>
          </w:p>
        </w:tc>
      </w:tr>
      <w:tr>
        <w:trPr>
          <w:cantSplit/>
        </w:trPr>
        <w:tc>
          <w:tcPr>
            <w:tcW w:type="dxa" w:w="309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OpenSees and CalculiX civil reference benchmarks</w:t>
            </w:r>
          </w:p>
        </w:tc>
        <w:tc>
          <w:tcPr>
            <w:tcW w:type="dxa" w:w="360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Elastic beam checks; CalculiX uses an equivalent rectangular surrogate. They do not validate Pi stress, fatigue, prestress or seismic behaviour.</w:t>
            </w:r>
          </w:p>
        </w:tc>
        <w:tc>
          <w:tcPr>
            <w:tcW w:type="dxa" w:w="352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Preserve these checks; add shape-specific, nonlinear, dynamic and physical benchmarks.</w:t>
            </w:r>
          </w:p>
        </w:tc>
      </w:tr>
      <w:tr>
        <w:trPr>
          <w:cantSplit/>
        </w:trPr>
        <w:tc>
          <w:tcPr>
            <w:tcW w:type="dxa" w:w="309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FreeCAD–CalculiX change examples and mesh studies</w:t>
            </w:r>
          </w:p>
        </w:tc>
        <w:tc>
          <w:tcPr>
            <w:tcW w:type="dxa" w:w="360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Current native examples concern rectangular crossbearers, not arbitrary civil assemblies.</w:t>
            </w:r>
          </w:p>
        </w:tc>
        <w:tc>
          <w:tcPr>
            <w:tcW w:type="dxa" w:w="352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Add verified civil adapters and staged assembly/load-path fixtures.</w:t>
            </w:r>
          </w:p>
        </w:tc>
      </w:tr>
      <w:tr>
        <w:trPr>
          <w:cantSplit/>
        </w:trPr>
        <w:tc>
          <w:tcPr>
            <w:tcW w:type="dxa" w:w="309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Bounded design-options workflow and sealed evidence</w:t>
            </w:r>
          </w:p>
        </w:tc>
        <w:tc>
          <w:tcPr>
            <w:tcW w:type="dxa" w:w="360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Existing option comparisons primarily address operational/energy scenarios.</w:t>
            </w:r>
          </w:p>
        </w:tc>
        <w:tc>
          <w:tcPr>
            <w:tcW w:type="dxa" w:w="352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Add a civil study contract, compatible families, candidate lineage and repeatable search.</w:t>
            </w:r>
          </w:p>
        </w:tc>
      </w:tr>
      <w:tr>
        <w:trPr>
          <w:cantSplit/>
        </w:trPr>
        <w:tc>
          <w:tcPr>
            <w:tcW w:type="dxa" w:w="309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Civil evidence, native parsers and release workflow</w:t>
            </w:r>
          </w:p>
        </w:tc>
        <w:tc>
          <w:tcPr>
            <w:tcW w:type="dxa" w:w="360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Need forces, stresses, modes, histories and composite criteria; engineering gaps remain open.</w:t>
            </w:r>
          </w:p>
        </w:tc>
        <w:tc>
          <w:tcPr>
            <w:tcW w:type="dxa" w:w="352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Extend parsers and evidence coverage without bypassing accepted review roles.</w:t>
            </w:r>
          </w:p>
        </w:tc>
      </w:tr>
      <w:tr>
        <w:trPr>
          <w:cantSplit/>
        </w:trPr>
        <w:tc>
          <w:tcPr>
            <w:tcW w:type="dxa" w:w="309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Baghdad package comparisons, quantities and cost interfaces</w:t>
            </w:r>
          </w:p>
        </w:tc>
        <w:tc>
          <w:tcPr>
            <w:tcW w:type="dxa" w:w="360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Soil, complete lift configurations and local quotes remain unresolved.</w:t>
            </w:r>
          </w:p>
        </w:tc>
        <w:tc>
          <w:tcPr>
            <w:tcW w:type="dxa" w:w="352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Attach scenarios and evidence to each package; show unknown values and conditional rankings.</w:t>
            </w:r>
          </w:p>
        </w:tc>
      </w:tr>
    </w:tbl>
    <w:p>
      <w:pPr>
        <w:spacing w:after="0" w:line="40" w:lineRule="exact"/>
      </w:pPr>
    </w:p>
    <w:p>
      <w:r>
        <w:t>Important baseline limitation: the civil reference uses E = 30 GPa, self-weight and an illustrative 20 kN/m additional load. Its deflections are solver checks, not accepted railway serviceability limits. Complete Baghdad train loading must not be inferred by repeating a generic LM3 pattern. [R1, R6]</w:t>
      </w:r>
    </w:p>
    <w:p>
      <w:pPr>
        <w:pStyle w:val="Heading1"/>
        <w:pageBreakBefore/>
      </w:pPr>
      <w:r>
        <w:t>The option space</w:t>
      </w:r>
    </w:p>
    <w:p>
      <w:r>
        <w:t>Register families before searching dimensions. Each family needs an owner, evidence maturity, applicable span/load range, manufacturable bounds and compatible connections. Existing 20/25 m products remain the control cases; a proposed 15–35 m research envelope must not silently expand accepted catalogue limits.</w:t>
      </w:r>
    </w:p>
    <w:tbl>
      <w:tblPr>
        <w:tblW w:type="auto" w:w="0"/>
        <w:tblLayout w:type="fixed"/>
        <w:tblLook w:firstColumn="1" w:firstRow="1" w:lastColumn="0" w:lastRow="0" w:noHBand="0" w:noVBand="1" w:val="04A0"/>
      </w:tblPr>
      <w:tblGrid>
        <w:gridCol w:w="1944"/>
        <w:gridCol w:w="4104"/>
        <w:gridCol w:w="4176"/>
      </w:tblGrid>
      <w:tr>
        <w:trPr>
          <w:tblHeader/>
          <w:cantSplit/>
        </w:trPr>
        <w:tc>
          <w:tcPr>
            <w:tcW w:type="dxa" w:w="1944"/>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Family</w:t>
            </w:r>
          </w:p>
        </w:tc>
        <w:tc>
          <w:tcPr>
            <w:tcW w:type="dxa" w:w="4104"/>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Variables to investigate</w:t>
            </w:r>
          </w:p>
        </w:tc>
        <w:tc>
          <w:tcPr>
            <w:tcW w:type="dxa" w:w="4176"/>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Evidence and limits</w:t>
            </w:r>
          </w:p>
        </w:tc>
      </w:tr>
      <w:tr>
        <w:trPr>
          <w:cantSplit/>
        </w:trPr>
        <w:tc>
          <w:tcPr>
            <w:tcW w:type="dxa" w:w="194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Reference and conventional</w:t>
            </w:r>
          </w:p>
        </w:tc>
        <w:tc>
          <w:tcPr>
            <w:tcW w:type="dxa" w:w="410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Existing Pi20/Pi25; local prestressed I-girder and deck; U-girder.</w:t>
            </w:r>
          </w:p>
        </w:tc>
        <w:tc>
          <w:tcPr>
            <w:tcW w:type="dxa" w:w="41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Common baseline scope; actual tendons, reinforcement, loads and quotations still required.</w:t>
            </w:r>
          </w:p>
        </w:tc>
      </w:tr>
      <w:tr>
        <w:trPr>
          <w:cantSplit/>
        </w:trPr>
        <w:tc>
          <w:tcPr>
            <w:tcW w:type="dxa" w:w="194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Efficient concrete geometry</w:t>
            </w:r>
          </w:p>
        </w:tc>
        <w:tc>
          <w:tcPr>
            <w:tcW w:type="dxa" w:w="410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Hollow box, ribbed/waffle deck, haunches, variable web thickness and diaphragm spacing.</w:t>
            </w:r>
          </w:p>
        </w:tc>
        <w:tc>
          <w:tcPr>
            <w:tcW w:type="dxa" w:w="41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Check torsion, shear, local buckling, shear lag, access and practical minimum thicknesses.</w:t>
            </w:r>
          </w:p>
        </w:tc>
      </w:tr>
      <w:tr>
        <w:trPr>
          <w:cantSplit/>
        </w:trPr>
        <w:tc>
          <w:tcPr>
            <w:tcW w:type="dxa" w:w="194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Hybrid beams and decks</w:t>
            </w:r>
          </w:p>
        </w:tc>
        <w:tc>
          <w:tcPr>
            <w:tcW w:type="dxa" w:w="410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FRP shell with concrete compression region and steel tension system; FRP girders with thin concrete deck.</w:t>
            </w:r>
          </w:p>
        </w:tc>
        <w:tc>
          <w:tcPr>
            <w:tcW w:type="dxa" w:w="41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Separate empty transport mass from complete service mass. Test interfaces, creep, fatigue, fire and inspection access. [W1]</w:t>
            </w:r>
          </w:p>
        </w:tc>
      </w:tr>
      <w:tr>
        <w:trPr>
          <w:cantSplit/>
        </w:trPr>
        <w:tc>
          <w:tcPr>
            <w:tcW w:type="dxa" w:w="194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Material matrices</w:t>
            </w:r>
          </w:p>
        </w:tc>
        <w:tc>
          <w:tcPr>
            <w:tcW w:type="dxa" w:w="410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Structural lightweight aggregate concrete; targeted UHPC ribs/joints; conventional high-performance concrete.</w:t>
            </w:r>
          </w:p>
        </w:tc>
        <w:tc>
          <w:tcPr>
            <w:tcW w:type="dxa" w:w="41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Measured mix properties, curing and local cost. Waffle-deck evidence is road-bridge evidence, not metro qualification. [W2]</w:t>
            </w:r>
          </w:p>
        </w:tc>
      </w:tr>
      <w:tr>
        <w:trPr>
          <w:cantSplit/>
        </w:trPr>
        <w:tc>
          <w:tcPr>
            <w:tcW w:type="dxa" w:w="194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System shape</w:t>
            </w:r>
          </w:p>
        </w:tc>
        <w:tc>
          <w:tcPr>
            <w:tcW w:type="dxa" w:w="410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Simple spans, genuine continuity, haunched frames; longitudinal V supports and transverse Y caps.</w:t>
            </w:r>
          </w:p>
        </w:tc>
        <w:tc>
          <w:tcPr>
            <w:tcW w:type="dxa" w:w="41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Different load paths: bearings, thermal restraint, braking, seismic action and erection stability must be resolved.</w:t>
            </w:r>
          </w:p>
        </w:tc>
      </w:tr>
      <w:tr>
        <w:trPr>
          <w:cantSplit/>
        </w:trPr>
        <w:tc>
          <w:tcPr>
            <w:tcW w:type="dxa" w:w="194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Pier and cap</w:t>
            </w:r>
          </w:p>
        </w:tc>
        <w:tc>
          <w:tcPr>
            <w:tcW w:type="dxa" w:w="410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Solid/hollow sections, taper, shared caps; segmental/post-tensioned piers; experimental double-skin hybrids.</w:t>
            </w:r>
          </w:p>
        </w:tc>
        <w:tc>
          <w:tcPr>
            <w:tcW w:type="dxa" w:w="41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Compare cyclic ductility, confinement, joint opening, inspection and replaceability. Do not assume FRP replaces seismic steel.</w:t>
            </w:r>
          </w:p>
        </w:tc>
      </w:tr>
      <w:tr>
        <w:trPr>
          <w:cantSplit/>
        </w:trPr>
        <w:tc>
          <w:tcPr>
            <w:tcW w:type="dxa" w:w="194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Foundation and piling</w:t>
            </w:r>
          </w:p>
        </w:tc>
        <w:tc>
          <w:tcPr>
            <w:tcW w:type="dxa" w:w="410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Single shaft, groups, CFA/displacement piles, hollow precast piles; ground improvement plus shallow foundations.</w:t>
            </w:r>
          </w:p>
        </w:tc>
        <w:tc>
          <w:tcPr>
            <w:tcW w:type="dxa" w:w="41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Site-conditioned axial/lateral response, group effects, settlement, groundwater, scour and installability. [W3]</w:t>
            </w:r>
          </w:p>
        </w:tc>
      </w:tr>
      <w:tr>
        <w:trPr>
          <w:cantSplit/>
        </w:trPr>
        <w:tc>
          <w:tcPr>
            <w:tcW w:type="dxa" w:w="194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Secondary research</w:t>
            </w:r>
          </w:p>
        </w:tc>
        <w:tc>
          <w:tcPr>
            <w:tcW w:type="dxa" w:w="410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Novel recycled materials for walkways, covers or short-span components.</w:t>
            </w:r>
          </w:p>
        </w:tc>
        <w:tc>
          <w:tcPr>
            <w:tcW w:type="dxa" w:w="41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Separate from primary long-span railway qualification; fatigue, temperature and connection evidence required.</w:t>
            </w:r>
          </w:p>
        </w:tc>
      </w:tr>
    </w:tbl>
    <w:p>
      <w:pPr>
        <w:spacing w:after="0" w:line="40" w:lineRule="exact"/>
      </w:pPr>
    </w:p>
    <w:p>
      <w:r>
        <w:t>Material variables include density, stiffness, strength distributions, creep/shrinkage, thermal expansion, permeability, fatigue curves and degradation. FRP adds fibre direction, layup, resin and interface properties. The optimiser selects measured material records; it must not invent properties or mix recipes.</w:t>
      </w:r>
    </w:p>
    <w:p>
      <w:pPr>
        <w:pStyle w:val="Heading1"/>
        <w:pageBreakBefore/>
      </w:pPr>
      <w:r>
        <w:t>Repository architecture</w:t>
      </w:r>
    </w:p>
    <w:p>
      <w:r>
        <w:t>The following paths are proposed additions unless identified as existing. Keep canonical civil geometry in the existing component catalogue and expose it through adapters. Do not introduce a second geometry authority. [R2–R5]</w:t>
      </w:r>
    </w:p>
    <w:tbl>
      <w:tblPr>
        <w:tblW w:type="auto" w:w="0"/>
        <w:tblLayout w:type="fixed"/>
        <w:tblLook w:firstColumn="1" w:firstRow="1" w:lastColumn="0" w:lastRow="0" w:noHBand="0" w:noVBand="1" w:val="04A0"/>
      </w:tblPr>
      <w:tblGrid>
        <w:gridCol w:w="4392"/>
        <w:gridCol w:w="5832"/>
      </w:tblGrid>
      <w:tr>
        <w:trPr>
          <w:tblHeader/>
          <w:cantSplit/>
        </w:trPr>
        <w:tc>
          <w:tcPr>
            <w:tcW w:type="dxa" w:w="4392"/>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Location</w:t>
            </w:r>
          </w:p>
        </w:tc>
        <w:tc>
          <w:tcPr>
            <w:tcW w:type="dxa" w:w="5832"/>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Responsibility</w:t>
            </w:r>
          </w:p>
        </w:tc>
      </w:tr>
      <w:tr>
        <w:trPr>
          <w:cantSplit/>
        </w:trPr>
        <w:tc>
          <w:tcPr>
            <w:tcW w:type="dxa" w:w="439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engineering/civil-exploration/</w:t>
            </w:r>
          </w:p>
        </w:tc>
        <w:tc>
          <w:tcPr>
            <w:tcW w:type="dxa" w:w="58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New study runner, option register, schemas, solver adapters, optimisation, candidate ledger and comparison reports.</w:t>
            </w:r>
          </w:p>
        </w:tc>
      </w:tr>
      <w:tr>
        <w:trPr>
          <w:cantSplit/>
        </w:trPr>
        <w:tc>
          <w:tcPr>
            <w:tcW w:type="dxa" w:w="439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design/component-catalogue/src/osr_mech/civil/</w:t>
            </w:r>
          </w:p>
        </w:tc>
        <w:tc>
          <w:tcPr>
            <w:tcW w:type="dxa" w:w="58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Existing geometry authority. Extend deck, substructure and foundation families; add qualified hybrid/ribbed/hollow variants as needed.</w:t>
            </w:r>
          </w:p>
        </w:tc>
      </w:tr>
      <w:tr>
        <w:trPr>
          <w:cantSplit/>
        </w:trPr>
        <w:tc>
          <w:tcPr>
            <w:tcW w:type="dxa" w:w="439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engineering/analysis/benchmarks/civil/</w:t>
            </w:r>
          </w:p>
        </w:tc>
        <w:tc>
          <w:tcPr>
            <w:tcW w:type="dxa" w:w="58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New analytical, numerical and validation fixtures; retain existing benchmarks/civil_reference.py.</w:t>
            </w:r>
          </w:p>
        </w:tc>
      </w:tr>
      <w:tr>
        <w:trPr>
          <w:cantSplit/>
        </w:trPr>
        <w:tc>
          <w:tcPr>
            <w:tcW w:type="dxa" w:w="439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engineering/analysis/solver_results.py and civil_evidence.py</w:t>
            </w:r>
          </w:p>
        </w:tc>
        <w:tc>
          <w:tcPr>
            <w:tcW w:type="dxa" w:w="58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Existing native result parsing and evidence checks. Extend quantity types, units and coverage; retain source binding.</w:t>
            </w:r>
          </w:p>
        </w:tc>
      </w:tr>
      <w:tr>
        <w:trPr>
          <w:cantSplit/>
        </w:trPr>
        <w:tc>
          <w:tcPr>
            <w:tcW w:type="dxa" w:w="439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tools/automation/civil-study.py</w:t>
            </w:r>
          </w:p>
        </w:tc>
        <w:tc>
          <w:tcPr>
            <w:tcW w:type="dxa" w:w="58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Proposed CLI: prepare, generate, run, benchmark, compare, optimise, verify and export. Calls existing tooling.</w:t>
            </w:r>
          </w:p>
        </w:tc>
      </w:tr>
      <w:tr>
        <w:trPr>
          <w:cantSplit/>
        </w:trPr>
        <w:tc>
          <w:tcPr>
            <w:tcW w:type="dxa" w:w="439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.github/workflows/civil-exploration.yml</w:t>
            </w:r>
          </w:p>
        </w:tc>
        <w:tc>
          <w:tcPr>
            <w:tcW w:type="dxa" w:w="58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Proposed PR smoke checks, bounded scheduled campaigns and manual detailed runs with resource limits.</w:t>
            </w:r>
          </w:p>
        </w:tc>
      </w:tr>
      <w:tr>
        <w:trPr>
          <w:cantSplit/>
        </w:trPr>
        <w:tc>
          <w:tcPr>
            <w:tcW w:type="dxa" w:w="439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build/engineering/civil-studies/</w:t>
            </w:r>
          </w:p>
        </w:tc>
        <w:tc>
          <w:tcPr>
            <w:tcW w:type="dxa" w:w="58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Untracked working outputs. Keep large solver fields in versioned artifact storage with hashes.</w:t>
            </w:r>
          </w:p>
        </w:tc>
      </w:tr>
      <w:tr>
        <w:trPr>
          <w:cantSplit/>
        </w:trPr>
        <w:tc>
          <w:tcPr>
            <w:tcW w:type="dxa" w:w="439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docs/civil/design-exploration.md</w:t>
            </w:r>
          </w:p>
        </w:tc>
        <w:tc>
          <w:tcPr>
            <w:tcW w:type="dxa" w:w="58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Study guidance and benchmark policy; update existing engineering plan, tool manifest and generated documentation index.</w:t>
            </w:r>
          </w:p>
        </w:tc>
      </w:tr>
    </w:tbl>
    <w:p>
      <w:pPr>
        <w:spacing w:after="0" w:line="40" w:lineRule="exact"/>
      </w:pPr>
    </w:p>
    <w:p>
      <w:pPr>
        <w:pStyle w:val="Heading2"/>
      </w:pPr>
      <w:r>
        <w:t>Candidate contract</w:t>
      </w:r>
    </w:p>
    <w:p>
      <w:r>
        <w:t>Every candidate records a schema version, immutable ID, parent IDs, study and repository hashes; geometry, materials, reinforcement/prestress and assembly graph; route/train/ground scenarios; construction stages; requirements and analysis coverage; software/mesh versions and seeds; raw-result hashes; costs and provenance; failures, uncertainties and review state.</w:t>
      </w:r>
    </w:p>
    <w:p>
      <w:r>
        <w:t>Separate design variables from fixed scenario inputs and uncertain quantities. Reject unknown keys, invalid units, NaN, incompatible interfaces and unqualified model combinations. Canonical serialisation supplies the cache key; changing any governing input invalidates reuse. A report must be independently rebuildable from its manifest.</w:t>
      </w:r>
    </w:p>
    <w:p>
      <w:pPr>
        <w:pStyle w:val="Heading1"/>
        <w:pageBreakBefore/>
      </w:pPr>
      <w:r>
        <w:t>Geometry assembly and solver coverage</w:t>
      </w:r>
    </w:p>
    <w:tbl>
      <w:tblPr>
        <w:tblW w:type="auto" w:w="0"/>
        <w:tblLayout w:type="fixed"/>
        <w:tblLook w:firstColumn="1" w:firstRow="1" w:lastColumn="0" w:lastRow="0" w:noHBand="0" w:noVBand="1" w:val="04A0"/>
      </w:tblPr>
      <w:tblGrid>
        <w:gridCol w:w="3168"/>
        <w:gridCol w:w="7056"/>
      </w:tblGrid>
      <w:tr>
        <w:trPr>
          <w:tblHeader/>
          <w:cantSplit/>
        </w:trPr>
        <w:tc>
          <w:tcPr>
            <w:tcW w:type="dxa" w:w="3168"/>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Tool or layer</w:t>
            </w:r>
          </w:p>
        </w:tc>
        <w:tc>
          <w:tcPr>
            <w:tcW w:type="dxa" w:w="7056"/>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Role and adoption gate</w:t>
            </w:r>
          </w:p>
        </w:tc>
      </w:tr>
      <w:tr>
        <w:trPr>
          <w:cantSplit/>
        </w:trPr>
        <w:tc>
          <w:tcPr>
            <w:tcW w:type="dxa" w:w="316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Existing scripted CAD; FreeCAD/build123d</w:t>
            </w:r>
          </w:p>
        </w:tc>
        <w:tc>
          <w:tcPr>
            <w:tcW w:type="dxa" w:w="705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Parametric solids and reviewable assemblies. Establish deterministic geometry exports, interface locations, net volumes, mass and centre of gravity. [W4]</w:t>
            </w:r>
          </w:p>
        </w:tc>
      </w:tr>
      <w:tr>
        <w:trPr>
          <w:cantSplit/>
        </w:trPr>
        <w:tc>
          <w:tcPr>
            <w:tcW w:type="dxa" w:w="316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Gmsh with existing meshing tooling</w:t>
            </w:r>
          </w:p>
        </w:tc>
        <w:tc>
          <w:tcPr>
            <w:tcW w:type="dxa" w:w="705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Tagged material regions, connections and mesh refinement. Validate element quality and preserve physical groups through export. [W4]</w:t>
            </w:r>
          </w:p>
        </w:tc>
      </w:tr>
      <w:tr>
        <w:trPr>
          <w:cantSplit/>
        </w:trPr>
        <w:tc>
          <w:tcPr>
            <w:tcW w:type="dxa" w:w="316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OpenSeesPy</w:t>
            </w:r>
          </w:p>
        </w:tc>
        <w:tc>
          <w:tcPr>
            <w:tcW w:type="dxa" w:w="705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Fast system models: spans, bearings, piers, staged continuity, nonlinear columns and soil springs. Qualify each element/material formulation for its intended use. [W3]</w:t>
            </w:r>
          </w:p>
        </w:tc>
      </w:tr>
      <w:tr>
        <w:trPr>
          <w:cantSplit/>
        </w:trPr>
        <w:tc>
          <w:tcPr>
            <w:tcW w:type="dxa" w:w="316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CalculiX</w:t>
            </w:r>
          </w:p>
        </w:tc>
        <w:tc>
          <w:tcPr>
            <w:tcW w:type="dxa" w:w="705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Detailed local shells/solids, elastic and qualified nonlinear checks, contact, joints and lifting details. Native decks may be needed beyond the CAD GUI. [W4]</w:t>
            </w:r>
          </w:p>
        </w:tc>
      </w:tr>
      <w:tr>
        <w:trPr>
          <w:cantSplit/>
        </w:trPr>
        <w:tc>
          <w:tcPr>
            <w:tcW w:type="dxa" w:w="316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Code_Aster or specialist geotechnical solver</w:t>
            </w:r>
          </w:p>
        </w:tc>
        <w:tc>
          <w:tcPr>
            <w:tcW w:type="dxa" w:w="705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Conditional escalation for unsupported concrete, coupled or ground behaviour; introduce only after a demonstrated need and benchmark. [R4]</w:t>
            </w:r>
          </w:p>
        </w:tc>
      </w:tr>
      <w:tr>
        <w:trPr>
          <w:cantSplit/>
        </w:trPr>
        <w:tc>
          <w:tcPr>
            <w:tcW w:type="dxa" w:w="316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pymoo; optional Dakota</w:t>
            </w:r>
          </w:p>
        </w:tc>
        <w:tc>
          <w:tcPr>
            <w:tcW w:type="dxa" w:w="705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Constrained multi-objective search; sensitivity and uncertainty as needed. Pin after adoption benchmarks, not before. [W5, W6]</w:t>
            </w:r>
          </w:p>
        </w:tc>
      </w:tr>
      <w:tr>
        <w:trPr>
          <w:cantSplit/>
        </w:trPr>
        <w:tc>
          <w:tcPr>
            <w:tcW w:type="dxa" w:w="316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Existing IFC/BIM workflows; ParaView</w:t>
            </w:r>
          </w:p>
        </w:tc>
        <w:tc>
          <w:tcPr>
            <w:tcW w:type="dxa" w:w="705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Quantity/assembly review and native field inspection. Keep geometry authority and evidence hashes consistent. [R4, W4]</w:t>
            </w:r>
          </w:p>
        </w:tc>
      </w:tr>
    </w:tbl>
    <w:p>
      <w:pPr>
        <w:spacing w:after="0" w:line="40" w:lineRule="exact"/>
      </w:pPr>
    </w:p>
    <w:p>
      <w:pPr>
        <w:pStyle w:val="Heading2"/>
      </w:pPr>
      <w:r>
        <w:t>Three levels of evaluation</w:t>
      </w:r>
    </w:p>
    <w:p>
      <w:r>
        <w:t>Level A: analytical and reduced models screen many candidates for weight, stiffness, basic capacity, system response and practical constraints. Level B: detailed staged finite-element analyses investigate shortlisted candidates and governing connections. Level C: calibrated material, connection, foundation and prototype tests establish physical credibility and support independent review.</w:t>
      </w:r>
    </w:p>
    <w:p>
      <w:r>
        <w:t>A CAD mate is not a structural connection. The assembly graph must specify bearing degrees of freedom, joint stiffness/slip, offsets, tendon anchorage, interfaces, fasteners, and stage-by-stage activation. Map every graph node and connection to analysis entities and result requirements; reject disconnected or unintentionally rigid assemblies.</w:t>
      </w:r>
    </w:p>
    <w:p>
      <w:r>
        <w:t>Unsupported physics must be reported as uncovered. Do not allow an elastic beam pass to stand in for hybrid interface failure, a prestress loss calculation, cyclic pier ductility or fire performance.</w:t>
      </w:r>
    </w:p>
    <w:p>
      <w:pPr>
        <w:pStyle w:val="Heading1"/>
        <w:pageBreakBefore/>
      </w:pPr>
      <w:r>
        <w:t>Benchmark and validation programme</w:t>
      </w:r>
    </w:p>
    <w:p>
      <w:r>
        <w:t>Verification asks whether the implementation solves the intended equations. Validation asks whether the model predicts measured behaviour. Agreement between two solvers sharing an assumption is useful verification, but not physical validation.</w:t>
      </w:r>
    </w:p>
    <w:tbl>
      <w:tblPr>
        <w:tblW w:type="auto" w:w="0"/>
        <w:tblLayout w:type="fixed"/>
        <w:tblLook w:firstColumn="1" w:firstRow="1" w:lastColumn="0" w:lastRow="0" w:noHBand="0" w:noVBand="1" w:val="04A0"/>
      </w:tblPr>
      <w:tblGrid>
        <w:gridCol w:w="2376"/>
        <w:gridCol w:w="7848"/>
      </w:tblGrid>
      <w:tr>
        <w:trPr>
          <w:tblHeader/>
          <w:cantSplit/>
        </w:trPr>
        <w:tc>
          <w:tcPr>
            <w:tcW w:type="dxa" w:w="2376"/>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Benchmark group</w:t>
            </w:r>
          </w:p>
        </w:tc>
        <w:tc>
          <w:tcPr>
            <w:tcW w:type="dxa" w:w="7848"/>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Required comparison or evidence</w:t>
            </w:r>
          </w:p>
        </w:tc>
      </w:tr>
      <w:tr>
        <w:trPr>
          <w:cantSplit/>
        </w:trPr>
        <w:tc>
          <w:tcPr>
            <w:tcW w:type="dxa" w:w="23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Geometry and quantities</w:t>
            </w:r>
          </w:p>
        </w:tc>
        <w:tc>
          <w:tcPr>
            <w:tcW w:type="dxa" w:w="784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Analytical area/inertia, hollow-section net volume, mass/centre of gravity and assembly quantities. Detect overlaps and double counting.</w:t>
            </w:r>
          </w:p>
        </w:tc>
      </w:tr>
      <w:tr>
        <w:trPr>
          <w:cantSplit/>
        </w:trPr>
        <w:tc>
          <w:tcPr>
            <w:tcW w:type="dxa" w:w="23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Elastic response</w:t>
            </w:r>
          </w:p>
        </w:tc>
        <w:tc>
          <w:tcPr>
            <w:tcW w:type="dxa" w:w="784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Retain existing Pi20/Pi25 beam checks; add actual section, reactions, bending, torsion, modal frequency and continuous-span influence lines.</w:t>
            </w:r>
          </w:p>
        </w:tc>
      </w:tr>
      <w:tr>
        <w:trPr>
          <w:cantSplit/>
        </w:trPr>
        <w:tc>
          <w:tcPr>
            <w:tcW w:type="dxa" w:w="23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Prestress and concrete</w:t>
            </w:r>
          </w:p>
        </w:tc>
        <w:tc>
          <w:tcPr>
            <w:tcW w:type="dxa" w:w="784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Losses, creep/shrinkage, cracking, shear and tendon anchorage against independent calculations and published/measured tests.</w:t>
            </w:r>
          </w:p>
        </w:tc>
      </w:tr>
      <w:tr>
        <w:trPr>
          <w:cantSplit/>
        </w:trPr>
        <w:tc>
          <w:tcPr>
            <w:tcW w:type="dxa" w:w="23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Hybrid and composite</w:t>
            </w:r>
          </w:p>
        </w:tc>
        <w:tc>
          <w:tcPr>
            <w:tcW w:type="dxa" w:w="784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Orthotropic coupon, shear connector, bond/slip, sandwich or shell instability and full beam response; reserve independent holdout tests.</w:t>
            </w:r>
          </w:p>
        </w:tc>
      </w:tr>
      <w:tr>
        <w:trPr>
          <w:cantSplit/>
        </w:trPr>
        <w:tc>
          <w:tcPr>
            <w:tcW w:type="dxa" w:w="23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Piers and joints</w:t>
            </w:r>
          </w:p>
        </w:tc>
        <w:tc>
          <w:tcPr>
            <w:tcW w:type="dxa" w:w="784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Axial–moment interaction, geometric nonlinearity, confinement and cyclic response; segmental joints and post-tensioning tested separately.</w:t>
            </w:r>
          </w:p>
        </w:tc>
      </w:tr>
      <w:tr>
        <w:trPr>
          <w:cantSplit/>
        </w:trPr>
        <w:tc>
          <w:tcPr>
            <w:tcW w:type="dxa" w:w="23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Piles and ground</w:t>
            </w:r>
          </w:p>
        </w:tc>
        <w:tc>
          <w:tcPr>
            <w:tcW w:type="dxa" w:w="784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Axial/lateral spring models versus analytical/reference cases; instrumented axial/lateral tests, group effects and settlement calibration.</w:t>
            </w:r>
          </w:p>
        </w:tc>
      </w:tr>
      <w:tr>
        <w:trPr>
          <w:cantSplit/>
        </w:trPr>
        <w:tc>
          <w:tcPr>
            <w:tcW w:type="dxa" w:w="23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Railway dynamics</w:t>
            </w:r>
          </w:p>
        </w:tc>
        <w:tc>
          <w:tcPr>
            <w:tcW w:type="dxa" w:w="784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Moving axle patterns, load positions, time-step convergence, modes, acceleration, fatigue cycles and track–structure interaction.</w:t>
            </w:r>
          </w:p>
        </w:tc>
      </w:tr>
      <w:tr>
        <w:trPr>
          <w:cantSplit/>
        </w:trPr>
        <w:tc>
          <w:tcPr>
            <w:tcW w:type="dxa" w:w="23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Construction</w:t>
            </w:r>
          </w:p>
        </w:tc>
        <w:tc>
          <w:tcPr>
            <w:tcW w:type="dxa" w:w="784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Transport, lifting, temporary supports, erection, continuity sequence and complete lift masses/centres of gravity.</w:t>
            </w:r>
          </w:p>
        </w:tc>
      </w:tr>
      <w:tr>
        <w:trPr>
          <w:cantSplit/>
        </w:trPr>
        <w:tc>
          <w:tcPr>
            <w:tcW w:type="dxa" w:w="23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Durability and abnormal cases</w:t>
            </w:r>
          </w:p>
        </w:tc>
        <w:tc>
          <w:tcPr>
            <w:tcW w:type="dxa" w:w="784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Thermal/restraint, seismic, derailment where required, deterioration and calibrated temperature-dependent structural fire behaviour.</w:t>
            </w:r>
          </w:p>
        </w:tc>
      </w:tr>
      <w:tr>
        <w:trPr>
          <w:cantSplit/>
        </w:trPr>
        <w:tc>
          <w:tcPr>
            <w:tcW w:type="dxa" w:w="237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Data integrity</w:t>
            </w:r>
          </w:p>
        </w:tc>
        <w:tc>
          <w:tcPr>
            <w:tcW w:type="dxa" w:w="784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Wrong units, stale hashes, missing/duplicate cases, NaN, unconverged jobs and missing costs must fail or remain explicitly unresolved.</w:t>
            </w:r>
          </w:p>
        </w:tc>
      </w:tr>
    </w:tbl>
    <w:p>
      <w:pPr>
        <w:spacing w:after="0" w:line="40" w:lineRule="exact"/>
      </w:pPr>
    </w:p>
    <w:p>
      <w:r>
        <w:t>Use at least three mesh levels for each detailed benchmark and refine dynamic time steps. Register tolerances, measurement uncertainty, applicable domain and acceptance owner before candidate search. Preserve current OpenSees/CalculiX reference tolerances until a reviewed change is justified. New tolerances must reflect the observable and test quality; no universal numerical pass limit should be invented.</w:t>
      </w:r>
    </w:p>
    <w:p>
      <w:r>
        <w:t>A benchmark record includes source rights, specimen and model inputs, raw measurements, expected response, error metrics, calibration/holdout designation, runner and environment hashes, and limitations. A material or solver upgrade reruns all affected fixtures.</w:t>
      </w:r>
    </w:p>
    <w:p>
      <w:pPr>
        <w:pStyle w:val="Heading1"/>
        <w:pageBreakBefore/>
      </w:pPr>
      <w:r>
        <w:t>The investigation and improvement loop</w:t>
      </w:r>
    </w:p>
    <w:p>
      <w:pPr>
        <w:pStyle w:val="Heading2"/>
      </w:pPr>
      <w:r>
        <w:t>Start broad then spend analysis effort selectively</w:t>
      </w:r>
    </w:p>
    <w:p>
      <w:r>
        <w:t>First enumerate family combinations using a compatibility matrix. Apply geometry, manufacture and load-path checks before solver work. Explore each admissible family with space-filling samples and engineering seed designs. Avoid a full Cartesian product of every material, span, pier and ground variable.</w:t>
      </w:r>
    </w:p>
    <w:p>
      <w:r>
        <w:t>Evaluate reduced models, retain failures and rank feasible candidates. Use constrained multi-objective search within promising families, then compare across families. Reanalyse a diverse shortlist using detailed models; feed verified differences back into reduced models. New calibration data creates a new model version and triggers affected reruns.</w:t>
      </w:r>
    </w:p>
    <w:p>
      <w:pPr>
        <w:pStyle w:val="Heading2"/>
      </w:pPr>
      <w:r>
        <w:t>Define the objectives and constraints</w:t>
      </w:r>
    </w:p>
    <w:p>
      <w:r>
        <w:t>Primary objectives are installed and whole-life cost, material quantities/embodied carbon and practical erection mass. Treat fatigue, strength, serviceability, train dynamics, seismic requirements, durability, settlement, fabrication limits and access as constraints. Use approved scenario-specific limits and load combinations. A weighted score may be an optional user view; preserve the Pareto set so trade-offs remain visible.</w:t>
      </w:r>
    </w:p>
    <w:p>
      <w:r>
        <w:t>A research case with provisional loads or missing requirements may be screened, but cannot appear in the qualified-feasible Pareto set. Unknown cost permits performance exploration and quantity comparison; it cannot produce a validated cheapest-design claim.</w:t>
      </w:r>
    </w:p>
    <w:p>
      <w:pPr>
        <w:pStyle w:val="Heading2"/>
      </w:pPr>
      <w:r>
        <w:t>Make every modification traceable</w:t>
      </w:r>
    </w:p>
    <w:p>
      <w:r>
        <w:t>Each changed geometry, material, matrix, connection or assembly produces a child candidate. Keep candidate history append-only. Record the mutation, rationale, parents, search seed, objective/constraint values, solver status and evidence. Failed runs remain visible with a reason: geometry failure, unsupported model, nonconvergence, limit violation, missing evidence or timeout.</w:t>
      </w:r>
    </w:p>
    <w:p>
      <w:pPr>
        <w:pStyle w:val="Heading2"/>
      </w:pPr>
      <w:r>
        <w:t>Control search quality and expense</w:t>
      </w:r>
    </w:p>
    <w:p>
      <w:r>
        <w:t>Cache by complete input hash; checkpoint and resume; limit cores, memory, runtime and campaign budget. Compare optimisation with a random/space-filling baseline at equal evaluation cost and use multiple seeds. Report feasibility yield, evaluations, wall time and shortlist stability. Stop at registered budgets or insufficient improvement; report the best designs found in the explored domain, not a proven global optimum. Surrogate predictions must be labelled and confirmed by native analyses before promotion.</w:t>
      </w:r>
    </w:p>
    <w:p>
      <w:pPr>
        <w:pStyle w:val="Heading1"/>
        <w:pageBreakBefore/>
      </w:pPr>
      <w:r>
        <w:t>Costs uncertainty and the first campaign</w:t>
      </w:r>
    </w:p>
    <w:p>
      <w:pPr>
        <w:pStyle w:val="Heading2"/>
      </w:pPr>
      <w:r>
        <w:t>Compare complete packages</w:t>
      </w:r>
    </w:p>
    <w:p>
      <w:r>
        <w:t>Use one route length and double-track scope across competitors. Include deck, piers, foundations, bearings, joints, track interfaces, drainage, walkways, reinforcement, tendons, FRP, transport, temporary works, cranes, production beds, QA, labour, tooling, maintenance and replacement. Report currency, date, location, quantity source and quotation confidence. [R6]</w:t>
      </w:r>
    </w:p>
    <w:p>
      <w:r>
        <w:t>Crane classes and transport limits introduce step changes: a small mass reduction may avoid a much larger lifting configuration. Conversely, expensive resin, fibres, curing or connectors can eliminate concrete savings. Foundation reductions must come from a recalculated ground response and actual construction method, not a proportional reduction in deck mass.</w:t>
      </w:r>
    </w:p>
    <w:p>
      <w:pPr>
        <w:pStyle w:val="Heading2"/>
      </w:pPr>
      <w:r>
        <w:t>Represent what is uncertain</w:t>
      </w:r>
    </w:p>
    <w:p>
      <w:r>
        <w:t>Separate measured inputs, supplier quotes, engineering assumptions and unknowns. Use scenario ranges until distributions are defensible. Explore soil stiffness/strength, groundwater and chemistry; train axle patterns and dynamic demand; stiffness, creep, fatigue and resin temperature behaviour; material rates, productivity, crane availability and maintenance intervals. Report scenario-specific Pareto sets, sensitivity and ranking reversals.</w:t>
      </w:r>
    </w:p>
    <w:p>
      <w:r>
        <w:t>Retain actual city/train distinctions. The Baghdad six-car loading envelope needs supplier axle positions and loaded distribution; a generic LM3 pattern is not a substitute. Missing survey/ground data prevents final foundation selection. Low cement content and recycled aggregate must be investigated through verified mix and durability records, not treated as automatic low-cost choices. [R1, R6]</w:t>
      </w:r>
    </w:p>
    <w:p>
      <w:pPr>
        <w:pStyle w:val="Heading2"/>
      </w:pPr>
      <w:r>
        <w:t>Proposed initial campaign budget</w:t>
      </w:r>
    </w:p>
    <w:tbl>
      <w:tblPr>
        <w:tblW w:type="auto" w:w="0"/>
        <w:tblLayout w:type="fixed"/>
        <w:tblLook w:firstColumn="1" w:firstRow="1" w:lastColumn="0" w:lastRow="0" w:noHBand="0" w:noVBand="1" w:val="04A0"/>
      </w:tblPr>
      <w:tblGrid>
        <w:gridCol w:w="2016"/>
        <w:gridCol w:w="4680"/>
        <w:gridCol w:w="3528"/>
      </w:tblGrid>
      <w:tr>
        <w:trPr>
          <w:tblHeader/>
          <w:cantSplit/>
        </w:trPr>
        <w:tc>
          <w:tcPr>
            <w:tcW w:type="dxa" w:w="2016"/>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Stage</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Planning allowance</w:t>
            </w:r>
          </w:p>
        </w:tc>
        <w:tc>
          <w:tcPr>
            <w:tcW w:type="dxa" w:w="3528"/>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Output</w:t>
            </w:r>
          </w:p>
        </w:tc>
      </w:tr>
      <w:tr>
        <w:trPr>
          <w:cantSplit/>
        </w:trPr>
        <w:tc>
          <w:tcPr>
            <w:tcW w:type="dxa" w:w="201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Family coverage</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8–12 registered families; 500–2,000 valid reduced-model candidates across labelled scenarios.</w:t>
            </w:r>
          </w:p>
        </w:tc>
        <w:tc>
          <w:tcPr>
            <w:tcW w:type="dxa" w:w="352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Feasibility map, failed-case reasons and conditional trade-offs.</w:t>
            </w:r>
          </w:p>
        </w:tc>
      </w:tr>
      <w:tr>
        <w:trPr>
          <w:cantSplit/>
        </w:trPr>
        <w:tc>
          <w:tcPr>
            <w:tcW w:type="dxa" w:w="201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Detailed shortlist</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Approximately 20–40 diverse candidates; 3–5 per promising family where practical.</w:t>
            </w:r>
          </w:p>
        </w:tc>
        <w:tc>
          <w:tcPr>
            <w:tcW w:type="dxa" w:w="352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Converged detailed results and corrections to screening models.</w:t>
            </w:r>
          </w:p>
        </w:tc>
      </w:tr>
      <w:tr>
        <w:trPr>
          <w:cantSplit/>
        </w:trPr>
        <w:tc>
          <w:tcPr>
            <w:tcW w:type="dxa" w:w="201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Validation shortlist</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Approximately 3–5 complete packages.</w:t>
            </w:r>
          </w:p>
        </w:tc>
        <w:tc>
          <w:tcPr>
            <w:tcW w:type="dxa" w:w="352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Supplier engagement, test plans, specimens and independent review briefs.</w:t>
            </w:r>
          </w:p>
        </w:tc>
      </w:tr>
    </w:tbl>
    <w:p>
      <w:pPr>
        <w:spacing w:after="0" w:line="40" w:lineRule="exact"/>
      </w:pPr>
    </w:p>
    <w:p>
      <w:r>
        <w:t>These are initial planning allowances, not measured throughput or a promise of engineering readiness. Pilot runs establish runtime, storage and test costs before the campaign budget is committed. Include the existing Pi and conventional alternatives in every comparison.</w:t>
      </w:r>
    </w:p>
    <w:p>
      <w:pPr>
        <w:pStyle w:val="Heading1"/>
        <w:pageBreakBefore/>
      </w:pPr>
      <w:r>
        <w:t>Delivery sequence and phase gates</w:t>
      </w:r>
    </w:p>
    <w:p>
      <w:r>
        <w:t>Indicative software programme: 24 weeks with overlapping specialist input. Durations depend on staffing and benchmark data. Physical testing, procurement and engineering approval follow evidence availability and are not guaranteed within this schedule.</w:t>
      </w:r>
    </w:p>
    <w:tbl>
      <w:tblPr>
        <w:tblW w:type="auto" w:w="0"/>
        <w:tblLayout w:type="fixed"/>
        <w:tblLook w:firstColumn="1" w:firstRow="1" w:lastColumn="0" w:lastRow="0" w:noHBand="0" w:noVBand="1" w:val="04A0"/>
      </w:tblPr>
      <w:tblGrid>
        <w:gridCol w:w="2016"/>
        <w:gridCol w:w="4320"/>
        <w:gridCol w:w="3888"/>
      </w:tblGrid>
      <w:tr>
        <w:trPr>
          <w:tblHeader/>
          <w:cantSplit/>
        </w:trPr>
        <w:tc>
          <w:tcPr>
            <w:tcW w:type="dxa" w:w="2016"/>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Phase</w:t>
            </w:r>
          </w:p>
        </w:tc>
        <w:tc>
          <w:tcPr>
            <w:tcW w:type="dxa" w:w="4320"/>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Deliverables</w:t>
            </w:r>
          </w:p>
        </w:tc>
        <w:tc>
          <w:tcPr>
            <w:tcW w:type="dxa" w:w="3888"/>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Gate before proceeding</w:t>
            </w:r>
          </w:p>
        </w:tc>
      </w:tr>
      <w:tr>
        <w:trPr>
          <w:cantSplit/>
        </w:trPr>
        <w:tc>
          <w:tcPr>
            <w:tcW w:type="dxa" w:w="201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0 • Weeks 1–2</w:t>
              <w:br/>
              <w:t>Baseline and requirements</w:t>
            </w:r>
          </w:p>
        </w:tc>
        <w:tc>
          <w:tcPr>
            <w:tcW w:type="dxa" w:w="432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Frozen repository baseline; tool/model inventory; owners; common train/route/ground scenarios; requirement and missing-data register.</w:t>
            </w:r>
          </w:p>
        </w:tc>
        <w:tc>
          <w:tcPr>
            <w:tcW w:type="dxa" w:w="388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Reference runs reproducible; provisional inputs visibly block qualification; existing release status preserved.</w:t>
            </w:r>
          </w:p>
        </w:tc>
      </w:tr>
      <w:tr>
        <w:trPr>
          <w:cantSplit/>
        </w:trPr>
        <w:tc>
          <w:tcPr>
            <w:tcW w:type="dxa" w:w="201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1 • Weeks 3–5</w:t>
              <w:br/>
              <w:t>Contracts and geometry</w:t>
            </w:r>
          </w:p>
        </w:tc>
        <w:tc>
          <w:tcPr>
            <w:tcW w:type="dxa" w:w="432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Candidate/study schemas; family/compatibility registry; geometry adapters; assembly graph; net quantities and manifests.</w:t>
            </w:r>
          </w:p>
        </w:tc>
        <w:tc>
          <w:tcPr>
            <w:tcW w:type="dxa" w:w="388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Reference quantities reproduced; invalid geometries/units rejected; generate and export repeatably.</w:t>
            </w:r>
          </w:p>
        </w:tc>
      </w:tr>
      <w:tr>
        <w:trPr>
          <w:cantSplit/>
        </w:trPr>
        <w:tc>
          <w:tcPr>
            <w:tcW w:type="dxa" w:w="201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2 • Weeks 6–9</w:t>
              <w:br/>
              <w:t>Verified screening</w:t>
            </w:r>
          </w:p>
        </w:tc>
        <w:tc>
          <w:tcPr>
            <w:tcW w:type="dxa" w:w="432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Reduced structural and foundation models; benchmark suite; richer native parsers; smoke CI.</w:t>
            </w:r>
          </w:p>
        </w:tc>
        <w:tc>
          <w:tcPr>
            <w:tcW w:type="dxa" w:w="388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Each claimed capability has a passing benchmark and documented domain; failures cannot masquerade as passes.</w:t>
            </w:r>
          </w:p>
        </w:tc>
      </w:tr>
      <w:tr>
        <w:trPr>
          <w:cantSplit/>
        </w:trPr>
        <w:tc>
          <w:tcPr>
            <w:tcW w:type="dxa" w:w="201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3 • Weeks 10–13</w:t>
              <w:br/>
              <w:t>Package comparison</w:t>
            </w:r>
          </w:p>
        </w:tc>
        <w:tc>
          <w:tcPr>
            <w:tcW w:type="dxa" w:w="432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Staged load cases; cost interfaces; crane/transport/manufacturing constraints; scenario sensitivity; reproducible reports.</w:t>
            </w:r>
          </w:p>
        </w:tc>
        <w:tc>
          <w:tcPr>
            <w:tcW w:type="dxa" w:w="388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Complete package scope; unknown costs preserved; independent mass/load-path and quantity checks.</w:t>
            </w:r>
          </w:p>
        </w:tc>
      </w:tr>
      <w:tr>
        <w:trPr>
          <w:cantSplit/>
        </w:trPr>
        <w:tc>
          <w:tcPr>
            <w:tcW w:type="dxa" w:w="201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4 • Weeks 14–18</w:t>
              <w:br/>
              <w:t>Search and iteration</w:t>
            </w:r>
          </w:p>
        </w:tc>
        <w:tc>
          <w:tcPr>
            <w:tcW w:type="dxa" w:w="432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Space-filling campaign; constrained optimisation; history/cache/resume; detailed shortlist and model feedback.</w:t>
            </w:r>
          </w:p>
        </w:tc>
        <w:tc>
          <w:tcPr>
            <w:tcW w:type="dxa" w:w="388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Multiple-seed results and equal-budget baseline; detailed native confirmation; ranking sensitivity reported.</w:t>
            </w:r>
          </w:p>
        </w:tc>
      </w:tr>
      <w:tr>
        <w:trPr>
          <w:cantSplit/>
        </w:trPr>
        <w:tc>
          <w:tcPr>
            <w:tcW w:type="dxa" w:w="2016"/>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5 • Weeks 19–24</w:t>
              <w:br/>
              <w:t>Candidate evidence</w:t>
            </w:r>
          </w:p>
        </w:tc>
        <w:tc>
          <w:tcPr>
            <w:tcW w:type="dxa" w:w="432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Review bundles; prototype/test specifications; supplier inputs; controlled promotion adapter and handover.</w:t>
            </w:r>
          </w:p>
        </w:tc>
        <w:tc>
          <w:tcPr>
            <w:tcW w:type="dxa" w:w="3888"/>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Independent technical review; unresolved tests remain open; no automatic catalogue or production release.</w:t>
            </w:r>
          </w:p>
        </w:tc>
      </w:tr>
    </w:tbl>
    <w:p>
      <w:pPr>
        <w:spacing w:after="0" w:line="40" w:lineRule="exact"/>
      </w:pPr>
    </w:p>
    <w:p>
      <w:pPr>
        <w:pStyle w:val="Heading2"/>
      </w:pPr>
      <w:r>
        <w:t>Critical dependencies</w:t>
      </w:r>
    </w:p>
    <w:p>
      <w:r>
        <w:t>Requirements and benchmark applicability precede optimisation. Assembly and stage definitions precede system dynamics. Ground data precedes foundation qualification. Actual material properties and joint models precede hybrid capacity claims. Local rates and complete erection configurations precede installed-cost rankings.</w:t>
      </w:r>
    </w:p>
    <w:p>
      <w:r>
        <w:t>Start physical evidence procurement during Phase 0: arrange material data, literature datasets, supplier axle information, geotechnical records and test-laboratory engagement. Waiting until the software is finished would make the programme unnecessarily slow.</w:t>
      </w:r>
    </w:p>
    <w:p>
      <w:pPr>
        <w:pStyle w:val="Heading1"/>
        <w:pageBreakBefore/>
      </w:pPr>
      <w:r>
        <w:t>Repository backlog</w:t>
      </w:r>
    </w:p>
    <w:p>
      <w:r>
        <w:t>Open these as implementation issues. Dependencies use the IDs below; completion requires the acceptance evidence, not just a merged file. The phase table provides sequencing and resourcing context.</w:t>
      </w:r>
    </w:p>
    <w:tbl>
      <w:tblPr>
        <w:tblW w:type="auto" w:w="0"/>
        <w:tblLayout w:type="fixed"/>
        <w:tblLook w:firstColumn="1" w:firstRow="1" w:lastColumn="0" w:lastRow="0" w:noHBand="0" w:noVBand="1" w:val="04A0"/>
      </w:tblPr>
      <w:tblGrid>
        <w:gridCol w:w="1512"/>
        <w:gridCol w:w="4680"/>
        <w:gridCol w:w="4032"/>
      </w:tblGrid>
      <w:tr>
        <w:trPr>
          <w:tblHeade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ID and priority</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Work package and dependencies</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Acceptance evidence</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C01 • P0</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Freeze scenarios, requirements and baseline; no dependency.</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Reviewed register; native reference replay; unresolved inputs correctly block qualification.</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C02 • P0</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Study/candidate schemas and provenance; C01.</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Round-trip manifests; unknown-key/unit/NaN rejection; reproducible candidate IDs.</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C03 • P0</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Option registry and compatibility rules; C01–02.</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All control families present; invalid combinations rejected with explicit reasons.</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C04 • P0</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Geometry/quantity adapters and assembly graph; C02–03.</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Analytical section and net-volume fixtures; exported regions and connections match source.</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C05 • P0</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Benchmark registry and baseline fixtures; C01–04.</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Existing benchmarks preserved; analytical checks and registered convergence criteria pass.</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C06 • P0</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Native parsers and fail-closed runner; C02, C05.</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Force/stress/mode/history quantities have units and locations; nonconvergence and stale results rejected.</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C07 • P1</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Reduced system, pier and soil models; C04–06.</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Static/modal/support-flexibility cases pass; unsupported nonlinear claims flagged.</w:t>
            </w:r>
          </w:p>
        </w:tc>
      </w:tr>
    </w:tbl>
    <w:p>
      <w:pPr>
        <w:spacing w:after="0" w:line="40" w:lineRule="exact"/>
      </w:pPr>
    </w:p>
    <w:p>
      <w:pPr>
        <w:pStyle w:val="Heading2"/>
      </w:pPr>
      <w:r>
        <w:t>Foundation of the workbench</w:t>
      </w:r>
    </w:p>
    <w:p>
      <w:r>
        <w:t>C01–C07 create the requirements, design contract, deterministic geometry and verified analysis foundation. Complete these before using automatic search to make engineering comparisons. Review interface coverage and unresolved ground/train inputs at the end of this tranche.</w:t>
      </w:r>
    </w:p>
    <w:p>
      <w:pPr>
        <w:pStyle w:val="Heading1"/>
        <w:pageBreakBefore/>
      </w:pPr>
      <w:r>
        <w:t>Repository backlog continued</w:t>
      </w:r>
    </w:p>
    <w:p>
      <w:r>
        <w:t>C08–C14 connect verified models to realistic load cases, commercial comparisons, iterative search and independent evidence review.</w:t>
      </w:r>
    </w:p>
    <w:tbl>
      <w:tblPr>
        <w:tblW w:type="auto" w:w="0"/>
        <w:tblLayout w:type="fixed"/>
        <w:tblLook w:firstColumn="1" w:firstRow="1" w:lastColumn="0" w:lastRow="0" w:noHBand="0" w:noVBand="1" w:val="04A0"/>
      </w:tblPr>
      <w:tblGrid>
        <w:gridCol w:w="1512"/>
        <w:gridCol w:w="4680"/>
        <w:gridCol w:w="4032"/>
      </w:tblGrid>
      <w:tr>
        <w:trPr>
          <w:tblHeade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ID and priority</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Work package and dependencies</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Acceptance evidence</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C08 • P1</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Train, continuity and construction cases; C01, C07.</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Moving loads, staged supports, thermal/braking and complete lifts mapped to requirements.</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C09 • P1</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Manufacturing/logistics/cost adapter; C04, C08.</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Complete quantities and equipment assumptions; unknown prices remain unknown; traceable rates.</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C10 • P1</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Campaign runner, reports and CI; C02–09.</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Clean reproducible run; resume/cache/resource caps; failures and missing coverage visible.</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C11 • P1</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Constrained search and robustness; C10.</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Equal-budget exploration comparison; multiple seeds; Pareto and sensitivity reports.</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C12 • P1</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Detailed connections and material models; C05–08.</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Applicable benchmarks; mesh studies; critical joint/tendon/interface results independently checked.</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C13 • P1</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Physical validation and independent review; C01, C12.</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Test data/uncertainty and holdouts; candidate-specific review; gaps retained where evidence absent.</w:t>
            </w:r>
          </w:p>
        </w:tc>
      </w:tr>
      <w:tr>
        <w:trPr>
          <w:cantSplit/>
        </w:trPr>
        <w:tc>
          <w:tcPr>
            <w:tcW w:type="dxa" w:w="151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C14 • P1</w:t>
            </w:r>
          </w:p>
        </w:tc>
        <w:tc>
          <w:tcPr>
            <w:tcW w:type="dxa" w:w="468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Controlled promotion and docs; C10–13.</w:t>
            </w:r>
          </w:p>
        </w:tc>
        <w:tc>
          <w:tcPr>
            <w:tcW w:type="dxa" w:w="4032"/>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Sealed review bundle; impact trace into CAD/BIM/BOM/cost; existing release gates remain binding.</w:t>
            </w:r>
          </w:p>
        </w:tc>
      </w:tr>
    </w:tbl>
    <w:p>
      <w:pPr>
        <w:spacing w:after="0" w:line="40" w:lineRule="exact"/>
      </w:pPr>
    </w:p>
    <w:p>
      <w:pPr>
        <w:pStyle w:val="Heading1"/>
        <w:pageBreakBefore/>
      </w:pPr>
      <w:r>
        <w:t>The first four weeks</w:t>
      </w:r>
    </w:p>
    <w:p>
      <w:pPr>
        <w:pStyle w:val="Heading2"/>
      </w:pPr>
      <w:r>
        <w:t>First pull request</w:t>
      </w:r>
    </w:p>
    <w:p>
      <w:r>
        <w:t>Add the civil exploration README, requirement/maturity vocabulary, baseline manifest and candidate/study schemas. Register the present Pi20/Pi25 and conventional comparator without changing production geometry or accepted costs. Link existing native reference and evidence commands. Include negative fixtures for missing units, unknown family, stale hash and a solver failure.</w:t>
      </w:r>
    </w:p>
    <w:p>
      <w:pPr>
        <w:pStyle w:val="Heading2"/>
      </w:pPr>
      <w:r>
        <w:t>Second pull request</w:t>
      </w:r>
    </w:p>
    <w:p>
      <w:r>
        <w:t>Add family adapters and deterministic exports for existing sections. Record mass, centre of gravity, section properties, interfaces and construction stages. Reproduce current quantities and reference behaviour. Build the compatibility matrix and prove that a simple-span link slab cannot claim the structural bearing reduction of genuine continuity.</w:t>
      </w:r>
    </w:p>
    <w:p>
      <w:pPr>
        <w:pStyle w:val="Heading2"/>
      </w:pPr>
      <w:r>
        <w:t>Third pull request</w:t>
      </w:r>
    </w:p>
    <w:p>
      <w:r>
        <w:t>Add two initial research variants: an efficient hollow/ribbed concrete family and a hollow/tapered pier family. Their labels must state model coverage and evidence maturity. Publish analytical quantity/stiffness fixtures, a small non-production sweep and a side-by-side reference report before introducing a stochastic optimiser.</w:t>
      </w:r>
    </w:p>
    <w:p>
      <w:pPr>
        <w:pStyle w:val="Heading2"/>
      </w:pPr>
      <w:r>
        <w:t>Minimum demonstration</w:t>
      </w:r>
    </w:p>
    <w:p>
      <w:r>
        <w:t>One command generates a study, runs its registered native benchmarks, evaluates a bounded set, exports assembly and quantities, and produces a comparison with governing case, failure reason and missing-data flags. Repeating the run in a clean environment yields the same candidate definitions and results within registered numerical tolerances. Changing a material, train pattern or model version invalidates the relevant cache.</w:t>
      </w:r>
    </w:p>
    <w:p>
      <w:pPr>
        <w:pStyle w:val="Heading2"/>
      </w:pPr>
      <w:r>
        <w:t>Owners and review responsibilities</w:t>
      </w:r>
    </w:p>
    <w:tbl>
      <w:tblPr>
        <w:tblW w:type="auto" w:w="0"/>
        <w:tblLayout w:type="fixed"/>
        <w:tblLook w:firstColumn="1" w:firstRow="1" w:lastColumn="0" w:lastRow="0" w:noHBand="0" w:noVBand="1" w:val="04A0"/>
      </w:tblPr>
      <w:tblGrid>
        <w:gridCol w:w="3024"/>
        <w:gridCol w:w="7200"/>
      </w:tblGrid>
      <w:tr>
        <w:trPr>
          <w:tblHeader/>
          <w:cantSplit/>
        </w:trPr>
        <w:tc>
          <w:tcPr>
            <w:tcW w:type="dxa" w:w="3024"/>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Responsibility</w:t>
            </w:r>
          </w:p>
        </w:tc>
        <w:tc>
          <w:tcPr>
            <w:tcW w:type="dxa" w:w="7200"/>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40" w:line="247" w:lineRule="auto"/>
            </w:pPr>
            <w:r>
              <w:rPr>
                <w:b/>
                <w:sz w:val="19"/>
              </w:rPr>
              <w:t>Required ownership</w:t>
            </w:r>
          </w:p>
        </w:tc>
      </w:tr>
      <w:tr>
        <w:trPr>
          <w:cantSplit/>
        </w:trPr>
        <w:tc>
          <w:tcPr>
            <w:tcW w:type="dxa" w:w="302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Automation and reproducibility</w:t>
            </w:r>
          </w:p>
        </w:tc>
        <w:tc>
          <w:tcPr>
            <w:tcW w:type="dxa" w:w="720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CAD developer and analysis/CI engineer; maintain schemas, exports, runners and regression evidence.</w:t>
            </w:r>
          </w:p>
        </w:tc>
      </w:tr>
      <w:tr>
        <w:trPr>
          <w:cantSplit/>
        </w:trPr>
        <w:tc>
          <w:tcPr>
            <w:tcW w:type="dxa" w:w="302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Structural and materials</w:t>
            </w:r>
          </w:p>
        </w:tc>
        <w:tc>
          <w:tcPr>
            <w:tcW w:type="dxa" w:w="720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Structural lead plus concrete/composites specialist; own load paths, criteria, applicable models and physical benchmarks.</w:t>
            </w:r>
          </w:p>
        </w:tc>
      </w:tr>
      <w:tr>
        <w:trPr>
          <w:cantSplit/>
        </w:trPr>
        <w:tc>
          <w:tcPr>
            <w:tcW w:type="dxa" w:w="302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Ground and construction</w:t>
            </w:r>
          </w:p>
        </w:tc>
        <w:tc>
          <w:tcPr>
            <w:tcW w:type="dxa" w:w="720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Geotechnical lead and construction engineer; own foundation assumptions, installation, lifting and temporary stages.</w:t>
            </w:r>
          </w:p>
        </w:tc>
      </w:tr>
      <w:tr>
        <w:trPr>
          <w:cantSplit/>
        </w:trPr>
        <w:tc>
          <w:tcPr>
            <w:tcW w:type="dxa" w:w="3024"/>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Economics and independent checking</w:t>
            </w:r>
          </w:p>
        </w:tc>
        <w:tc>
          <w:tcPr>
            <w:tcW w:type="dxa" w:w="7200"/>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40" w:line="247" w:lineRule="auto"/>
            </w:pPr>
            <w:r>
              <w:rPr>
                <w:b w:val="0"/>
                <w:sz w:val="19"/>
              </w:rPr>
              <w:t>Cost/manufacturing owner plus separate technical checker; own quotations, package scope and acceptance review.</w:t>
            </w:r>
          </w:p>
        </w:tc>
      </w:tr>
    </w:tbl>
    <w:p>
      <w:pPr>
        <w:spacing w:after="0" w:line="40" w:lineRule="exact"/>
      </w:pPr>
    </w:p>
    <w:p>
      <w:r>
        <w:t>Planning assumption: roughly four full-time engineering/software contributors with scheduled specialist and independent review. Confirm availability in Phase 0; software developers must not silently act as the accepting structural or geotechnical authority.</w:t>
      </w:r>
    </w:p>
    <w:p>
      <w:pPr>
        <w:pStyle w:val="Heading1"/>
        <w:pageBreakBefore/>
      </w:pPr>
      <w:r>
        <w:t>Physical evidence and candidate promotion</w:t>
      </w:r>
    </w:p>
    <w:p>
      <w:pPr>
        <w:pStyle w:val="Heading2"/>
      </w:pPr>
      <w:r>
        <w:t>Plan experiments around governing uncertainty</w:t>
      </w:r>
    </w:p>
    <w:p>
      <w:r>
        <w:t>Test coupons for actual concrete and FRP batches, temperatures and curing conditions. Test shear/bond connectors, tendon anchorage, joints and pier confinement. For shortlisted foundation systems, obtain site characterisation and instrumented load tests appropriate to the method. Progress from components to representative full-scale assemblies and controlled train/load tests where required.</w:t>
      </w:r>
    </w:p>
    <w:p>
      <w:r>
        <w:t>Use blind validation datasets after calibration. Measure stiffness, slip, strain, cracking, residual deformation, fatigue degradation and failure mode—not just ultimate load. Establish inspection, repair and replacement methods while developing novel hybrids. A lighter uninspectable shell may create unacceptable lifetime cost.</w:t>
      </w:r>
    </w:p>
    <w:p>
      <w:r>
        <w:t>MxV Rail reports useful revenue-service evidence for hybrid-composite beams, including increased deflection in one span series and fabrication/joint concerns. Use this to define failure-mode benchmarks rather than copying a reported mass saving. FHWA waffle-deck work supports investigation of efficient UHPC geometry, but requires transfer validation for railway actions. [W1–W2]</w:t>
      </w:r>
    </w:p>
    <w:p>
      <w:pPr>
        <w:pStyle w:val="Heading2"/>
      </w:pPr>
      <w:r>
        <w:t>Separate maturity from feasibility</w:t>
      </w:r>
    </w:p>
    <w:p>
      <w:r>
        <w:t>Maintain two axes: analysis outcome (feasible, infeasible, unresolved) and evidence maturity (exploratory, numerically verified, physically validated, independently reviewed, released through existing governance). A candidate can pass numerical requirements while remaining exploratory. Neither missing tests nor missing quotations may disappear from a Pareto report.</w:t>
      </w:r>
    </w:p>
    <w:p>
      <w:pPr>
        <w:pStyle w:val="Heading2"/>
      </w:pPr>
      <w:r>
        <w:t>Promotion bundle</w:t>
      </w:r>
    </w:p>
    <w:p>
      <w:r>
        <w:t>A shortlisted candidate needs its full configuration and lineage; CAD/IFC and assembly mapping; material, reinforcement/prestress and connection specifications; load/ground/construction assumptions; native results and convergence studies; benchmark and test links; independent review; quantities, supplier rates and erection plan; durability/maintenance requirements; and unresolved issues with owners.</w:t>
      </w:r>
    </w:p>
    <w:p>
      <w:r>
        <w:t>Promotion uses the existing sealed engineering change workflow and civil evidence/release checks. Assess impacts on the catalogue, BIM, BOM, construction schedule, costs and financing inputs. Canonical production and financial data change only through their existing accepted process. A search result must not autonomously trigger supplier orders, production submissions or engineering release. [R3, R5]</w:t>
      </w:r>
    </w:p>
    <w:p>
      <w:pPr>
        <w:pStyle w:val="Heading2"/>
      </w:pPr>
      <w:r>
        <w:t>Definition of programme success</w:t>
      </w:r>
    </w:p>
    <w:p>
      <w:r>
        <w:t>The repository can investigate a broad, declared option space; reproduce every candidate and comparison; identify why designs fail; refine promising designs with verified models; quantify uncertainty and commercial gaps; and present a defensible shortlist for physical testing and independent acceptance. The programme succeeds even when an innovative family is rejected by evidence.</w:t>
      </w:r>
    </w:p>
    <w:p>
      <w:pPr>
        <w:pStyle w:val="Heading1"/>
        <w:pageBreakBefore/>
      </w:pPr>
      <w:r>
        <w:t>Repository evidence</w:t>
      </w:r>
    </w:p>
    <w:p>
      <w:r>
        <w:t>All repository observations are pinned to main commit 64549d89476e823be9bcfabf90357f41ac3a7493. Click the references below. Proposed paths and backlog items in this plan are recommendations, not claims that these capabilities already exist.</w:t>
      </w:r>
    </w:p>
    <w:p>
      <w:pPr>
        <w:spacing w:after="120"/>
      </w:pPr>
      <w:hyperlink r:id="rId11">
        <w:r>
          <w:rPr>
            <w:color w:val="175D96"/>
            <w:sz w:val="19"/>
          </w:rPr>
          <w:t>R1  Civil reference assurance and elastic benchmark limitations</w:t>
        </w:r>
      </w:hyperlink>
    </w:p>
    <w:p>
      <w:pPr>
        <w:spacing w:after="120"/>
      </w:pPr>
      <w:hyperlink r:id="rId12">
        <w:r>
          <w:rPr>
            <w:color w:val="175D96"/>
            <w:sz w:val="19"/>
          </w:rPr>
          <w:t>R1a  Native civil reference benchmark implementation</w:t>
        </w:r>
      </w:hyperlink>
    </w:p>
    <w:p>
      <w:pPr>
        <w:spacing w:after="120"/>
      </w:pPr>
      <w:hyperlink r:id="rId13">
        <w:r>
          <w:rPr>
            <w:color w:val="175D96"/>
            <w:sz w:val="19"/>
          </w:rPr>
          <w:t>R2  Existing Pi-girder family</w:t>
        </w:r>
      </w:hyperlink>
    </w:p>
    <w:p>
      <w:pPr>
        <w:spacing w:after="120"/>
      </w:pPr>
      <w:hyperlink r:id="rId14">
        <w:r>
          <w:rPr>
            <w:color w:val="175D96"/>
            <w:sz w:val="19"/>
          </w:rPr>
          <w:t>R2a  Substructure including hollow cap geometry</w:t>
        </w:r>
      </w:hyperlink>
    </w:p>
    <w:p>
      <w:pPr>
        <w:spacing w:after="120"/>
      </w:pPr>
      <w:hyperlink r:id="rId15">
        <w:r>
          <w:rPr>
            <w:color w:val="175D96"/>
            <w:sz w:val="19"/>
          </w:rPr>
          <w:t>R2b  Foundation interface model</w:t>
        </w:r>
      </w:hyperlink>
    </w:p>
    <w:p>
      <w:pPr>
        <w:spacing w:after="120"/>
      </w:pPr>
      <w:hyperlink r:id="rId16">
        <w:r>
          <w:rPr>
            <w:color w:val="175D96"/>
            <w:sz w:val="19"/>
          </w:rPr>
          <w:t>R2c  Structural continuity and simple-span distinctions</w:t>
        </w:r>
      </w:hyperlink>
    </w:p>
    <w:p>
      <w:pPr>
        <w:spacing w:after="120"/>
      </w:pPr>
      <w:hyperlink r:id="rId17">
        <w:r>
          <w:rPr>
            <w:color w:val="175D96"/>
            <w:sz w:val="19"/>
          </w:rPr>
          <w:t>R3  Native CAD and solver change workflow</w:t>
        </w:r>
      </w:hyperlink>
    </w:p>
    <w:p>
      <w:pPr>
        <w:spacing w:after="120"/>
      </w:pPr>
      <w:hyperlink r:id="rId18">
        <w:r>
          <w:rPr>
            <w:color w:val="175D96"/>
            <w:sz w:val="19"/>
          </w:rPr>
          <w:t>R3a  Bounded design option comparisons</w:t>
        </w:r>
      </w:hyperlink>
    </w:p>
    <w:p>
      <w:pPr>
        <w:spacing w:after="120"/>
      </w:pPr>
      <w:hyperlink r:id="rId19">
        <w:r>
          <w:rPr>
            <w:color w:val="175D96"/>
            <w:sz w:val="19"/>
          </w:rPr>
          <w:t>R4  Existing engineering simulation and adoption plan</w:t>
        </w:r>
      </w:hyperlink>
    </w:p>
    <w:p>
      <w:pPr>
        <w:spacing w:after="120"/>
      </w:pPr>
      <w:hyperlink r:id="rId20">
        <w:r>
          <w:rPr>
            <w:color w:val="175D96"/>
            <w:sz w:val="19"/>
          </w:rPr>
          <w:t>R4a  Toolchain manifest</w:t>
        </w:r>
      </w:hyperlink>
    </w:p>
    <w:p>
      <w:pPr>
        <w:spacing w:after="120"/>
      </w:pPr>
      <w:hyperlink r:id="rId21">
        <w:r>
          <w:rPr>
            <w:color w:val="175D96"/>
            <w:sz w:val="19"/>
          </w:rPr>
          <w:t>R5  Civil evidence checks</w:t>
        </w:r>
      </w:hyperlink>
    </w:p>
    <w:p>
      <w:pPr>
        <w:spacing w:after="120"/>
      </w:pPr>
      <w:hyperlink r:id="rId22">
        <w:r>
          <w:rPr>
            <w:color w:val="175D96"/>
            <w:sz w:val="19"/>
          </w:rPr>
          <w:t>R5a  Native result parsers</w:t>
        </w:r>
      </w:hyperlink>
    </w:p>
    <w:p>
      <w:pPr>
        <w:spacing w:after="120"/>
      </w:pPr>
      <w:hyperlink r:id="rId23">
        <w:r>
          <w:rPr>
            <w:color w:val="175D96"/>
            <w:sz w:val="19"/>
          </w:rPr>
          <w:t>R5b  Structural release checks</w:t>
        </w:r>
      </w:hyperlink>
    </w:p>
    <w:p>
      <w:pPr>
        <w:spacing w:after="120"/>
      </w:pPr>
      <w:hyperlink r:id="rId24">
        <w:r>
          <w:rPr>
            <w:color w:val="175D96"/>
            <w:sz w:val="19"/>
          </w:rPr>
          <w:t>R6  Baghdad manufactured viaduct review</w:t>
        </w:r>
      </w:hyperlink>
    </w:p>
    <w:p>
      <w:pPr>
        <w:spacing w:after="120"/>
      </w:pPr>
      <w:hyperlink r:id="rId25">
        <w:r>
          <w:rPr>
            <w:color w:val="175D96"/>
            <w:sz w:val="19"/>
          </w:rPr>
          <w:t>R6a  Complete-package comparison implementation</w:t>
        </w:r>
      </w:hyperlink>
    </w:p>
    <w:p>
      <w:pPr>
        <w:spacing w:after="120"/>
      </w:pPr>
      <w:hyperlink r:id="rId26">
        <w:r>
          <w:rPr>
            <w:color w:val="175D96"/>
            <w:sz w:val="19"/>
          </w:rPr>
          <w:t>R7  Repository artifact policy</w:t>
        </w:r>
      </w:hyperlink>
    </w:p>
    <w:p>
      <w:pPr>
        <w:pStyle w:val="Heading2"/>
      </w:pPr>
      <w:r>
        <w:t>Artifact and reproducibility policy</w:t>
      </w:r>
    </w:p>
    <w:p>
      <w:r>
        <w:t>Follow the existing source-first policy: scratch runs under build/engineering, compact intentional review artifacts in git, and large results in versioned artifact storage with checksums. Respect the repository’s 50 MiB tracked-file limit. Tracked reports must not depend on transient absolute paths. Update manifests and documentation ownership rather than duplicating status ledgers. [R7]</w:t>
      </w:r>
    </w:p>
    <w:p>
      <w:pPr>
        <w:pStyle w:val="Heading1"/>
        <w:pageBreakBefore/>
      </w:pPr>
      <w:r>
        <w:t>Primary external references</w:t>
      </w:r>
    </w:p>
    <w:p>
      <w:r>
        <w:t>These resources guide model development and benchmark selection. Their examples and demonstrations are not approvals for this repository’s railway, span, environment or soil conditions. Accessed 9 October 2026.</w:t>
      </w:r>
    </w:p>
    <w:p>
      <w:pPr>
        <w:spacing w:after="120"/>
      </w:pPr>
      <w:hyperlink r:id="rId27">
        <w:r>
          <w:rPr>
            <w:color w:val="175D96"/>
            <w:sz w:val="19"/>
          </w:rPr>
          <w:t>W1  MxV Rail — Hybrid-Composite Beam Spans Revenue Service Results</w:t>
        </w:r>
      </w:hyperlink>
    </w:p>
    <w:p>
      <w:pPr>
        <w:spacing w:after="120"/>
      </w:pPr>
      <w:hyperlink r:id="rId28">
        <w:r>
          <w:rPr>
            <w:color w:val="175D96"/>
            <w:sz w:val="19"/>
          </w:rPr>
          <w:t>W1a  HCB developer design and maintenance manual</w:t>
        </w:r>
      </w:hyperlink>
    </w:p>
    <w:p>
      <w:pPr>
        <w:spacing w:after="120"/>
      </w:pPr>
      <w:hyperlink r:id="rId29">
        <w:r>
          <w:rPr>
            <w:color w:val="175D96"/>
            <w:sz w:val="19"/>
          </w:rPr>
          <w:t>W2  FHWA — Full Depth UHPC Waffle Bridge Deck Panels</w:t>
        </w:r>
      </w:hyperlink>
    </w:p>
    <w:p>
      <w:pPr>
        <w:spacing w:after="120"/>
      </w:pPr>
      <w:hyperlink r:id="rId30">
        <w:r>
          <w:rPr>
            <w:color w:val="175D96"/>
            <w:sz w:val="19"/>
          </w:rPr>
          <w:t>W2a  FHWA — Structural lightweight concrete bridge application</w:t>
        </w:r>
      </w:hyperlink>
    </w:p>
    <w:p>
      <w:pPr>
        <w:spacing w:after="120"/>
      </w:pPr>
      <w:hyperlink r:id="rId31">
        <w:r>
          <w:rPr>
            <w:color w:val="175D96"/>
            <w:sz w:val="19"/>
          </w:rPr>
          <w:t>W3  OpenSeesPy — Laterally Loaded Pile Foundation example</w:t>
        </w:r>
      </w:hyperlink>
    </w:p>
    <w:p>
      <w:pPr>
        <w:spacing w:after="120"/>
      </w:pPr>
      <w:hyperlink r:id="rId32">
        <w:r>
          <w:rPr>
            <w:color w:val="175D96"/>
            <w:sz w:val="19"/>
          </w:rPr>
          <w:t>W3a  FHWA research — Hybrid FRP–concrete–steel double-skin columns</w:t>
        </w:r>
      </w:hyperlink>
    </w:p>
    <w:p>
      <w:pPr>
        <w:spacing w:after="120"/>
      </w:pPr>
      <w:hyperlink r:id="rId33">
        <w:r>
          <w:rPr>
            <w:color w:val="175D96"/>
            <w:sz w:val="19"/>
          </w:rPr>
          <w:t>W3b  FHWA research — UHPC pile investigation</w:t>
        </w:r>
      </w:hyperlink>
    </w:p>
    <w:p>
      <w:pPr>
        <w:spacing w:after="120"/>
      </w:pPr>
      <w:hyperlink r:id="rId34">
        <w:r>
          <w:rPr>
            <w:color w:val="175D96"/>
            <w:sz w:val="19"/>
          </w:rPr>
          <w:t>W3c  FHWA guidance — Continuous Flight Auger piles</w:t>
        </w:r>
      </w:hyperlink>
    </w:p>
    <w:p>
      <w:pPr>
        <w:spacing w:after="120"/>
      </w:pPr>
      <w:hyperlink r:id="rId35">
        <w:r>
          <w:rPr>
            <w:color w:val="175D96"/>
            <w:sz w:val="19"/>
          </w:rPr>
          <w:t>W4  FreeCAD — Features</w:t>
        </w:r>
      </w:hyperlink>
    </w:p>
    <w:p>
      <w:pPr>
        <w:spacing w:after="120"/>
      </w:pPr>
      <w:hyperlink r:id="rId36">
        <w:r>
          <w:rPr>
            <w:color w:val="175D96"/>
            <w:sz w:val="19"/>
          </w:rPr>
          <w:t>W4a  FreeCAD — Getting started with FEM and interface limitations</w:t>
        </w:r>
      </w:hyperlink>
    </w:p>
    <w:p>
      <w:pPr>
        <w:spacing w:after="120"/>
      </w:pPr>
      <w:hyperlink r:id="rId37">
        <w:r>
          <w:rPr>
            <w:color w:val="175D96"/>
            <w:sz w:val="19"/>
          </w:rPr>
          <w:t>W4b  build123d — Official documentation</w:t>
        </w:r>
      </w:hyperlink>
    </w:p>
    <w:p>
      <w:pPr>
        <w:spacing w:after="120"/>
      </w:pPr>
      <w:hyperlink r:id="rId38">
        <w:r>
          <w:rPr>
            <w:color w:val="175D96"/>
            <w:sz w:val="19"/>
          </w:rPr>
          <w:t>W4c  Gmsh — Official project and reference manual</w:t>
        </w:r>
      </w:hyperlink>
    </w:p>
    <w:p>
      <w:pPr>
        <w:spacing w:after="120"/>
      </w:pPr>
      <w:hyperlink r:id="rId39">
        <w:r>
          <w:rPr>
            <w:color w:val="175D96"/>
            <w:sz w:val="19"/>
          </w:rPr>
          <w:t>W4d  CalculiX — Official project</w:t>
        </w:r>
      </w:hyperlink>
    </w:p>
    <w:p>
      <w:pPr>
        <w:spacing w:after="120"/>
      </w:pPr>
      <w:hyperlink r:id="rId40">
        <w:r>
          <w:rPr>
            <w:color w:val="175D96"/>
            <w:sz w:val="19"/>
          </w:rPr>
          <w:t>W4e  ParaView — Official project</w:t>
        </w:r>
      </w:hyperlink>
    </w:p>
    <w:p>
      <w:pPr>
        <w:spacing w:after="120"/>
      </w:pPr>
      <w:hyperlink r:id="rId41">
        <w:r>
          <w:rPr>
            <w:color w:val="175D96"/>
            <w:sz w:val="19"/>
          </w:rPr>
          <w:t>W5  pymoo — Constrained multi-objective optimisation tutorial</w:t>
        </w:r>
      </w:hyperlink>
    </w:p>
    <w:p>
      <w:pPr>
        <w:spacing w:after="120"/>
      </w:pPr>
      <w:hyperlink r:id="rId42">
        <w:r>
          <w:rPr>
            <w:color w:val="175D96"/>
            <w:sz w:val="19"/>
          </w:rPr>
          <w:t>W6  Sandia — Dakota optimisation and uncertainty framework</w:t>
        </w:r>
      </w:hyperlink>
    </w:p>
    <w:p>
      <w:r>
        <w:t>Implementation recommendation: favour the existing open-source toolchain first. Add a tool only where a documented model requirement and benchmark justify it. Check software licences and the provenance of external designs, datasets and material models before incorporating them into repository deliverables.</w:t>
      </w:r>
    </w:p>
    <w:sectPr w:rsidR="00FC693F" w:rsidRPr="0006063C" w:rsidSect="00034616">
      <w:headerReference w:type="default" r:id="rId9"/>
      <w:footerReference w:type="default" r:id="rId10"/>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Implementation plan • 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6"/>
      </w:rPr>
      <w:t>OPENSOURCERAIL  /  CIVIL DESIGN EXPLORATION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ascii="Aptos" w:hAnsi="Apto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160"/>
      <w:contextualSpacing/>
    </w:pPr>
    <w:rPr>
      <w:rFonts w:asciiTheme="majorHAnsi" w:eastAsiaTheme="majorEastAsia" w:hAnsiTheme="majorHAnsi" w:cstheme="majorBidi" w:ascii="Aptos" w:hAnsi="Apto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64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5" w:lineRule="auto"/>
    </w:pPr>
    <w:rPr>
      <w:rFonts w:ascii="Aptos" w:hAnsi="Apto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odernecotech/OpenSourceRail/blob/64549d89476e823be9bcfabf90357f41ac3a7493/engineering/assurance/civil-reference/README.md" TargetMode="External"/><Relationship Id="rId12" Type="http://schemas.openxmlformats.org/officeDocument/2006/relationships/hyperlink" Target="https://github.com/modernecotech/OpenSourceRail/blob/64549d89476e823be9bcfabf90357f41ac3a7493/engineering/analysis/benchmarks/civil_reference.py" TargetMode="External"/><Relationship Id="rId13" Type="http://schemas.openxmlformats.org/officeDocument/2006/relationships/hyperlink" Target="https://github.com/modernecotech/OpenSourceRail/blob/64549d89476e823be9bcfabf90357f41ac3a7493/design/component-catalogue/src/osr_mech/civil/decked_pi.py" TargetMode="External"/><Relationship Id="rId14" Type="http://schemas.openxmlformats.org/officeDocument/2006/relationships/hyperlink" Target="https://github.com/modernecotech/OpenSourceRail/blob/64549d89476e823be9bcfabf90357f41ac3a7493/design/component-catalogue/src/osr_mech/civil/substructure.py" TargetMode="External"/><Relationship Id="rId15" Type="http://schemas.openxmlformats.org/officeDocument/2006/relationships/hyperlink" Target="https://github.com/modernecotech/OpenSourceRail/blob/64549d89476e823be9bcfabf90357f41ac3a7493/design/component-catalogue/src/osr_mech/civil/foundation.py" TargetMode="External"/><Relationship Id="rId16" Type="http://schemas.openxmlformats.org/officeDocument/2006/relationships/hyperlink" Target="https://github.com/modernecotech/OpenSourceRail/blob/64549d89476e823be9bcfabf90357f41ac3a7493/design/component-catalogue/src/osr_mech/civil/continuity.py" TargetMode="External"/><Relationship Id="rId17" Type="http://schemas.openxmlformats.org/officeDocument/2006/relationships/hyperlink" Target="https://github.com/modernecotech/OpenSourceRail/blob/64549d89476e823be9bcfabf90357f41ac3a7493/engineering/changes/README.md" TargetMode="External"/><Relationship Id="rId18" Type="http://schemas.openxmlformats.org/officeDocument/2006/relationships/hyperlink" Target="https://github.com/modernecotech/OpenSourceRail/blob/64549d89476e823be9bcfabf90357f41ac3a7493/engineering/design-options/README.md" TargetMode="External"/><Relationship Id="rId19" Type="http://schemas.openxmlformats.org/officeDocument/2006/relationships/hyperlink" Target="https://github.com/modernecotech/OpenSourceRail/blob/64549d89476e823be9bcfabf90357f41ac3a7493/docs/engineering-design-simulation-plan.md" TargetMode="External"/><Relationship Id="rId20" Type="http://schemas.openxmlformats.org/officeDocument/2006/relationships/hyperlink" Target="https://github.com/modernecotech/OpenSourceRail/blob/64549d89476e823be9bcfabf90357f41ac3a7493/engineering/toolchain/tool-manifest.toml" TargetMode="External"/><Relationship Id="rId21" Type="http://schemas.openxmlformats.org/officeDocument/2006/relationships/hyperlink" Target="https://github.com/modernecotech/OpenSourceRail/blob/64549d89476e823be9bcfabf90357f41ac3a7493/engineering/analysis/civil_evidence.py" TargetMode="External"/><Relationship Id="rId22" Type="http://schemas.openxmlformats.org/officeDocument/2006/relationships/hyperlink" Target="https://github.com/modernecotech/OpenSourceRail/blob/64549d89476e823be9bcfabf90357f41ac3a7493/engineering/analysis/solver_results.py" TargetMode="External"/><Relationship Id="rId23" Type="http://schemas.openxmlformats.org/officeDocument/2006/relationships/hyperlink" Target="https://github.com/modernecotech/OpenSourceRail/blob/64549d89476e823be9bcfabf90357f41ac3a7493/engineering/analysis/structural_release.py" TargetMode="External"/><Relationship Id="rId24" Type="http://schemas.openxmlformats.org/officeDocument/2006/relationships/hyperlink" Target="https://github.com/modernecotech/OpenSourceRail/blob/64549d89476e823be9bcfabf90357f41ac3a7493/docs/baghdad-manufactured-viaduct-review-2026-10-04.md" TargetMode="External"/><Relationship Id="rId25" Type="http://schemas.openxmlformats.org/officeDocument/2006/relationships/hyperlink" Target="https://github.com/modernecotech/OpenSourceRail/blob/64549d89476e823be9bcfabf90357f41ac3a7493/tools/automation/baghdad_viaduct_comparison.py" TargetMode="External"/><Relationship Id="rId26" Type="http://schemas.openxmlformats.org/officeDocument/2006/relationships/hyperlink" Target="https://github.com/modernecotech/OpenSourceRail/blob/64549d89476e823be9bcfabf90357f41ac3a7493/docs/repository-artifact-policy.md" TargetMode="External"/><Relationship Id="rId27" Type="http://schemas.openxmlformats.org/officeDocument/2006/relationships/hyperlink" Target="https://www.mxvrail.com/technology-digest/hybrid-composite-beam-spans-revenue-service-results/" TargetMode="External"/><Relationship Id="rId28" Type="http://schemas.openxmlformats.org/officeDocument/2006/relationships/hyperlink" Target="https://aii.transportation.org/Documents/BMDO/HCB-design-maint-manual.pdf" TargetMode="External"/><Relationship Id="rId29" Type="http://schemas.openxmlformats.org/officeDocument/2006/relationships/hyperlink" Target="https://www.fhwa.dot.gov/hfl/partnerships/uhpc/hif13031/chap01.cfm" TargetMode="External"/><Relationship Id="rId30" Type="http://schemas.openxmlformats.org/officeDocument/2006/relationships/hyperlink" Target="https://www.fhwa.dot.gov/bridge/pubs/07022/chap04.cfm" TargetMode="External"/><Relationship Id="rId31" Type="http://schemas.openxmlformats.org/officeDocument/2006/relationships/hyperlink" Target="https://openseespydoc.readthedocs.io/en/latest/src/pile.html" TargetMode="External"/><Relationship Id="rId32" Type="http://schemas.openxmlformats.org/officeDocument/2006/relationships/hyperlink" Target="https://rosap.ntl.bts.gov/view/dot/28949" TargetMode="External"/><Relationship Id="rId33" Type="http://schemas.openxmlformats.org/officeDocument/2006/relationships/hyperlink" Target="https://rosap.ntl.bts.gov/view/dot/23880" TargetMode="External"/><Relationship Id="rId34" Type="http://schemas.openxmlformats.org/officeDocument/2006/relationships/hyperlink" Target="https://rosap.ntl.bts.gov/view/dot/40557" TargetMode="External"/><Relationship Id="rId35" Type="http://schemas.openxmlformats.org/officeDocument/2006/relationships/hyperlink" Target="https://www.freecad.org/features.php" TargetMode="External"/><Relationship Id="rId36" Type="http://schemas.openxmlformats.org/officeDocument/2006/relationships/hyperlink" Target="https://blog.freecad.org/2025/09/16/getting-started-with-fem/" TargetMode="External"/><Relationship Id="rId37" Type="http://schemas.openxmlformats.org/officeDocument/2006/relationships/hyperlink" Target="https://build123d.readthedocs.io/en/stable/index.html" TargetMode="External"/><Relationship Id="rId38" Type="http://schemas.openxmlformats.org/officeDocument/2006/relationships/hyperlink" Target="https://gmsh.info/" TargetMode="External"/><Relationship Id="rId39" Type="http://schemas.openxmlformats.org/officeDocument/2006/relationships/hyperlink" Target="https://calculix.de/" TargetMode="External"/><Relationship Id="rId40" Type="http://schemas.openxmlformats.org/officeDocument/2006/relationships/hyperlink" Target="https://www.paraview.org/about/" TargetMode="External"/><Relationship Id="rId41" Type="http://schemas.openxmlformats.org/officeDocument/2006/relationships/hyperlink" Target="https://www.pymoo.org/getting_started/part_2.html" TargetMode="External"/><Relationship Id="rId42" Type="http://schemas.openxmlformats.org/officeDocument/2006/relationships/hyperlink" Target="https://dakota.sandia.gov/about-dako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OpenSourceRail Civil Design Exploration Implementation Plan</dc:title>
  <dc:subject>Parametric hybrid viaducts, benchmarked simulation and constrained optimisation</dc:subject>
  <dc:creator>OpenSourceRail engineering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