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665C" w14:textId="77777777" w:rsidR="009B5596" w:rsidRPr="00410093" w:rsidRDefault="009B5596" w:rsidP="00463D70">
      <w:pPr>
        <w:spacing w:after="0" w:line="240" w:lineRule="auto"/>
        <w:jc w:val="center"/>
        <w:rPr>
          <w:rFonts w:ascii="Times New Roman" w:hAnsi="Times New Roman" w:cs="Times New Roman"/>
          <w:b/>
          <w:bCs/>
          <w:u w:val="single"/>
        </w:rPr>
      </w:pPr>
      <w:r w:rsidRPr="00410093">
        <w:rPr>
          <w:rFonts w:ascii="Times New Roman" w:eastAsia="Times New Roman" w:hAnsi="Times New Roman" w:cs="Times New Roman"/>
          <w:b/>
          <w:bCs/>
          <w:u w:val="single"/>
        </w:rPr>
        <w:t>Technical Details of Recommendation to Enter the Short-Term Rental Market</w:t>
      </w:r>
    </w:p>
    <w:p w14:paraId="27BFB203" w14:textId="77777777" w:rsidR="009B5596" w:rsidRPr="00410093" w:rsidRDefault="009B5596" w:rsidP="009B5596">
      <w:pPr>
        <w:spacing w:after="0" w:line="240" w:lineRule="auto"/>
        <w:ind w:firstLine="720"/>
        <w:jc w:val="center"/>
        <w:rPr>
          <w:rFonts w:ascii="Times New Roman" w:hAnsi="Times New Roman" w:cs="Times New Roman"/>
        </w:rPr>
      </w:pPr>
    </w:p>
    <w:p w14:paraId="001CE7B9" w14:textId="77777777" w:rsidR="009B5596" w:rsidRPr="00410093" w:rsidRDefault="009B5596" w:rsidP="009B5596">
      <w:pPr>
        <w:spacing w:after="0" w:line="240" w:lineRule="auto"/>
        <w:ind w:firstLine="720"/>
        <w:rPr>
          <w:rFonts w:ascii="Times New Roman" w:hAnsi="Times New Roman" w:cs="Times New Roman"/>
        </w:rPr>
      </w:pPr>
    </w:p>
    <w:p w14:paraId="55C4D782" w14:textId="3761EB18" w:rsidR="003B65E9" w:rsidRPr="009A0357" w:rsidRDefault="009A0357" w:rsidP="009B5596">
      <w:pPr>
        <w:rPr>
          <w:rFonts w:ascii="Times New Roman" w:eastAsia="Times New Roman" w:hAnsi="Times New Roman" w:cs="Times New Roman"/>
          <w:b/>
        </w:rPr>
      </w:pPr>
      <w:r>
        <w:rPr>
          <w:rFonts w:ascii="Times New Roman" w:eastAsia="Times New Roman" w:hAnsi="Times New Roman" w:cs="Times New Roman"/>
          <w:b/>
        </w:rPr>
        <w:t>Introduction</w:t>
      </w:r>
    </w:p>
    <w:p w14:paraId="30D7C696" w14:textId="3B0C13A4" w:rsidR="009B5596" w:rsidRPr="00410093" w:rsidRDefault="009B5596" w:rsidP="009B5596">
      <w:pPr>
        <w:rPr>
          <w:rFonts w:ascii="Times New Roman" w:hAnsi="Times New Roman" w:cs="Times New Roman"/>
          <w:b/>
          <w:bCs/>
        </w:rPr>
      </w:pPr>
      <w:r w:rsidRPr="009A0357">
        <w:rPr>
          <w:rFonts w:ascii="Times New Roman" w:eastAsia="Times New Roman" w:hAnsi="Times New Roman" w:cs="Times New Roman"/>
          <w:bCs/>
        </w:rPr>
        <w:t xml:space="preserve">I recommend that Watershed should </w:t>
      </w:r>
      <w:r w:rsidRPr="00410093">
        <w:rPr>
          <w:rFonts w:ascii="Times New Roman" w:eastAsia="Times New Roman" w:hAnsi="Times New Roman" w:cs="Times New Roman"/>
          <w:b/>
        </w:rPr>
        <w:t>convert its long-term rental properties in Miami, Palo Alto</w:t>
      </w:r>
      <w:r w:rsidR="00EC2AD4">
        <w:rPr>
          <w:rFonts w:ascii="Times New Roman" w:eastAsia="Times New Roman" w:hAnsi="Times New Roman" w:cs="Times New Roman"/>
          <w:b/>
        </w:rPr>
        <w:t xml:space="preserve">, and Austin </w:t>
      </w:r>
      <w:r w:rsidR="00C7219A">
        <w:rPr>
          <w:rFonts w:ascii="Times New Roman" w:eastAsia="Times New Roman" w:hAnsi="Times New Roman" w:cs="Times New Roman"/>
          <w:b/>
        </w:rPr>
        <w:t>(houses only)</w:t>
      </w:r>
      <w:r w:rsidRPr="00410093">
        <w:rPr>
          <w:rFonts w:ascii="Times New Roman" w:eastAsia="Times New Roman" w:hAnsi="Times New Roman" w:cs="Times New Roman"/>
          <w:b/>
        </w:rPr>
        <w:t xml:space="preserve"> to short term rental units using $25,000 CAPEX per property. There are 20 properties in these 3 cities </w:t>
      </w:r>
      <w:r w:rsidR="0046064D" w:rsidRPr="00410093">
        <w:rPr>
          <w:rFonts w:ascii="Times New Roman" w:eastAsia="Times New Roman" w:hAnsi="Times New Roman" w:cs="Times New Roman"/>
          <w:b/>
        </w:rPr>
        <w:t xml:space="preserve">totaling an initial CAPEX conversion cost of $500,000. </w:t>
      </w:r>
      <w:r w:rsidR="002D15E8" w:rsidRPr="00410093">
        <w:rPr>
          <w:rFonts w:ascii="Times New Roman" w:eastAsia="Times New Roman" w:hAnsi="Times New Roman" w:cs="Times New Roman"/>
          <w:b/>
        </w:rPr>
        <w:t>These 20 properties</w:t>
      </w:r>
      <w:r w:rsidR="00CB2C76" w:rsidRPr="00410093">
        <w:rPr>
          <w:rFonts w:ascii="Times New Roman" w:eastAsia="Times New Roman" w:hAnsi="Times New Roman" w:cs="Times New Roman"/>
          <w:b/>
        </w:rPr>
        <w:t xml:space="preserve"> potentially</w:t>
      </w:r>
      <w:r w:rsidR="002D15E8" w:rsidRPr="00410093">
        <w:rPr>
          <w:rFonts w:ascii="Times New Roman" w:eastAsia="Times New Roman" w:hAnsi="Times New Roman" w:cs="Times New Roman"/>
          <w:b/>
        </w:rPr>
        <w:t xml:space="preserve"> </w:t>
      </w:r>
      <w:r w:rsidR="00CB2C76" w:rsidRPr="00410093">
        <w:rPr>
          <w:rFonts w:ascii="Times New Roman" w:eastAsia="Times New Roman" w:hAnsi="Times New Roman" w:cs="Times New Roman"/>
          <w:b/>
        </w:rPr>
        <w:t>y</w:t>
      </w:r>
      <w:r w:rsidRPr="00410093">
        <w:rPr>
          <w:rFonts w:ascii="Times New Roman" w:eastAsia="Times New Roman" w:hAnsi="Times New Roman" w:cs="Times New Roman"/>
          <w:b/>
        </w:rPr>
        <w:t>ield a minimum of $5,500</w:t>
      </w:r>
      <w:r w:rsidR="00CB2C76" w:rsidRPr="00410093">
        <w:rPr>
          <w:rFonts w:ascii="Times New Roman" w:eastAsia="Times New Roman" w:hAnsi="Times New Roman" w:cs="Times New Roman"/>
          <w:b/>
        </w:rPr>
        <w:t xml:space="preserve"> and maximum of $126,000</w:t>
      </w:r>
      <w:r w:rsidRPr="00410093">
        <w:rPr>
          <w:rFonts w:ascii="Times New Roman" w:eastAsia="Times New Roman" w:hAnsi="Times New Roman" w:cs="Times New Roman"/>
          <w:b/>
        </w:rPr>
        <w:t xml:space="preserve"> additional yearly profits</w:t>
      </w:r>
      <w:r w:rsidR="00CB2C76" w:rsidRPr="00410093">
        <w:rPr>
          <w:rFonts w:ascii="Times New Roman" w:eastAsia="Times New Roman" w:hAnsi="Times New Roman" w:cs="Times New Roman"/>
          <w:b/>
        </w:rPr>
        <w:t xml:space="preserve"> per property. </w:t>
      </w:r>
    </w:p>
    <w:p w14:paraId="66444B5F" w14:textId="236E0927" w:rsidR="009B5596" w:rsidRDefault="002A14CA" w:rsidP="00F134C4">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w:t>
      </w:r>
      <w:r w:rsidRPr="000052FF">
        <w:rPr>
          <w:rFonts w:ascii="Times New Roman" w:eastAsia="Times New Roman" w:hAnsi="Times New Roman" w:cs="Times New Roman"/>
          <w:b/>
          <w:color w:val="000000" w:themeColor="text1"/>
        </w:rPr>
        <w:t>from $</w:t>
      </w:r>
      <w:r w:rsidR="00C7219A">
        <w:rPr>
          <w:rFonts w:ascii="Times New Roman" w:eastAsia="Times New Roman" w:hAnsi="Times New Roman" w:cs="Times New Roman"/>
          <w:b/>
          <w:color w:val="000000" w:themeColor="text1"/>
        </w:rPr>
        <w:t>915,285</w:t>
      </w:r>
      <w:r w:rsidRPr="000052FF">
        <w:rPr>
          <w:rFonts w:ascii="Times New Roman" w:eastAsia="Times New Roman" w:hAnsi="Times New Roman" w:cs="Times New Roman"/>
          <w:b/>
          <w:color w:val="000000" w:themeColor="text1"/>
        </w:rPr>
        <w:t xml:space="preserve"> of increased profits during the first year, and yearly profits of $</w:t>
      </w:r>
      <w:r w:rsidR="00C7219A">
        <w:rPr>
          <w:rFonts w:ascii="Times New Roman" w:eastAsia="Times New Roman" w:hAnsi="Times New Roman" w:cs="Times New Roman"/>
          <w:b/>
          <w:color w:val="000000" w:themeColor="text1"/>
        </w:rPr>
        <w:t>819,</w:t>
      </w:r>
      <w:r w:rsidR="003E5780">
        <w:rPr>
          <w:rFonts w:ascii="Times New Roman" w:eastAsia="Times New Roman" w:hAnsi="Times New Roman" w:cs="Times New Roman"/>
          <w:b/>
          <w:color w:val="000000" w:themeColor="text1"/>
        </w:rPr>
        <w:t>285</w:t>
      </w:r>
      <w:r w:rsidR="00307562">
        <w:rPr>
          <w:rFonts w:ascii="Times New Roman" w:eastAsia="Times New Roman" w:hAnsi="Times New Roman" w:cs="Times New Roman"/>
          <w:b/>
          <w:color w:val="000000" w:themeColor="text1"/>
        </w:rPr>
        <w:t xml:space="preserve"> </w:t>
      </w:r>
      <w:r w:rsidRPr="000052FF">
        <w:rPr>
          <w:rFonts w:ascii="Times New Roman" w:eastAsia="Times New Roman" w:hAnsi="Times New Roman" w:cs="Times New Roman"/>
          <w:b/>
          <w:color w:val="000000" w:themeColor="text1"/>
        </w:rPr>
        <w:t xml:space="preserve">every year thereafter if </w:t>
      </w:r>
      <w:r w:rsidR="00307562">
        <w:rPr>
          <w:rFonts w:ascii="Times New Roman" w:eastAsia="Times New Roman" w:hAnsi="Times New Roman" w:cs="Times New Roman"/>
          <w:b/>
          <w:color w:val="000000" w:themeColor="text1"/>
        </w:rPr>
        <w:t>this</w:t>
      </w:r>
      <w:r w:rsidRPr="000052FF">
        <w:rPr>
          <w:rFonts w:ascii="Times New Roman" w:eastAsia="Times New Roman" w:hAnsi="Times New Roman" w:cs="Times New Roman"/>
          <w:b/>
          <w:color w:val="000000" w:themeColor="text1"/>
        </w:rPr>
        <w:t xml:space="preserve"> recommendation is enacted. </w:t>
      </w:r>
      <w:r w:rsidRPr="000052FF">
        <w:rPr>
          <w:rFonts w:ascii="Times New Roman" w:eastAsia="Times New Roman" w:hAnsi="Times New Roman" w:cs="Times New Roman"/>
        </w:rPr>
        <w:t xml:space="preserve">This analysis is based on financial assumptions that were confirmed by company and industry experts, but sensitivity analyses indicate that Watershed should enter the short-term rental market with their client, even if these initial assumptions need to be revised. </w:t>
      </w:r>
      <w:r w:rsidR="00D7159D" w:rsidRPr="000052FF">
        <w:rPr>
          <w:rFonts w:ascii="Times New Roman" w:eastAsia="Times New Roman" w:hAnsi="Times New Roman" w:cs="Times New Roman"/>
          <w:bCs/>
        </w:rPr>
        <w:t xml:space="preserve">Included in this analysis are altered risk parameters based on additional research that led to these conclusions. </w:t>
      </w:r>
      <w:r w:rsidRPr="000052FF">
        <w:rPr>
          <w:rFonts w:ascii="Times New Roman" w:eastAsia="Times New Roman" w:hAnsi="Times New Roman" w:cs="Times New Roman"/>
        </w:rPr>
        <w:t>Below, is described the analyses used to arrive at these conclusions and report the results of the sensitivity analysis that assesses how expected profits and needed capital</w:t>
      </w:r>
      <w:r w:rsidRPr="21C4B35C">
        <w:rPr>
          <w:rFonts w:ascii="Times New Roman" w:eastAsia="Times New Roman" w:hAnsi="Times New Roman" w:cs="Times New Roman"/>
        </w:rPr>
        <w:t xml:space="preserve"> expenditure would change if </w:t>
      </w:r>
      <w:r>
        <w:rPr>
          <w:rFonts w:ascii="Times New Roman" w:eastAsia="Times New Roman" w:hAnsi="Times New Roman" w:cs="Times New Roman"/>
        </w:rPr>
        <w:t>any</w:t>
      </w:r>
      <w:r w:rsidRPr="21C4B35C">
        <w:rPr>
          <w:rFonts w:ascii="Times New Roman" w:eastAsia="Times New Roman" w:hAnsi="Times New Roman" w:cs="Times New Roman"/>
        </w:rPr>
        <w:t xml:space="preserve"> assumptions were modified.</w:t>
      </w:r>
    </w:p>
    <w:p w14:paraId="22A417C7" w14:textId="77777777" w:rsidR="00F134C4" w:rsidRDefault="00F134C4" w:rsidP="00F134C4">
      <w:pPr>
        <w:spacing w:after="0" w:line="240" w:lineRule="auto"/>
        <w:rPr>
          <w:rFonts w:ascii="Times New Roman" w:hAnsi="Times New Roman" w:cs="Times New Roman"/>
        </w:rPr>
      </w:pPr>
    </w:p>
    <w:p w14:paraId="49EC7A15" w14:textId="77777777" w:rsidR="00F134C4" w:rsidRPr="00F134C4" w:rsidRDefault="00F134C4" w:rsidP="00F134C4">
      <w:pPr>
        <w:spacing w:after="0" w:line="240" w:lineRule="auto"/>
        <w:rPr>
          <w:rFonts w:ascii="Times New Roman" w:hAnsi="Times New Roman" w:cs="Times New Roman"/>
        </w:rPr>
      </w:pPr>
    </w:p>
    <w:p w14:paraId="0ADF8EE1" w14:textId="60A648D0" w:rsidR="00EC4497" w:rsidRPr="00410093" w:rsidRDefault="00EC4497">
      <w:pPr>
        <w:rPr>
          <w:rFonts w:ascii="Times New Roman" w:hAnsi="Times New Roman" w:cs="Times New Roman"/>
          <w:b/>
          <w:bCs/>
        </w:rPr>
      </w:pPr>
      <w:r w:rsidRPr="00410093">
        <w:rPr>
          <w:rFonts w:ascii="Times New Roman" w:hAnsi="Times New Roman" w:cs="Times New Roman"/>
          <w:b/>
          <w:bCs/>
        </w:rPr>
        <w:t>EDA</w:t>
      </w:r>
    </w:p>
    <w:p w14:paraId="2CC4B931" w14:textId="3C511D09" w:rsidR="00EC4497" w:rsidRDefault="00EC4497">
      <w:pPr>
        <w:rPr>
          <w:rFonts w:ascii="Times New Roman" w:hAnsi="Times New Roman" w:cs="Times New Roman"/>
        </w:rPr>
      </w:pPr>
      <w:r w:rsidRPr="00410093">
        <w:rPr>
          <w:rFonts w:ascii="Times New Roman" w:hAnsi="Times New Roman" w:cs="Times New Roman"/>
        </w:rPr>
        <w:t xml:space="preserve">To begin this </w:t>
      </w:r>
      <w:r w:rsidR="00F5260E" w:rsidRPr="00410093">
        <w:rPr>
          <w:rFonts w:ascii="Times New Roman" w:hAnsi="Times New Roman" w:cs="Times New Roman"/>
        </w:rPr>
        <w:t>analysis,</w:t>
      </w:r>
      <w:r w:rsidRPr="00410093">
        <w:rPr>
          <w:rFonts w:ascii="Times New Roman" w:hAnsi="Times New Roman" w:cs="Times New Roman"/>
        </w:rPr>
        <w:t xml:space="preserve"> I was granted access to Watershed’s MySQL database which contained 6 tables of information on Watershed’s current long-term rental properties, and sample data from short-term rental properties with similar locations and property types. The data was first drawn into an entity relationship diagram and then a relational schema using ERDplus.com</w:t>
      </w:r>
    </w:p>
    <w:p w14:paraId="114FC92A" w14:textId="77777777" w:rsidR="00DB55F4" w:rsidRDefault="00DB55F4">
      <w:pPr>
        <w:rPr>
          <w:rFonts w:ascii="Times New Roman" w:hAnsi="Times New Roman" w:cs="Times New Roman"/>
        </w:rPr>
      </w:pPr>
    </w:p>
    <w:p w14:paraId="3AD55D90" w14:textId="77777777" w:rsidR="00DB55F4" w:rsidRDefault="00DB55F4">
      <w:pPr>
        <w:rPr>
          <w:rFonts w:ascii="Times New Roman" w:hAnsi="Times New Roman" w:cs="Times New Roman"/>
        </w:rPr>
      </w:pPr>
    </w:p>
    <w:p w14:paraId="585B2B50" w14:textId="19E675B1" w:rsidR="00C21CC2" w:rsidRPr="00410093" w:rsidRDefault="00DB55F4" w:rsidP="00C21CC2">
      <w:pPr>
        <w:rPr>
          <w:rFonts w:ascii="Times New Roman" w:hAnsi="Times New Roman" w:cs="Times New Roman"/>
        </w:rPr>
      </w:pPr>
      <w:r>
        <w:rPr>
          <w:rFonts w:ascii="Times New Roman" w:hAnsi="Times New Roman" w:cs="Times New Roman"/>
          <w:noProof/>
        </w:rPr>
        <w:drawing>
          <wp:inline distT="0" distB="0" distL="0" distR="0" wp14:anchorId="58711C69" wp14:editId="53D65A76">
            <wp:extent cx="6858000" cy="3251200"/>
            <wp:effectExtent l="19050" t="19050" r="19050" b="25400"/>
            <wp:docPr id="73214765" name="Picture 2"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4765" name="Picture 2" descr="A picture containing text, diagram, plan, technical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3251200"/>
                    </a:xfrm>
                    <a:prstGeom prst="rect">
                      <a:avLst/>
                    </a:prstGeom>
                    <a:ln>
                      <a:solidFill>
                        <a:schemeClr val="tx1"/>
                      </a:solidFill>
                    </a:ln>
                  </pic:spPr>
                </pic:pic>
              </a:graphicData>
            </a:graphic>
          </wp:inline>
        </w:drawing>
      </w:r>
    </w:p>
    <w:p w14:paraId="3C997561" w14:textId="111B3AD0" w:rsidR="00C21CC2" w:rsidRPr="00410093" w:rsidRDefault="00C21CC2" w:rsidP="00C21CC2">
      <w:pPr>
        <w:jc w:val="center"/>
        <w:rPr>
          <w:rFonts w:ascii="Times New Roman" w:hAnsi="Times New Roman" w:cs="Times New Roman"/>
          <w:i/>
          <w:iCs/>
          <w:sz w:val="20"/>
          <w:szCs w:val="20"/>
        </w:rPr>
      </w:pPr>
      <w:r w:rsidRPr="00410093">
        <w:rPr>
          <w:rFonts w:ascii="Times New Roman" w:hAnsi="Times New Roman" w:cs="Times New Roman"/>
          <w:i/>
          <w:iCs/>
          <w:sz w:val="20"/>
          <w:szCs w:val="20"/>
        </w:rPr>
        <w:t xml:space="preserve">Figure </w:t>
      </w:r>
      <w:r w:rsidR="00DB55F4">
        <w:rPr>
          <w:rFonts w:ascii="Times New Roman" w:hAnsi="Times New Roman" w:cs="Times New Roman"/>
          <w:i/>
          <w:iCs/>
          <w:sz w:val="20"/>
          <w:szCs w:val="20"/>
        </w:rPr>
        <w:t>1</w:t>
      </w:r>
      <w:r w:rsidRPr="00410093">
        <w:rPr>
          <w:rFonts w:ascii="Times New Roman" w:hAnsi="Times New Roman" w:cs="Times New Roman"/>
          <w:i/>
          <w:iCs/>
          <w:sz w:val="20"/>
          <w:szCs w:val="20"/>
        </w:rPr>
        <w:t>: Relational Schema</w:t>
      </w:r>
      <w:r w:rsidR="006068AE">
        <w:rPr>
          <w:rFonts w:ascii="Times New Roman" w:hAnsi="Times New Roman" w:cs="Times New Roman"/>
          <w:i/>
          <w:iCs/>
          <w:sz w:val="20"/>
          <w:szCs w:val="20"/>
        </w:rPr>
        <w:t>.</w:t>
      </w:r>
    </w:p>
    <w:p w14:paraId="21586D05" w14:textId="77777777" w:rsidR="00C21CC2" w:rsidRDefault="00C21CC2">
      <w:pPr>
        <w:rPr>
          <w:rFonts w:ascii="Times New Roman" w:hAnsi="Times New Roman" w:cs="Times New Roman"/>
        </w:rPr>
      </w:pPr>
    </w:p>
    <w:p w14:paraId="3A3867B3" w14:textId="77777777" w:rsidR="002C4E64" w:rsidRDefault="002C4E64">
      <w:pPr>
        <w:rPr>
          <w:rFonts w:ascii="Times New Roman" w:hAnsi="Times New Roman" w:cs="Times New Roman"/>
        </w:rPr>
      </w:pPr>
    </w:p>
    <w:p w14:paraId="10C6A210" w14:textId="77777777" w:rsidR="002C4E64" w:rsidRDefault="002C4E64">
      <w:pPr>
        <w:rPr>
          <w:rFonts w:ascii="Times New Roman" w:hAnsi="Times New Roman" w:cs="Times New Roman"/>
        </w:rPr>
      </w:pPr>
    </w:p>
    <w:p w14:paraId="5EA51ADC" w14:textId="77777777" w:rsidR="002C4E64" w:rsidRDefault="002C4E64">
      <w:pPr>
        <w:rPr>
          <w:rFonts w:ascii="Times New Roman" w:hAnsi="Times New Roman" w:cs="Times New Roman"/>
        </w:rPr>
      </w:pPr>
    </w:p>
    <w:p w14:paraId="6642EC7C" w14:textId="77777777" w:rsidR="002C4E64" w:rsidRDefault="002C4E64">
      <w:pPr>
        <w:rPr>
          <w:rFonts w:ascii="Times New Roman" w:hAnsi="Times New Roman" w:cs="Times New Roman"/>
        </w:rPr>
      </w:pPr>
    </w:p>
    <w:p w14:paraId="6C24598A" w14:textId="77777777" w:rsidR="002C4E64" w:rsidRDefault="002C4E64">
      <w:pPr>
        <w:rPr>
          <w:rFonts w:ascii="Times New Roman" w:hAnsi="Times New Roman" w:cs="Times New Roman"/>
        </w:rPr>
      </w:pPr>
    </w:p>
    <w:p w14:paraId="1B630C40" w14:textId="77777777" w:rsidR="002C4E64" w:rsidRDefault="002C4E64">
      <w:pPr>
        <w:rPr>
          <w:rFonts w:ascii="Times New Roman" w:hAnsi="Times New Roman" w:cs="Times New Roman"/>
        </w:rPr>
      </w:pPr>
    </w:p>
    <w:p w14:paraId="761232FA" w14:textId="6BCA2EB7" w:rsidR="00BC44F3" w:rsidRDefault="00BC44F3">
      <w:pPr>
        <w:rPr>
          <w:rFonts w:ascii="Times New Roman" w:hAnsi="Times New Roman" w:cs="Times New Roman"/>
        </w:rPr>
      </w:pPr>
      <w:r>
        <w:rPr>
          <w:rFonts w:ascii="Times New Roman" w:hAnsi="Times New Roman" w:cs="Times New Roman"/>
          <w:noProof/>
        </w:rPr>
        <w:drawing>
          <wp:inline distT="0" distB="0" distL="0" distR="0" wp14:anchorId="466F2335" wp14:editId="04B593F6">
            <wp:extent cx="6858000" cy="6416675"/>
            <wp:effectExtent l="0" t="0" r="0" b="3175"/>
            <wp:docPr id="32000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04950" name="Picture 3200049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6416675"/>
                    </a:xfrm>
                    <a:prstGeom prst="rect">
                      <a:avLst/>
                    </a:prstGeom>
                  </pic:spPr>
                </pic:pic>
              </a:graphicData>
            </a:graphic>
          </wp:inline>
        </w:drawing>
      </w:r>
    </w:p>
    <w:p w14:paraId="10A73965" w14:textId="1DF3128C" w:rsidR="00DB55F4" w:rsidRPr="00410093" w:rsidRDefault="00DB55F4" w:rsidP="00DB55F4">
      <w:pPr>
        <w:jc w:val="center"/>
        <w:rPr>
          <w:rFonts w:ascii="Times New Roman" w:hAnsi="Times New Roman" w:cs="Times New Roman"/>
        </w:rPr>
      </w:pPr>
      <w:r w:rsidRPr="00410093">
        <w:rPr>
          <w:rFonts w:ascii="Times New Roman" w:hAnsi="Times New Roman" w:cs="Times New Roman"/>
          <w:i/>
          <w:iCs/>
          <w:sz w:val="20"/>
          <w:szCs w:val="20"/>
        </w:rPr>
        <w:t>Figure</w:t>
      </w:r>
      <w:r>
        <w:rPr>
          <w:rFonts w:ascii="Times New Roman" w:hAnsi="Times New Roman" w:cs="Times New Roman"/>
          <w:i/>
          <w:iCs/>
          <w:sz w:val="20"/>
          <w:szCs w:val="20"/>
        </w:rPr>
        <w:t xml:space="preserve"> 2</w:t>
      </w:r>
      <w:r w:rsidRPr="00410093">
        <w:rPr>
          <w:rFonts w:ascii="Times New Roman" w:hAnsi="Times New Roman" w:cs="Times New Roman"/>
          <w:i/>
          <w:iCs/>
          <w:sz w:val="20"/>
          <w:szCs w:val="20"/>
        </w:rPr>
        <w:t>: Entity Relationship Diagram</w:t>
      </w:r>
      <w:r w:rsidR="006068AE">
        <w:rPr>
          <w:rFonts w:ascii="Times New Roman" w:hAnsi="Times New Roman" w:cs="Times New Roman"/>
          <w:i/>
          <w:iCs/>
          <w:sz w:val="20"/>
          <w:szCs w:val="20"/>
        </w:rPr>
        <w:t>.</w:t>
      </w:r>
    </w:p>
    <w:p w14:paraId="4BF816A4" w14:textId="77777777" w:rsidR="00DB55F4" w:rsidRDefault="00DB55F4">
      <w:pPr>
        <w:rPr>
          <w:rFonts w:ascii="Times New Roman" w:hAnsi="Times New Roman" w:cs="Times New Roman"/>
          <w:i/>
          <w:iCs/>
          <w:sz w:val="20"/>
          <w:szCs w:val="20"/>
        </w:rPr>
      </w:pPr>
    </w:p>
    <w:p w14:paraId="3D695F5D" w14:textId="77777777" w:rsidR="00DB55F4" w:rsidRDefault="00DB55F4">
      <w:pPr>
        <w:rPr>
          <w:rFonts w:ascii="Times New Roman" w:hAnsi="Times New Roman" w:cs="Times New Roman"/>
          <w:i/>
          <w:iCs/>
          <w:sz w:val="20"/>
          <w:szCs w:val="20"/>
        </w:rPr>
      </w:pPr>
    </w:p>
    <w:p w14:paraId="508ED391" w14:textId="77777777" w:rsidR="00DB55F4" w:rsidRDefault="00DB55F4">
      <w:pPr>
        <w:rPr>
          <w:rFonts w:ascii="Times New Roman" w:hAnsi="Times New Roman" w:cs="Times New Roman"/>
          <w:i/>
          <w:iCs/>
          <w:sz w:val="20"/>
          <w:szCs w:val="20"/>
        </w:rPr>
      </w:pPr>
    </w:p>
    <w:p w14:paraId="36373846" w14:textId="77777777" w:rsidR="00DB55F4" w:rsidRDefault="00DB55F4">
      <w:pPr>
        <w:rPr>
          <w:rFonts w:ascii="Times New Roman" w:hAnsi="Times New Roman" w:cs="Times New Roman"/>
          <w:i/>
          <w:iCs/>
          <w:sz w:val="20"/>
          <w:szCs w:val="20"/>
        </w:rPr>
      </w:pPr>
    </w:p>
    <w:p w14:paraId="4576CA94" w14:textId="77777777" w:rsidR="00DB55F4" w:rsidRDefault="00DB55F4">
      <w:pPr>
        <w:rPr>
          <w:rFonts w:ascii="Times New Roman" w:hAnsi="Times New Roman" w:cs="Times New Roman"/>
          <w:i/>
          <w:iCs/>
          <w:sz w:val="20"/>
          <w:szCs w:val="20"/>
        </w:rPr>
      </w:pPr>
    </w:p>
    <w:p w14:paraId="38BF4CD3" w14:textId="77777777" w:rsidR="006068AE" w:rsidRDefault="006068AE">
      <w:pPr>
        <w:rPr>
          <w:rFonts w:ascii="Times New Roman" w:hAnsi="Times New Roman" w:cs="Times New Roman"/>
          <w:i/>
          <w:iCs/>
          <w:sz w:val="20"/>
          <w:szCs w:val="20"/>
        </w:rPr>
      </w:pPr>
    </w:p>
    <w:p w14:paraId="29FC8223" w14:textId="369D23E5" w:rsidR="00F5260E" w:rsidRPr="00410093" w:rsidRDefault="003240D3">
      <w:pPr>
        <w:rPr>
          <w:rFonts w:ascii="Times New Roman" w:hAnsi="Times New Roman" w:cs="Times New Roman"/>
          <w:b/>
          <w:bCs/>
        </w:rPr>
      </w:pPr>
      <w:r w:rsidRPr="00410093">
        <w:rPr>
          <w:rFonts w:ascii="Times New Roman" w:hAnsi="Times New Roman" w:cs="Times New Roman"/>
          <w:b/>
          <w:bCs/>
        </w:rPr>
        <w:t>Gathering the Data</w:t>
      </w:r>
    </w:p>
    <w:p w14:paraId="5818DF34" w14:textId="2CB9D48E" w:rsidR="00F5260E" w:rsidRDefault="00A500C6">
      <w:pPr>
        <w:rPr>
          <w:rFonts w:ascii="Times New Roman" w:hAnsi="Times New Roman" w:cs="Times New Roman"/>
        </w:rPr>
      </w:pPr>
      <w:r w:rsidRPr="00410093">
        <w:rPr>
          <w:rFonts w:ascii="Times New Roman" w:hAnsi="Times New Roman" w:cs="Times New Roman"/>
        </w:rPr>
        <w:t xml:space="preserve">The following query was built inside out by calculating the number of days occupied in the short-term rental data, converting that value to a yearly percentage occupancy rate, and joining the rest of the relevant short-term rental details for short-term properties, resulting in 245 rows of unique short-term property data. Each zip code in the short-term rental data </w:t>
      </w:r>
      <w:r w:rsidR="003240D3" w:rsidRPr="00410093">
        <w:rPr>
          <w:rFonts w:ascii="Times New Roman" w:hAnsi="Times New Roman" w:cs="Times New Roman"/>
        </w:rPr>
        <w:t xml:space="preserve">does not include more than 1 of the 4 property types (1 bed apt., 2 bed apt., 1 bed house, 2 bed house). Watershed’s long-term data also did not include more than 1 of the 4 property types per </w:t>
      </w:r>
      <w:r w:rsidR="005269B2" w:rsidRPr="00410093">
        <w:rPr>
          <w:rFonts w:ascii="Times New Roman" w:hAnsi="Times New Roman" w:cs="Times New Roman"/>
        </w:rPr>
        <w:t>unique</w:t>
      </w:r>
      <w:r w:rsidR="003240D3" w:rsidRPr="00410093">
        <w:rPr>
          <w:rFonts w:ascii="Times New Roman" w:hAnsi="Times New Roman" w:cs="Times New Roman"/>
        </w:rPr>
        <w:t xml:space="preserve"> zip code. </w:t>
      </w:r>
      <w:r w:rsidR="005269B2" w:rsidRPr="00410093">
        <w:rPr>
          <w:rFonts w:ascii="Times New Roman" w:hAnsi="Times New Roman" w:cs="Times New Roman"/>
        </w:rPr>
        <w:t>Thus,</w:t>
      </w:r>
      <w:r w:rsidR="003240D3" w:rsidRPr="00410093">
        <w:rPr>
          <w:rFonts w:ascii="Times New Roman" w:hAnsi="Times New Roman" w:cs="Times New Roman"/>
        </w:rPr>
        <w:t xml:space="preserve"> the short-term and long-term rental data were joined on matching property types and zip codes. </w:t>
      </w:r>
    </w:p>
    <w:p w14:paraId="29213F5C" w14:textId="77777777" w:rsidR="002C4E64" w:rsidRPr="00410093" w:rsidRDefault="002C4E64">
      <w:pPr>
        <w:rPr>
          <w:rFonts w:ascii="Times New Roman" w:hAnsi="Times New Roman" w:cs="Times New Roman"/>
        </w:rPr>
      </w:pPr>
    </w:p>
    <w:p w14:paraId="5CDC0211" w14:textId="349B1C20" w:rsidR="00F5260E" w:rsidRPr="00410093" w:rsidRDefault="00A500C6" w:rsidP="00A500C6">
      <w:pPr>
        <w:rPr>
          <w:rFonts w:ascii="Cascadia Code" w:hAnsi="Cascadia Code" w:cs="Cascadia Code"/>
          <w:sz w:val="16"/>
          <w:szCs w:val="16"/>
        </w:rPr>
      </w:pPr>
      <w:r w:rsidRPr="00410093">
        <w:rPr>
          <w:rFonts w:ascii="Times New Roman" w:hAnsi="Times New Roman" w:cs="Times New Roman"/>
          <w:noProof/>
        </w:rPr>
        <w:drawing>
          <wp:inline distT="0" distB="0" distL="0" distR="0" wp14:anchorId="3D92D97B" wp14:editId="4CB9BEDF">
            <wp:extent cx="6858000" cy="2559050"/>
            <wp:effectExtent l="19050" t="19050" r="19050" b="12700"/>
            <wp:docPr id="755186506" name="Picture 1"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86506" name="Picture 1" descr="A picture containing text, screenshot, font, document&#10;&#10;Description automatically generated"/>
                    <pic:cNvPicPr/>
                  </pic:nvPicPr>
                  <pic:blipFill>
                    <a:blip r:embed="rId9"/>
                    <a:stretch>
                      <a:fillRect/>
                    </a:stretch>
                  </pic:blipFill>
                  <pic:spPr>
                    <a:xfrm>
                      <a:off x="0" y="0"/>
                      <a:ext cx="6858000" cy="2559050"/>
                    </a:xfrm>
                    <a:prstGeom prst="rect">
                      <a:avLst/>
                    </a:prstGeom>
                    <a:ln>
                      <a:solidFill>
                        <a:schemeClr val="tx1"/>
                      </a:solidFill>
                    </a:ln>
                  </pic:spPr>
                </pic:pic>
              </a:graphicData>
            </a:graphic>
          </wp:inline>
        </w:drawing>
      </w:r>
    </w:p>
    <w:p w14:paraId="3EDF97DD" w14:textId="09D61593" w:rsidR="007E4CCA" w:rsidRPr="00410093" w:rsidRDefault="007E4CCA" w:rsidP="007E4CCA">
      <w:pPr>
        <w:jc w:val="center"/>
        <w:rPr>
          <w:rFonts w:ascii="Times New Roman" w:hAnsi="Times New Roman" w:cs="Times New Roman"/>
          <w:i/>
          <w:iCs/>
          <w:sz w:val="20"/>
          <w:szCs w:val="20"/>
        </w:rPr>
      </w:pPr>
      <w:r w:rsidRPr="00410093">
        <w:rPr>
          <w:rFonts w:ascii="Times New Roman" w:hAnsi="Times New Roman" w:cs="Times New Roman"/>
          <w:i/>
          <w:iCs/>
          <w:sz w:val="20"/>
          <w:szCs w:val="20"/>
        </w:rPr>
        <w:t>Figure 3: Final SQL Query used to extract data.</w:t>
      </w:r>
    </w:p>
    <w:p w14:paraId="72AFA64F" w14:textId="77777777" w:rsidR="005269B2" w:rsidRPr="00410093" w:rsidRDefault="005269B2" w:rsidP="00A500C6">
      <w:pPr>
        <w:rPr>
          <w:rFonts w:ascii="Cascadia Code" w:hAnsi="Cascadia Code" w:cs="Cascadia Code"/>
          <w:sz w:val="16"/>
          <w:szCs w:val="16"/>
        </w:rPr>
      </w:pPr>
    </w:p>
    <w:p w14:paraId="2C0A0E13" w14:textId="77777777" w:rsidR="005269B2" w:rsidRPr="00410093" w:rsidRDefault="005269B2" w:rsidP="00A500C6">
      <w:pPr>
        <w:rPr>
          <w:rFonts w:ascii="Cascadia Code" w:hAnsi="Cascadia Code" w:cs="Cascadia Code"/>
          <w:sz w:val="16"/>
          <w:szCs w:val="16"/>
        </w:rPr>
      </w:pPr>
    </w:p>
    <w:p w14:paraId="4D73F014" w14:textId="77777777" w:rsidR="005269B2" w:rsidRPr="00410093" w:rsidRDefault="005269B2" w:rsidP="00A500C6">
      <w:pPr>
        <w:rPr>
          <w:rFonts w:ascii="Cascadia Code" w:hAnsi="Cascadia Code" w:cs="Cascadia Code"/>
          <w:sz w:val="16"/>
          <w:szCs w:val="16"/>
        </w:rPr>
      </w:pPr>
    </w:p>
    <w:p w14:paraId="40B37454" w14:textId="77777777" w:rsidR="005269B2" w:rsidRPr="00410093" w:rsidRDefault="005269B2" w:rsidP="00A500C6">
      <w:pPr>
        <w:rPr>
          <w:rFonts w:ascii="Cascadia Code" w:hAnsi="Cascadia Code" w:cs="Cascadia Code"/>
          <w:sz w:val="16"/>
          <w:szCs w:val="16"/>
        </w:rPr>
      </w:pPr>
    </w:p>
    <w:tbl>
      <w:tblPr>
        <w:tblStyle w:val="TableGrid"/>
        <w:tblW w:w="8815" w:type="dxa"/>
        <w:tblInd w:w="990" w:type="dxa"/>
        <w:tblLook w:val="04A0" w:firstRow="1" w:lastRow="0" w:firstColumn="1" w:lastColumn="0" w:noHBand="0" w:noVBand="1"/>
      </w:tblPr>
      <w:tblGrid>
        <w:gridCol w:w="1249"/>
        <w:gridCol w:w="1354"/>
        <w:gridCol w:w="1001"/>
        <w:gridCol w:w="1240"/>
        <w:gridCol w:w="966"/>
        <w:gridCol w:w="1060"/>
        <w:gridCol w:w="685"/>
        <w:gridCol w:w="1260"/>
      </w:tblGrid>
      <w:tr w:rsidR="005269B2" w:rsidRPr="00410093" w14:paraId="19DC4D9A" w14:textId="77777777" w:rsidTr="000B6803">
        <w:trPr>
          <w:trHeight w:val="323"/>
        </w:trPr>
        <w:tc>
          <w:tcPr>
            <w:tcW w:w="1207" w:type="dxa"/>
            <w:shd w:val="clear" w:color="auto" w:fill="D9D9D9" w:themeFill="background1" w:themeFillShade="D9"/>
            <w:vAlign w:val="center"/>
          </w:tcPr>
          <w:p w14:paraId="7E0F883D" w14:textId="776EC5E3" w:rsidR="005269B2" w:rsidRPr="00F10DC0" w:rsidRDefault="005269B2" w:rsidP="005269B2">
            <w:pPr>
              <w:rPr>
                <w:rFonts w:ascii="Cascadia Mono" w:hAnsi="Cascadia Mono" w:cs="Cascadia Mono"/>
                <w:sz w:val="16"/>
                <w:szCs w:val="16"/>
              </w:rPr>
            </w:pPr>
            <w:r w:rsidRPr="00F10DC0">
              <w:rPr>
                <w:rFonts w:ascii="Cascadia Mono" w:hAnsi="Cascadia Mono" w:cs="Cascadia Mono"/>
                <w:sz w:val="16"/>
                <w:szCs w:val="16"/>
              </w:rPr>
              <w:t>ws_ property_id</w:t>
            </w:r>
          </w:p>
        </w:tc>
        <w:tc>
          <w:tcPr>
            <w:tcW w:w="1357" w:type="dxa"/>
            <w:shd w:val="clear" w:color="auto" w:fill="D9D9D9" w:themeFill="background1" w:themeFillShade="D9"/>
            <w:vAlign w:val="center"/>
          </w:tcPr>
          <w:p w14:paraId="34EA8B17" w14:textId="40A173FA" w:rsidR="005269B2" w:rsidRPr="00F10DC0" w:rsidRDefault="005269B2" w:rsidP="005269B2">
            <w:pPr>
              <w:rPr>
                <w:rFonts w:ascii="Cascadia Mono" w:hAnsi="Cascadia Mono" w:cs="Cascadia Mono"/>
                <w:sz w:val="16"/>
                <w:szCs w:val="16"/>
              </w:rPr>
            </w:pPr>
            <w:r w:rsidRPr="00F10DC0">
              <w:rPr>
                <w:rFonts w:ascii="Cascadia Mono" w:hAnsi="Cascadia Mono" w:cs="Cascadia Mono"/>
                <w:sz w:val="16"/>
                <w:szCs w:val="16"/>
              </w:rPr>
              <w:t>current_ monthly_rent</w:t>
            </w:r>
          </w:p>
        </w:tc>
        <w:tc>
          <w:tcPr>
            <w:tcW w:w="1031" w:type="dxa"/>
            <w:shd w:val="clear" w:color="auto" w:fill="D9D9D9" w:themeFill="background1" w:themeFillShade="D9"/>
            <w:vAlign w:val="center"/>
          </w:tcPr>
          <w:p w14:paraId="24E6BFCF" w14:textId="5B4AA399" w:rsidR="005269B2" w:rsidRPr="00F10DC0" w:rsidRDefault="005269B2" w:rsidP="005269B2">
            <w:pPr>
              <w:rPr>
                <w:rFonts w:ascii="Cascadia Mono" w:hAnsi="Cascadia Mono" w:cs="Cascadia Mono"/>
                <w:sz w:val="16"/>
                <w:szCs w:val="16"/>
              </w:rPr>
            </w:pPr>
            <w:r w:rsidRPr="00F10DC0">
              <w:rPr>
                <w:rFonts w:ascii="Cascadia Mono" w:hAnsi="Cascadia Mono" w:cs="Cascadia Mono"/>
                <w:sz w:val="16"/>
                <w:szCs w:val="16"/>
              </w:rPr>
              <w:t>numDays</w:t>
            </w:r>
          </w:p>
        </w:tc>
        <w:tc>
          <w:tcPr>
            <w:tcW w:w="1260" w:type="dxa"/>
            <w:shd w:val="clear" w:color="auto" w:fill="D9D9D9" w:themeFill="background1" w:themeFillShade="D9"/>
            <w:vAlign w:val="center"/>
          </w:tcPr>
          <w:p w14:paraId="4359227E" w14:textId="362A4FE6" w:rsidR="005269B2" w:rsidRPr="00F10DC0" w:rsidRDefault="005269B2" w:rsidP="005269B2">
            <w:pPr>
              <w:rPr>
                <w:rFonts w:ascii="Cascadia Mono" w:hAnsi="Cascadia Mono" w:cs="Cascadia Mono"/>
                <w:sz w:val="16"/>
                <w:szCs w:val="16"/>
              </w:rPr>
            </w:pPr>
            <w:r w:rsidRPr="00F10DC0">
              <w:rPr>
                <w:rFonts w:ascii="Cascadia Mono" w:hAnsi="Cascadia Mono" w:cs="Cascadia Mono"/>
                <w:sz w:val="16"/>
                <w:szCs w:val="16"/>
              </w:rPr>
              <w:t>occupancy_ rate</w:t>
            </w:r>
          </w:p>
        </w:tc>
        <w:tc>
          <w:tcPr>
            <w:tcW w:w="907" w:type="dxa"/>
            <w:shd w:val="clear" w:color="auto" w:fill="D9D9D9" w:themeFill="background1" w:themeFillShade="D9"/>
            <w:vAlign w:val="center"/>
          </w:tcPr>
          <w:p w14:paraId="4D8D21C0" w14:textId="2C88BC0B" w:rsidR="005269B2" w:rsidRPr="00F10DC0" w:rsidRDefault="005269B2" w:rsidP="005269B2">
            <w:pPr>
              <w:rPr>
                <w:rFonts w:ascii="Cascadia Mono" w:hAnsi="Cascadia Mono" w:cs="Cascadia Mono"/>
                <w:sz w:val="16"/>
                <w:szCs w:val="16"/>
              </w:rPr>
            </w:pPr>
            <w:r w:rsidRPr="00F10DC0">
              <w:rPr>
                <w:rFonts w:ascii="Cascadia Mono" w:hAnsi="Cascadia Mono" w:cs="Cascadia Mono"/>
                <w:sz w:val="16"/>
                <w:szCs w:val="16"/>
              </w:rPr>
              <w:t>location</w:t>
            </w:r>
          </w:p>
        </w:tc>
        <w:tc>
          <w:tcPr>
            <w:tcW w:w="1047" w:type="dxa"/>
            <w:shd w:val="clear" w:color="auto" w:fill="D9D9D9" w:themeFill="background1" w:themeFillShade="D9"/>
            <w:vAlign w:val="center"/>
          </w:tcPr>
          <w:p w14:paraId="29793C3E" w14:textId="0BD49868" w:rsidR="005269B2" w:rsidRPr="00F10DC0" w:rsidRDefault="005269B2" w:rsidP="005269B2">
            <w:pPr>
              <w:rPr>
                <w:rFonts w:ascii="Cascadia Mono" w:hAnsi="Cascadia Mono" w:cs="Cascadia Mono"/>
                <w:sz w:val="16"/>
                <w:szCs w:val="16"/>
              </w:rPr>
            </w:pPr>
            <w:r w:rsidRPr="00F10DC0">
              <w:rPr>
                <w:rFonts w:ascii="Cascadia Mono" w:hAnsi="Cascadia Mono" w:cs="Cascadia Mono"/>
                <w:sz w:val="16"/>
                <w:szCs w:val="16"/>
              </w:rPr>
              <w:t>property_ type</w:t>
            </w:r>
          </w:p>
        </w:tc>
        <w:tc>
          <w:tcPr>
            <w:tcW w:w="637" w:type="dxa"/>
            <w:shd w:val="clear" w:color="auto" w:fill="D9D9D9" w:themeFill="background1" w:themeFillShade="D9"/>
            <w:vAlign w:val="center"/>
          </w:tcPr>
          <w:p w14:paraId="2B08D551" w14:textId="443EE4BE" w:rsidR="005269B2" w:rsidRPr="00F10DC0" w:rsidRDefault="005269B2" w:rsidP="005269B2">
            <w:pPr>
              <w:rPr>
                <w:rFonts w:ascii="Cascadia Mono" w:hAnsi="Cascadia Mono" w:cs="Cascadia Mono"/>
                <w:sz w:val="16"/>
                <w:szCs w:val="16"/>
              </w:rPr>
            </w:pPr>
            <w:r w:rsidRPr="00F10DC0">
              <w:rPr>
                <w:rFonts w:ascii="Cascadia Mono" w:hAnsi="Cascadia Mono" w:cs="Cascadia Mono"/>
                <w:sz w:val="16"/>
                <w:szCs w:val="16"/>
              </w:rPr>
              <w:t>state</w:t>
            </w:r>
          </w:p>
        </w:tc>
        <w:tc>
          <w:tcPr>
            <w:tcW w:w="1369" w:type="dxa"/>
            <w:shd w:val="clear" w:color="auto" w:fill="D9D9D9" w:themeFill="background1" w:themeFillShade="D9"/>
            <w:vAlign w:val="center"/>
          </w:tcPr>
          <w:p w14:paraId="0CEC4026" w14:textId="3BDA23DE" w:rsidR="005269B2" w:rsidRPr="00F10DC0" w:rsidRDefault="005269B2" w:rsidP="005269B2">
            <w:pPr>
              <w:rPr>
                <w:rFonts w:ascii="Cascadia Mono" w:hAnsi="Cascadia Mono" w:cs="Cascadia Mono"/>
                <w:sz w:val="16"/>
                <w:szCs w:val="16"/>
              </w:rPr>
            </w:pPr>
            <w:r w:rsidRPr="00F10DC0">
              <w:rPr>
                <w:rFonts w:ascii="Cascadia Mono" w:hAnsi="Cascadia Mono" w:cs="Cascadia Mono"/>
                <w:sz w:val="16"/>
                <w:szCs w:val="16"/>
              </w:rPr>
              <w:t>city</w:t>
            </w:r>
          </w:p>
        </w:tc>
      </w:tr>
      <w:tr w:rsidR="005269B2" w:rsidRPr="00410093" w14:paraId="45705BD2" w14:textId="77777777" w:rsidTr="007E4CCA">
        <w:tc>
          <w:tcPr>
            <w:tcW w:w="1207" w:type="dxa"/>
            <w:vAlign w:val="center"/>
          </w:tcPr>
          <w:p w14:paraId="3399D3D4" w14:textId="5A9D9391"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W1</w:t>
            </w:r>
          </w:p>
        </w:tc>
        <w:tc>
          <w:tcPr>
            <w:tcW w:w="1357" w:type="dxa"/>
            <w:vAlign w:val="center"/>
          </w:tcPr>
          <w:p w14:paraId="2F603F6A" w14:textId="6A331A3C"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1060</w:t>
            </w:r>
          </w:p>
        </w:tc>
        <w:tc>
          <w:tcPr>
            <w:tcW w:w="1031" w:type="dxa"/>
            <w:vAlign w:val="center"/>
          </w:tcPr>
          <w:p w14:paraId="1A6D7F5B" w14:textId="4582539A"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59</w:t>
            </w:r>
          </w:p>
        </w:tc>
        <w:tc>
          <w:tcPr>
            <w:tcW w:w="1260" w:type="dxa"/>
            <w:vAlign w:val="center"/>
          </w:tcPr>
          <w:p w14:paraId="75BB8239" w14:textId="33CE12B0"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0.1616</w:t>
            </w:r>
          </w:p>
        </w:tc>
        <w:tc>
          <w:tcPr>
            <w:tcW w:w="907" w:type="dxa"/>
            <w:vAlign w:val="center"/>
          </w:tcPr>
          <w:p w14:paraId="357FBF71" w14:textId="03AFB851"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L9531</w:t>
            </w:r>
          </w:p>
        </w:tc>
        <w:tc>
          <w:tcPr>
            <w:tcW w:w="1047" w:type="dxa"/>
            <w:vAlign w:val="center"/>
          </w:tcPr>
          <w:p w14:paraId="29286E07" w14:textId="073EAEC1"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R6</w:t>
            </w:r>
          </w:p>
        </w:tc>
        <w:tc>
          <w:tcPr>
            <w:tcW w:w="637" w:type="dxa"/>
            <w:vAlign w:val="center"/>
          </w:tcPr>
          <w:p w14:paraId="0F11D963" w14:textId="0AC2E5DA"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NC</w:t>
            </w:r>
          </w:p>
        </w:tc>
        <w:tc>
          <w:tcPr>
            <w:tcW w:w="1369" w:type="dxa"/>
            <w:vAlign w:val="center"/>
          </w:tcPr>
          <w:p w14:paraId="3ACD7272" w14:textId="71F89776"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Chapel Hill</w:t>
            </w:r>
          </w:p>
        </w:tc>
      </w:tr>
      <w:tr w:rsidR="005269B2" w:rsidRPr="00410093" w14:paraId="7E5EEFAD" w14:textId="77777777" w:rsidTr="007E4CCA">
        <w:tc>
          <w:tcPr>
            <w:tcW w:w="1207" w:type="dxa"/>
            <w:vAlign w:val="center"/>
          </w:tcPr>
          <w:p w14:paraId="027F4EA0" w14:textId="4A9906F3"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W10</w:t>
            </w:r>
          </w:p>
        </w:tc>
        <w:tc>
          <w:tcPr>
            <w:tcW w:w="1357" w:type="dxa"/>
            <w:vAlign w:val="center"/>
          </w:tcPr>
          <w:p w14:paraId="68F8009A" w14:textId="6BAC709E"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1200</w:t>
            </w:r>
          </w:p>
        </w:tc>
        <w:tc>
          <w:tcPr>
            <w:tcW w:w="1031" w:type="dxa"/>
            <w:vAlign w:val="center"/>
          </w:tcPr>
          <w:p w14:paraId="0D3C01CC" w14:textId="51693D28"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127</w:t>
            </w:r>
          </w:p>
        </w:tc>
        <w:tc>
          <w:tcPr>
            <w:tcW w:w="1260" w:type="dxa"/>
            <w:vAlign w:val="center"/>
          </w:tcPr>
          <w:p w14:paraId="521D9E2A" w14:textId="4D5C06C4"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0.3479</w:t>
            </w:r>
          </w:p>
        </w:tc>
        <w:tc>
          <w:tcPr>
            <w:tcW w:w="907" w:type="dxa"/>
            <w:vAlign w:val="center"/>
          </w:tcPr>
          <w:p w14:paraId="55498DCB" w14:textId="5E7C61DF"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L9533</w:t>
            </w:r>
          </w:p>
        </w:tc>
        <w:tc>
          <w:tcPr>
            <w:tcW w:w="1047" w:type="dxa"/>
            <w:vAlign w:val="center"/>
          </w:tcPr>
          <w:p w14:paraId="4B5E7F79" w14:textId="64C38B97"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R6</w:t>
            </w:r>
          </w:p>
        </w:tc>
        <w:tc>
          <w:tcPr>
            <w:tcW w:w="637" w:type="dxa"/>
            <w:vAlign w:val="center"/>
          </w:tcPr>
          <w:p w14:paraId="034D27A5" w14:textId="3CCF090E"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NC</w:t>
            </w:r>
          </w:p>
        </w:tc>
        <w:tc>
          <w:tcPr>
            <w:tcW w:w="1369" w:type="dxa"/>
            <w:vAlign w:val="center"/>
          </w:tcPr>
          <w:p w14:paraId="41F69186" w14:textId="6D9B38D2" w:rsidR="005269B2" w:rsidRPr="00410093" w:rsidRDefault="005269B2" w:rsidP="005269B2">
            <w:pPr>
              <w:rPr>
                <w:rFonts w:ascii="Cascadia Code" w:hAnsi="Cascadia Code" w:cs="Cascadia Code"/>
                <w:sz w:val="16"/>
                <w:szCs w:val="16"/>
              </w:rPr>
            </w:pPr>
            <w:r w:rsidRPr="00410093">
              <w:rPr>
                <w:rFonts w:ascii="Helvetica" w:hAnsi="Helvetica"/>
                <w:color w:val="000000"/>
                <w:sz w:val="18"/>
                <w:szCs w:val="18"/>
              </w:rPr>
              <w:t>Chapel Hill</w:t>
            </w:r>
          </w:p>
        </w:tc>
      </w:tr>
      <w:tr w:rsidR="00FE0A8E" w:rsidRPr="00410093" w14:paraId="0CD7D813" w14:textId="77777777" w:rsidTr="00FB509E">
        <w:tc>
          <w:tcPr>
            <w:tcW w:w="1207" w:type="dxa"/>
            <w:vAlign w:val="bottom"/>
          </w:tcPr>
          <w:p w14:paraId="1B1DCCF1" w14:textId="1CC99023" w:rsidR="00FE0A8E" w:rsidRPr="00410093" w:rsidRDefault="00FE0A8E" w:rsidP="00FE0A8E">
            <w:pPr>
              <w:jc w:val="center"/>
              <w:rPr>
                <w:rFonts w:ascii="Cascadia Code" w:hAnsi="Cascadia Code" w:cs="Cascadia Code"/>
                <w:b/>
                <w:bCs/>
                <w:sz w:val="18"/>
                <w:szCs w:val="18"/>
              </w:rPr>
            </w:pPr>
            <w:r w:rsidRPr="00410093">
              <w:rPr>
                <w:rFonts w:ascii="Calibri" w:hAnsi="Calibri" w:cs="Calibri"/>
                <w:b/>
                <w:bCs/>
                <w:color w:val="000000"/>
                <w:sz w:val="18"/>
                <w:szCs w:val="18"/>
              </w:rPr>
              <w:t>…</w:t>
            </w:r>
          </w:p>
        </w:tc>
        <w:tc>
          <w:tcPr>
            <w:tcW w:w="1357" w:type="dxa"/>
            <w:vAlign w:val="center"/>
          </w:tcPr>
          <w:p w14:paraId="614BEE39" w14:textId="360B67B1" w:rsidR="00FE0A8E" w:rsidRPr="00410093" w:rsidRDefault="00FE0A8E" w:rsidP="00FE0A8E">
            <w:pPr>
              <w:jc w:val="center"/>
              <w:rPr>
                <w:rFonts w:ascii="Cascadia Code" w:hAnsi="Cascadia Code" w:cs="Cascadia Code"/>
                <w:sz w:val="16"/>
                <w:szCs w:val="16"/>
              </w:rPr>
            </w:pPr>
            <w:r w:rsidRPr="00410093">
              <w:rPr>
                <w:rFonts w:ascii="Calibri" w:hAnsi="Calibri" w:cs="Calibri"/>
                <w:b/>
                <w:bCs/>
                <w:color w:val="000000"/>
                <w:sz w:val="18"/>
                <w:szCs w:val="18"/>
              </w:rPr>
              <w:t>…</w:t>
            </w:r>
          </w:p>
        </w:tc>
        <w:tc>
          <w:tcPr>
            <w:tcW w:w="1031" w:type="dxa"/>
            <w:vAlign w:val="center"/>
          </w:tcPr>
          <w:p w14:paraId="38FEF525" w14:textId="1C93D322" w:rsidR="00FE0A8E" w:rsidRPr="00410093" w:rsidRDefault="00FE0A8E" w:rsidP="00FE0A8E">
            <w:pPr>
              <w:jc w:val="center"/>
              <w:rPr>
                <w:rFonts w:ascii="Cascadia Code" w:hAnsi="Cascadia Code" w:cs="Cascadia Code"/>
                <w:sz w:val="16"/>
                <w:szCs w:val="16"/>
              </w:rPr>
            </w:pPr>
            <w:r w:rsidRPr="00410093">
              <w:rPr>
                <w:rFonts w:ascii="Calibri" w:hAnsi="Calibri" w:cs="Calibri"/>
                <w:b/>
                <w:bCs/>
                <w:color w:val="000000"/>
                <w:sz w:val="18"/>
                <w:szCs w:val="18"/>
              </w:rPr>
              <w:t>…</w:t>
            </w:r>
          </w:p>
        </w:tc>
        <w:tc>
          <w:tcPr>
            <w:tcW w:w="1260" w:type="dxa"/>
            <w:vAlign w:val="center"/>
          </w:tcPr>
          <w:p w14:paraId="280F709F" w14:textId="62E92AF4" w:rsidR="00FE0A8E" w:rsidRPr="00410093" w:rsidRDefault="00FE0A8E" w:rsidP="00FE0A8E">
            <w:pPr>
              <w:jc w:val="center"/>
              <w:rPr>
                <w:rFonts w:ascii="Cascadia Code" w:hAnsi="Cascadia Code" w:cs="Cascadia Code"/>
                <w:sz w:val="16"/>
                <w:szCs w:val="16"/>
              </w:rPr>
            </w:pPr>
            <w:r w:rsidRPr="00410093">
              <w:rPr>
                <w:rFonts w:ascii="Calibri" w:hAnsi="Calibri" w:cs="Calibri"/>
                <w:b/>
                <w:bCs/>
                <w:color w:val="000000"/>
                <w:sz w:val="18"/>
                <w:szCs w:val="18"/>
              </w:rPr>
              <w:t>…</w:t>
            </w:r>
          </w:p>
        </w:tc>
        <w:tc>
          <w:tcPr>
            <w:tcW w:w="907" w:type="dxa"/>
            <w:vAlign w:val="center"/>
          </w:tcPr>
          <w:p w14:paraId="736057FA" w14:textId="1D020371" w:rsidR="00FE0A8E" w:rsidRPr="00410093" w:rsidRDefault="00FE0A8E" w:rsidP="00FE0A8E">
            <w:pPr>
              <w:jc w:val="center"/>
              <w:rPr>
                <w:rFonts w:ascii="Cascadia Code" w:hAnsi="Cascadia Code" w:cs="Cascadia Code"/>
                <w:sz w:val="16"/>
                <w:szCs w:val="16"/>
              </w:rPr>
            </w:pPr>
            <w:r w:rsidRPr="00410093">
              <w:rPr>
                <w:rFonts w:ascii="Calibri" w:hAnsi="Calibri" w:cs="Calibri"/>
                <w:b/>
                <w:bCs/>
                <w:color w:val="000000"/>
                <w:sz w:val="18"/>
                <w:szCs w:val="18"/>
              </w:rPr>
              <w:t>…</w:t>
            </w:r>
          </w:p>
        </w:tc>
        <w:tc>
          <w:tcPr>
            <w:tcW w:w="1047" w:type="dxa"/>
            <w:vAlign w:val="center"/>
          </w:tcPr>
          <w:p w14:paraId="597D618A" w14:textId="3867BD16" w:rsidR="00FE0A8E" w:rsidRPr="00410093" w:rsidRDefault="00FE0A8E" w:rsidP="00FE0A8E">
            <w:pPr>
              <w:jc w:val="center"/>
              <w:rPr>
                <w:rFonts w:ascii="Cascadia Code" w:hAnsi="Cascadia Code" w:cs="Cascadia Code"/>
                <w:sz w:val="16"/>
                <w:szCs w:val="16"/>
              </w:rPr>
            </w:pPr>
            <w:r w:rsidRPr="00410093">
              <w:rPr>
                <w:rFonts w:ascii="Calibri" w:hAnsi="Calibri" w:cs="Calibri"/>
                <w:b/>
                <w:bCs/>
                <w:color w:val="000000"/>
                <w:sz w:val="18"/>
                <w:szCs w:val="18"/>
              </w:rPr>
              <w:t>…</w:t>
            </w:r>
          </w:p>
        </w:tc>
        <w:tc>
          <w:tcPr>
            <w:tcW w:w="637" w:type="dxa"/>
            <w:vAlign w:val="center"/>
          </w:tcPr>
          <w:p w14:paraId="3A13C6EC" w14:textId="2B5B813E" w:rsidR="00FE0A8E" w:rsidRPr="00410093" w:rsidRDefault="00FE0A8E" w:rsidP="00FE0A8E">
            <w:pPr>
              <w:jc w:val="center"/>
              <w:rPr>
                <w:rFonts w:ascii="Cascadia Code" w:hAnsi="Cascadia Code" w:cs="Cascadia Code"/>
                <w:sz w:val="16"/>
                <w:szCs w:val="16"/>
              </w:rPr>
            </w:pPr>
            <w:r w:rsidRPr="00410093">
              <w:rPr>
                <w:rFonts w:ascii="Calibri" w:hAnsi="Calibri" w:cs="Calibri"/>
                <w:b/>
                <w:bCs/>
                <w:color w:val="000000"/>
                <w:sz w:val="18"/>
                <w:szCs w:val="18"/>
              </w:rPr>
              <w:t>…</w:t>
            </w:r>
          </w:p>
        </w:tc>
        <w:tc>
          <w:tcPr>
            <w:tcW w:w="1369" w:type="dxa"/>
            <w:vAlign w:val="center"/>
          </w:tcPr>
          <w:p w14:paraId="23C312C5" w14:textId="67EC8D58" w:rsidR="00FE0A8E" w:rsidRPr="00410093" w:rsidRDefault="00FE0A8E" w:rsidP="00FE0A8E">
            <w:pPr>
              <w:jc w:val="center"/>
              <w:rPr>
                <w:rFonts w:ascii="Cascadia Code" w:hAnsi="Cascadia Code" w:cs="Cascadia Code"/>
                <w:sz w:val="16"/>
                <w:szCs w:val="16"/>
              </w:rPr>
            </w:pPr>
            <w:r w:rsidRPr="00410093">
              <w:rPr>
                <w:rFonts w:ascii="Calibri" w:hAnsi="Calibri" w:cs="Calibri"/>
                <w:b/>
                <w:bCs/>
                <w:color w:val="000000"/>
                <w:sz w:val="18"/>
                <w:szCs w:val="18"/>
              </w:rPr>
              <w:t>…</w:t>
            </w:r>
          </w:p>
        </w:tc>
      </w:tr>
      <w:tr w:rsidR="00FE0A8E" w:rsidRPr="00410093" w14:paraId="2A4FEBBE" w14:textId="77777777" w:rsidTr="007E4CCA">
        <w:tc>
          <w:tcPr>
            <w:tcW w:w="1207" w:type="dxa"/>
            <w:vAlign w:val="center"/>
          </w:tcPr>
          <w:p w14:paraId="4F88FAC9" w14:textId="7EF22EE0"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W101</w:t>
            </w:r>
          </w:p>
        </w:tc>
        <w:tc>
          <w:tcPr>
            <w:tcW w:w="1357" w:type="dxa"/>
            <w:vAlign w:val="center"/>
          </w:tcPr>
          <w:p w14:paraId="5509DF76" w14:textId="2BFD4987"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1400</w:t>
            </w:r>
          </w:p>
        </w:tc>
        <w:tc>
          <w:tcPr>
            <w:tcW w:w="1031" w:type="dxa"/>
            <w:vAlign w:val="center"/>
          </w:tcPr>
          <w:p w14:paraId="76CEA807" w14:textId="2EFA8727"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133</w:t>
            </w:r>
          </w:p>
        </w:tc>
        <w:tc>
          <w:tcPr>
            <w:tcW w:w="1260" w:type="dxa"/>
            <w:vAlign w:val="center"/>
          </w:tcPr>
          <w:p w14:paraId="7110FF8A" w14:textId="5C1FA51A"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0.3644</w:t>
            </w:r>
          </w:p>
        </w:tc>
        <w:tc>
          <w:tcPr>
            <w:tcW w:w="907" w:type="dxa"/>
            <w:vAlign w:val="center"/>
          </w:tcPr>
          <w:p w14:paraId="342839A9" w14:textId="450DD0A7"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L15257</w:t>
            </w:r>
          </w:p>
        </w:tc>
        <w:tc>
          <w:tcPr>
            <w:tcW w:w="1047" w:type="dxa"/>
            <w:vAlign w:val="center"/>
          </w:tcPr>
          <w:p w14:paraId="1AF0F718" w14:textId="3E0A7A53"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R2</w:t>
            </w:r>
          </w:p>
        </w:tc>
        <w:tc>
          <w:tcPr>
            <w:tcW w:w="637" w:type="dxa"/>
            <w:vAlign w:val="center"/>
          </w:tcPr>
          <w:p w14:paraId="29441894" w14:textId="33038BF5"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TX</w:t>
            </w:r>
          </w:p>
        </w:tc>
        <w:tc>
          <w:tcPr>
            <w:tcW w:w="1369" w:type="dxa"/>
            <w:vAlign w:val="center"/>
          </w:tcPr>
          <w:p w14:paraId="346FBCD5" w14:textId="2A1D0C9F"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Austin</w:t>
            </w:r>
          </w:p>
        </w:tc>
      </w:tr>
      <w:tr w:rsidR="00FE0A8E" w:rsidRPr="00410093" w14:paraId="608CFB52" w14:textId="77777777" w:rsidTr="007E4CCA">
        <w:tc>
          <w:tcPr>
            <w:tcW w:w="1207" w:type="dxa"/>
            <w:vAlign w:val="center"/>
          </w:tcPr>
          <w:p w14:paraId="5713AFEA" w14:textId="2213F8B4"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W102</w:t>
            </w:r>
          </w:p>
        </w:tc>
        <w:tc>
          <w:tcPr>
            <w:tcW w:w="1357" w:type="dxa"/>
            <w:vAlign w:val="center"/>
          </w:tcPr>
          <w:p w14:paraId="29508052" w14:textId="7338DF2A"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2000</w:t>
            </w:r>
          </w:p>
        </w:tc>
        <w:tc>
          <w:tcPr>
            <w:tcW w:w="1031" w:type="dxa"/>
            <w:vAlign w:val="center"/>
          </w:tcPr>
          <w:p w14:paraId="10579B3D" w14:textId="67D653EE"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150</w:t>
            </w:r>
          </w:p>
        </w:tc>
        <w:tc>
          <w:tcPr>
            <w:tcW w:w="1260" w:type="dxa"/>
            <w:vAlign w:val="center"/>
          </w:tcPr>
          <w:p w14:paraId="0BEB37A6" w14:textId="245EAD1A"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0.4110</w:t>
            </w:r>
          </w:p>
        </w:tc>
        <w:tc>
          <w:tcPr>
            <w:tcW w:w="907" w:type="dxa"/>
            <w:vAlign w:val="center"/>
          </w:tcPr>
          <w:p w14:paraId="59C28F87" w14:textId="5F23778A"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L15257</w:t>
            </w:r>
          </w:p>
        </w:tc>
        <w:tc>
          <w:tcPr>
            <w:tcW w:w="1047" w:type="dxa"/>
            <w:vAlign w:val="center"/>
          </w:tcPr>
          <w:p w14:paraId="3947F897" w14:textId="6EADD2B4"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R6</w:t>
            </w:r>
          </w:p>
        </w:tc>
        <w:tc>
          <w:tcPr>
            <w:tcW w:w="637" w:type="dxa"/>
            <w:vAlign w:val="center"/>
          </w:tcPr>
          <w:p w14:paraId="19187FF7" w14:textId="1D7940F9"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TX</w:t>
            </w:r>
          </w:p>
        </w:tc>
        <w:tc>
          <w:tcPr>
            <w:tcW w:w="1369" w:type="dxa"/>
            <w:vAlign w:val="center"/>
          </w:tcPr>
          <w:p w14:paraId="5BF1E8AA" w14:textId="4FBE546B" w:rsidR="00FE0A8E" w:rsidRPr="00410093" w:rsidRDefault="00FE0A8E" w:rsidP="00FE0A8E">
            <w:pPr>
              <w:rPr>
                <w:rFonts w:ascii="Cascadia Code" w:hAnsi="Cascadia Code" w:cs="Cascadia Code"/>
                <w:sz w:val="16"/>
                <w:szCs w:val="16"/>
              </w:rPr>
            </w:pPr>
            <w:r w:rsidRPr="00410093">
              <w:rPr>
                <w:rFonts w:ascii="Helvetica" w:hAnsi="Helvetica"/>
                <w:color w:val="000000"/>
                <w:sz w:val="18"/>
                <w:szCs w:val="18"/>
              </w:rPr>
              <w:t>Austin</w:t>
            </w:r>
          </w:p>
        </w:tc>
      </w:tr>
    </w:tbl>
    <w:p w14:paraId="746F33E1" w14:textId="77777777" w:rsidR="005269B2" w:rsidRPr="00410093" w:rsidRDefault="005269B2" w:rsidP="00A500C6">
      <w:pPr>
        <w:rPr>
          <w:rFonts w:ascii="Cascadia Code" w:hAnsi="Cascadia Code" w:cs="Cascadia Code"/>
          <w:sz w:val="2"/>
          <w:szCs w:val="2"/>
        </w:rPr>
      </w:pPr>
    </w:p>
    <w:tbl>
      <w:tblPr>
        <w:tblStyle w:val="TableGrid"/>
        <w:tblW w:w="0" w:type="auto"/>
        <w:tblInd w:w="1032" w:type="dxa"/>
        <w:tblLook w:val="04A0" w:firstRow="1" w:lastRow="0" w:firstColumn="1" w:lastColumn="0" w:noHBand="0" w:noVBand="1"/>
      </w:tblPr>
      <w:tblGrid>
        <w:gridCol w:w="887"/>
        <w:gridCol w:w="1627"/>
        <w:gridCol w:w="1248"/>
        <w:gridCol w:w="1248"/>
        <w:gridCol w:w="1117"/>
        <w:gridCol w:w="1087"/>
        <w:gridCol w:w="873"/>
        <w:gridCol w:w="807"/>
      </w:tblGrid>
      <w:tr w:rsidR="005269B2" w:rsidRPr="00410093" w14:paraId="32EC9415" w14:textId="77777777" w:rsidTr="000B6803">
        <w:trPr>
          <w:trHeight w:val="161"/>
        </w:trPr>
        <w:tc>
          <w:tcPr>
            <w:tcW w:w="887" w:type="dxa"/>
            <w:shd w:val="clear" w:color="auto" w:fill="D9D9D9" w:themeFill="background1" w:themeFillShade="D9"/>
            <w:vAlign w:val="center"/>
          </w:tcPr>
          <w:p w14:paraId="7BBCF835" w14:textId="77777777" w:rsidR="005269B2" w:rsidRPr="00F10DC0" w:rsidRDefault="005269B2" w:rsidP="00B86EE2">
            <w:pPr>
              <w:rPr>
                <w:rFonts w:ascii="Cascadia Mono" w:hAnsi="Cascadia Mono" w:cs="Cascadia Mono"/>
                <w:sz w:val="16"/>
                <w:szCs w:val="16"/>
              </w:rPr>
            </w:pPr>
            <w:r w:rsidRPr="00F10DC0">
              <w:rPr>
                <w:rFonts w:ascii="Cascadia Mono" w:hAnsi="Cascadia Mono" w:cs="Cascadia Mono"/>
                <w:sz w:val="16"/>
                <w:szCs w:val="16"/>
              </w:rPr>
              <w:t>zipcode</w:t>
            </w:r>
          </w:p>
        </w:tc>
        <w:tc>
          <w:tcPr>
            <w:tcW w:w="1627" w:type="dxa"/>
            <w:shd w:val="clear" w:color="auto" w:fill="D9D9D9" w:themeFill="background1" w:themeFillShade="D9"/>
            <w:vAlign w:val="center"/>
          </w:tcPr>
          <w:p w14:paraId="1B8B04AA" w14:textId="6865B3F4" w:rsidR="005269B2" w:rsidRPr="00F10DC0" w:rsidRDefault="005269B2" w:rsidP="00B86EE2">
            <w:pPr>
              <w:rPr>
                <w:rFonts w:ascii="Cascadia Mono" w:hAnsi="Cascadia Mono" w:cs="Cascadia Mono"/>
                <w:sz w:val="16"/>
                <w:szCs w:val="16"/>
              </w:rPr>
            </w:pPr>
            <w:r w:rsidRPr="00F10DC0">
              <w:rPr>
                <w:rFonts w:ascii="Cascadia Mono" w:hAnsi="Cascadia Mono" w:cs="Cascadia Mono"/>
                <w:sz w:val="16"/>
                <w:szCs w:val="16"/>
              </w:rPr>
              <w:t>sample_nightly_ rent_price</w:t>
            </w:r>
          </w:p>
        </w:tc>
        <w:tc>
          <w:tcPr>
            <w:tcW w:w="1169" w:type="dxa"/>
            <w:shd w:val="clear" w:color="auto" w:fill="D9D9D9" w:themeFill="background1" w:themeFillShade="D9"/>
            <w:vAlign w:val="center"/>
          </w:tcPr>
          <w:p w14:paraId="3F3EA787" w14:textId="6292AD81" w:rsidR="005269B2" w:rsidRPr="00F10DC0" w:rsidRDefault="005269B2" w:rsidP="00B86EE2">
            <w:pPr>
              <w:rPr>
                <w:rFonts w:ascii="Cascadia Mono" w:hAnsi="Cascadia Mono" w:cs="Cascadia Mono"/>
                <w:sz w:val="16"/>
                <w:szCs w:val="16"/>
              </w:rPr>
            </w:pPr>
            <w:r w:rsidRPr="00F10DC0">
              <w:rPr>
                <w:rFonts w:ascii="Cascadia Mono" w:hAnsi="Cascadia Mono" w:cs="Cascadia Mono"/>
                <w:sz w:val="16"/>
                <w:szCs w:val="16"/>
              </w:rPr>
              <w:t>percentile_ 10th_price</w:t>
            </w:r>
          </w:p>
        </w:tc>
        <w:tc>
          <w:tcPr>
            <w:tcW w:w="1168" w:type="dxa"/>
            <w:shd w:val="clear" w:color="auto" w:fill="D9D9D9" w:themeFill="background1" w:themeFillShade="D9"/>
            <w:vAlign w:val="center"/>
          </w:tcPr>
          <w:p w14:paraId="61ADC19B" w14:textId="23C25CAE" w:rsidR="005269B2" w:rsidRPr="00F10DC0" w:rsidRDefault="005269B2" w:rsidP="00B86EE2">
            <w:pPr>
              <w:rPr>
                <w:rFonts w:ascii="Cascadia Mono" w:hAnsi="Cascadia Mono" w:cs="Cascadia Mono"/>
                <w:sz w:val="16"/>
                <w:szCs w:val="16"/>
              </w:rPr>
            </w:pPr>
            <w:r w:rsidRPr="00F10DC0">
              <w:rPr>
                <w:rFonts w:ascii="Cascadia Mono" w:hAnsi="Cascadia Mono" w:cs="Cascadia Mono"/>
                <w:sz w:val="16"/>
                <w:szCs w:val="16"/>
              </w:rPr>
              <w:t>percentile_ 90th_price</w:t>
            </w:r>
          </w:p>
        </w:tc>
        <w:tc>
          <w:tcPr>
            <w:tcW w:w="1117" w:type="dxa"/>
            <w:shd w:val="clear" w:color="auto" w:fill="D9D9D9" w:themeFill="background1" w:themeFillShade="D9"/>
            <w:vAlign w:val="center"/>
          </w:tcPr>
          <w:p w14:paraId="61E92FCC" w14:textId="77777777" w:rsidR="005269B2" w:rsidRPr="00F10DC0" w:rsidRDefault="005269B2" w:rsidP="00B86EE2">
            <w:pPr>
              <w:rPr>
                <w:rFonts w:ascii="Cascadia Mono" w:hAnsi="Cascadia Mono" w:cs="Cascadia Mono"/>
                <w:sz w:val="16"/>
                <w:szCs w:val="16"/>
              </w:rPr>
            </w:pPr>
            <w:r w:rsidRPr="00F10DC0">
              <w:rPr>
                <w:rFonts w:ascii="Cascadia Mono" w:hAnsi="Cascadia Mono" w:cs="Cascadia Mono"/>
                <w:sz w:val="16"/>
                <w:szCs w:val="16"/>
              </w:rPr>
              <w:t>apt_house</w:t>
            </w:r>
          </w:p>
        </w:tc>
        <w:tc>
          <w:tcPr>
            <w:tcW w:w="1087" w:type="dxa"/>
            <w:shd w:val="clear" w:color="auto" w:fill="D9D9D9" w:themeFill="background1" w:themeFillShade="D9"/>
            <w:vAlign w:val="center"/>
          </w:tcPr>
          <w:p w14:paraId="49DB92CE" w14:textId="726A3648" w:rsidR="005269B2" w:rsidRPr="00F10DC0" w:rsidRDefault="005269B2" w:rsidP="00B86EE2">
            <w:pPr>
              <w:rPr>
                <w:rFonts w:ascii="Cascadia Mono" w:hAnsi="Cascadia Mono" w:cs="Cascadia Mono"/>
                <w:sz w:val="16"/>
                <w:szCs w:val="16"/>
              </w:rPr>
            </w:pPr>
            <w:r w:rsidRPr="00F10DC0">
              <w:rPr>
                <w:rFonts w:ascii="Cascadia Mono" w:hAnsi="Cascadia Mono" w:cs="Cascadia Mono"/>
                <w:sz w:val="16"/>
                <w:szCs w:val="16"/>
              </w:rPr>
              <w:t>num_ bedrooms</w:t>
            </w:r>
          </w:p>
        </w:tc>
        <w:tc>
          <w:tcPr>
            <w:tcW w:w="860" w:type="dxa"/>
            <w:shd w:val="clear" w:color="auto" w:fill="D9D9D9" w:themeFill="background1" w:themeFillShade="D9"/>
            <w:vAlign w:val="center"/>
          </w:tcPr>
          <w:p w14:paraId="079BBFAE" w14:textId="77777777" w:rsidR="005269B2" w:rsidRPr="00F10DC0" w:rsidRDefault="005269B2" w:rsidP="00B86EE2">
            <w:pPr>
              <w:rPr>
                <w:rFonts w:ascii="Cascadia Mono" w:hAnsi="Cascadia Mono" w:cs="Cascadia Mono"/>
                <w:sz w:val="16"/>
                <w:szCs w:val="16"/>
              </w:rPr>
            </w:pPr>
            <w:r w:rsidRPr="00F10DC0">
              <w:rPr>
                <w:rFonts w:ascii="Cascadia Mono" w:hAnsi="Cascadia Mono" w:cs="Cascadia Mono"/>
                <w:sz w:val="16"/>
                <w:szCs w:val="16"/>
              </w:rPr>
              <w:t>kitchen</w:t>
            </w:r>
          </w:p>
        </w:tc>
        <w:tc>
          <w:tcPr>
            <w:tcW w:w="807" w:type="dxa"/>
            <w:shd w:val="clear" w:color="auto" w:fill="D9D9D9" w:themeFill="background1" w:themeFillShade="D9"/>
            <w:vAlign w:val="center"/>
          </w:tcPr>
          <w:p w14:paraId="7D153DB0" w14:textId="77777777" w:rsidR="005269B2" w:rsidRPr="00F10DC0" w:rsidRDefault="005269B2" w:rsidP="00B86EE2">
            <w:pPr>
              <w:rPr>
                <w:rFonts w:ascii="Cascadia Mono" w:hAnsi="Cascadia Mono" w:cs="Cascadia Mono"/>
                <w:sz w:val="16"/>
                <w:szCs w:val="16"/>
              </w:rPr>
            </w:pPr>
            <w:r w:rsidRPr="00F10DC0">
              <w:rPr>
                <w:rFonts w:ascii="Cascadia Mono" w:hAnsi="Cascadia Mono" w:cs="Cascadia Mono"/>
                <w:sz w:val="16"/>
                <w:szCs w:val="16"/>
              </w:rPr>
              <w:t>shared</w:t>
            </w:r>
          </w:p>
        </w:tc>
      </w:tr>
      <w:tr w:rsidR="005269B2" w:rsidRPr="00410093" w14:paraId="4C4E2E76" w14:textId="77777777" w:rsidTr="007E4CCA">
        <w:tc>
          <w:tcPr>
            <w:tcW w:w="887" w:type="dxa"/>
            <w:vAlign w:val="center"/>
          </w:tcPr>
          <w:p w14:paraId="38F9A8F2"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27514</w:t>
            </w:r>
          </w:p>
        </w:tc>
        <w:tc>
          <w:tcPr>
            <w:tcW w:w="1627" w:type="dxa"/>
            <w:vAlign w:val="center"/>
          </w:tcPr>
          <w:p w14:paraId="5CD3120C"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148</w:t>
            </w:r>
          </w:p>
        </w:tc>
        <w:tc>
          <w:tcPr>
            <w:tcW w:w="1169" w:type="dxa"/>
            <w:vAlign w:val="center"/>
          </w:tcPr>
          <w:p w14:paraId="286830CD"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114</w:t>
            </w:r>
          </w:p>
        </w:tc>
        <w:tc>
          <w:tcPr>
            <w:tcW w:w="1168" w:type="dxa"/>
            <w:vAlign w:val="center"/>
          </w:tcPr>
          <w:p w14:paraId="4024E52A"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153</w:t>
            </w:r>
          </w:p>
        </w:tc>
        <w:tc>
          <w:tcPr>
            <w:tcW w:w="1117" w:type="dxa"/>
            <w:vAlign w:val="center"/>
          </w:tcPr>
          <w:p w14:paraId="62785B0A"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apartment</w:t>
            </w:r>
          </w:p>
        </w:tc>
        <w:tc>
          <w:tcPr>
            <w:tcW w:w="1087" w:type="dxa"/>
            <w:vAlign w:val="center"/>
          </w:tcPr>
          <w:p w14:paraId="3E498638"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2</w:t>
            </w:r>
          </w:p>
        </w:tc>
        <w:tc>
          <w:tcPr>
            <w:tcW w:w="860" w:type="dxa"/>
            <w:vAlign w:val="center"/>
          </w:tcPr>
          <w:p w14:paraId="25AEE84A"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Y</w:t>
            </w:r>
          </w:p>
        </w:tc>
        <w:tc>
          <w:tcPr>
            <w:tcW w:w="807" w:type="dxa"/>
            <w:vAlign w:val="center"/>
          </w:tcPr>
          <w:p w14:paraId="42121F79"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N</w:t>
            </w:r>
          </w:p>
        </w:tc>
      </w:tr>
      <w:tr w:rsidR="005269B2" w:rsidRPr="00410093" w14:paraId="5E4FD913" w14:textId="77777777" w:rsidTr="007E4CCA">
        <w:tc>
          <w:tcPr>
            <w:tcW w:w="887" w:type="dxa"/>
            <w:vAlign w:val="center"/>
          </w:tcPr>
          <w:p w14:paraId="6E5945F9"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27517</w:t>
            </w:r>
          </w:p>
        </w:tc>
        <w:tc>
          <w:tcPr>
            <w:tcW w:w="1627" w:type="dxa"/>
            <w:vAlign w:val="center"/>
          </w:tcPr>
          <w:p w14:paraId="71DE4AE1" w14:textId="77777777" w:rsidR="005269B2" w:rsidRPr="00410093" w:rsidRDefault="005269B2" w:rsidP="005269B2">
            <w:pPr>
              <w:ind w:right="535"/>
              <w:rPr>
                <w:rFonts w:ascii="Cascadia Code" w:hAnsi="Cascadia Code" w:cs="Cascadia Code"/>
                <w:sz w:val="16"/>
                <w:szCs w:val="16"/>
              </w:rPr>
            </w:pPr>
            <w:r w:rsidRPr="00410093">
              <w:rPr>
                <w:rFonts w:ascii="Helvetica" w:hAnsi="Helvetica"/>
                <w:color w:val="000000"/>
                <w:sz w:val="18"/>
                <w:szCs w:val="18"/>
              </w:rPr>
              <w:t>133</w:t>
            </w:r>
          </w:p>
        </w:tc>
        <w:tc>
          <w:tcPr>
            <w:tcW w:w="1169" w:type="dxa"/>
            <w:vAlign w:val="center"/>
          </w:tcPr>
          <w:p w14:paraId="77EB8974"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111</w:t>
            </w:r>
          </w:p>
        </w:tc>
        <w:tc>
          <w:tcPr>
            <w:tcW w:w="1168" w:type="dxa"/>
            <w:vAlign w:val="center"/>
          </w:tcPr>
          <w:p w14:paraId="220520C0"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149</w:t>
            </w:r>
          </w:p>
        </w:tc>
        <w:tc>
          <w:tcPr>
            <w:tcW w:w="1117" w:type="dxa"/>
            <w:vAlign w:val="center"/>
          </w:tcPr>
          <w:p w14:paraId="39C63819"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apartment</w:t>
            </w:r>
          </w:p>
        </w:tc>
        <w:tc>
          <w:tcPr>
            <w:tcW w:w="1087" w:type="dxa"/>
            <w:vAlign w:val="center"/>
          </w:tcPr>
          <w:p w14:paraId="0462E277"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2</w:t>
            </w:r>
          </w:p>
        </w:tc>
        <w:tc>
          <w:tcPr>
            <w:tcW w:w="860" w:type="dxa"/>
            <w:vAlign w:val="center"/>
          </w:tcPr>
          <w:p w14:paraId="6096985D"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Y</w:t>
            </w:r>
          </w:p>
        </w:tc>
        <w:tc>
          <w:tcPr>
            <w:tcW w:w="807" w:type="dxa"/>
            <w:vAlign w:val="center"/>
          </w:tcPr>
          <w:p w14:paraId="0C601D47"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N</w:t>
            </w:r>
          </w:p>
        </w:tc>
      </w:tr>
      <w:tr w:rsidR="005269B2" w:rsidRPr="00410093" w14:paraId="7032F818" w14:textId="77777777" w:rsidTr="007E4CCA">
        <w:tc>
          <w:tcPr>
            <w:tcW w:w="887" w:type="dxa"/>
            <w:vAlign w:val="center"/>
          </w:tcPr>
          <w:p w14:paraId="38479528" w14:textId="404C5964" w:rsidR="005269B2" w:rsidRPr="00410093" w:rsidRDefault="00FE0A8E" w:rsidP="00A31745">
            <w:pPr>
              <w:jc w:val="center"/>
              <w:rPr>
                <w:rFonts w:ascii="Cascadia Code" w:hAnsi="Cascadia Code" w:cs="Cascadia Code"/>
                <w:sz w:val="16"/>
                <w:szCs w:val="16"/>
              </w:rPr>
            </w:pPr>
            <w:r w:rsidRPr="00410093">
              <w:rPr>
                <w:rFonts w:ascii="Calibri" w:hAnsi="Calibri" w:cs="Calibri"/>
                <w:b/>
                <w:bCs/>
                <w:color w:val="000000"/>
                <w:sz w:val="18"/>
                <w:szCs w:val="18"/>
              </w:rPr>
              <w:t>…</w:t>
            </w:r>
          </w:p>
        </w:tc>
        <w:tc>
          <w:tcPr>
            <w:tcW w:w="1627" w:type="dxa"/>
            <w:vAlign w:val="center"/>
          </w:tcPr>
          <w:p w14:paraId="2D31DE8C" w14:textId="28A5DDA4" w:rsidR="005269B2" w:rsidRPr="00410093" w:rsidRDefault="00A31745" w:rsidP="00A31745">
            <w:pPr>
              <w:jc w:val="center"/>
              <w:rPr>
                <w:rFonts w:ascii="Cascadia Code" w:hAnsi="Cascadia Code" w:cs="Cascadia Code"/>
                <w:sz w:val="16"/>
                <w:szCs w:val="16"/>
              </w:rPr>
            </w:pPr>
            <w:r w:rsidRPr="00410093">
              <w:rPr>
                <w:rFonts w:ascii="Calibri" w:hAnsi="Calibri" w:cs="Calibri"/>
                <w:b/>
                <w:bCs/>
                <w:color w:val="000000"/>
                <w:sz w:val="18"/>
                <w:szCs w:val="18"/>
              </w:rPr>
              <w:t>…</w:t>
            </w:r>
          </w:p>
        </w:tc>
        <w:tc>
          <w:tcPr>
            <w:tcW w:w="1169" w:type="dxa"/>
            <w:vAlign w:val="center"/>
          </w:tcPr>
          <w:p w14:paraId="6D33717B" w14:textId="75A27553" w:rsidR="005269B2" w:rsidRPr="00410093" w:rsidRDefault="00A31745" w:rsidP="00A31745">
            <w:pPr>
              <w:jc w:val="center"/>
              <w:rPr>
                <w:rFonts w:ascii="Cascadia Code" w:hAnsi="Cascadia Code" w:cs="Cascadia Code"/>
                <w:sz w:val="16"/>
                <w:szCs w:val="16"/>
              </w:rPr>
            </w:pPr>
            <w:r w:rsidRPr="00410093">
              <w:rPr>
                <w:rFonts w:ascii="Calibri" w:hAnsi="Calibri" w:cs="Calibri"/>
                <w:b/>
                <w:bCs/>
                <w:color w:val="000000"/>
                <w:sz w:val="18"/>
                <w:szCs w:val="18"/>
              </w:rPr>
              <w:t>…</w:t>
            </w:r>
          </w:p>
        </w:tc>
        <w:tc>
          <w:tcPr>
            <w:tcW w:w="1168" w:type="dxa"/>
            <w:vAlign w:val="center"/>
          </w:tcPr>
          <w:p w14:paraId="6995669B" w14:textId="194CAA16" w:rsidR="005269B2" w:rsidRPr="00410093" w:rsidRDefault="00A31745" w:rsidP="00B86EE2">
            <w:pPr>
              <w:rPr>
                <w:rFonts w:ascii="Cascadia Code" w:hAnsi="Cascadia Code" w:cs="Cascadia Code"/>
                <w:sz w:val="16"/>
                <w:szCs w:val="16"/>
              </w:rPr>
            </w:pPr>
            <w:r w:rsidRPr="00410093">
              <w:rPr>
                <w:rFonts w:ascii="Calibri" w:hAnsi="Calibri" w:cs="Calibri"/>
                <w:b/>
                <w:bCs/>
                <w:color w:val="000000"/>
                <w:sz w:val="18"/>
                <w:szCs w:val="18"/>
              </w:rPr>
              <w:t>…</w:t>
            </w:r>
          </w:p>
        </w:tc>
        <w:tc>
          <w:tcPr>
            <w:tcW w:w="1117" w:type="dxa"/>
            <w:vAlign w:val="center"/>
          </w:tcPr>
          <w:p w14:paraId="238E29F1" w14:textId="11ED5615" w:rsidR="005269B2" w:rsidRPr="00410093" w:rsidRDefault="00F1401A" w:rsidP="00F1401A">
            <w:pPr>
              <w:jc w:val="center"/>
              <w:rPr>
                <w:rFonts w:ascii="Cascadia Code" w:hAnsi="Cascadia Code" w:cs="Cascadia Code"/>
                <w:sz w:val="16"/>
                <w:szCs w:val="16"/>
              </w:rPr>
            </w:pPr>
            <w:r w:rsidRPr="00410093">
              <w:rPr>
                <w:rFonts w:ascii="Calibri" w:hAnsi="Calibri" w:cs="Calibri"/>
                <w:b/>
                <w:bCs/>
                <w:color w:val="000000"/>
                <w:sz w:val="18"/>
                <w:szCs w:val="18"/>
              </w:rPr>
              <w:t>…</w:t>
            </w:r>
          </w:p>
        </w:tc>
        <w:tc>
          <w:tcPr>
            <w:tcW w:w="1087" w:type="dxa"/>
            <w:vAlign w:val="center"/>
          </w:tcPr>
          <w:p w14:paraId="1FEBD007" w14:textId="5FF80A15" w:rsidR="005269B2" w:rsidRPr="00410093" w:rsidRDefault="00F1401A" w:rsidP="00F1401A">
            <w:pPr>
              <w:jc w:val="center"/>
              <w:rPr>
                <w:rFonts w:ascii="Cascadia Code" w:hAnsi="Cascadia Code" w:cs="Cascadia Code"/>
                <w:sz w:val="16"/>
                <w:szCs w:val="16"/>
              </w:rPr>
            </w:pPr>
            <w:r w:rsidRPr="00410093">
              <w:rPr>
                <w:rFonts w:ascii="Calibri" w:hAnsi="Calibri" w:cs="Calibri"/>
                <w:b/>
                <w:bCs/>
                <w:color w:val="000000"/>
                <w:sz w:val="18"/>
                <w:szCs w:val="18"/>
              </w:rPr>
              <w:t>…</w:t>
            </w:r>
          </w:p>
        </w:tc>
        <w:tc>
          <w:tcPr>
            <w:tcW w:w="860" w:type="dxa"/>
            <w:vAlign w:val="center"/>
          </w:tcPr>
          <w:p w14:paraId="34986F57" w14:textId="42729939" w:rsidR="005269B2" w:rsidRPr="00410093" w:rsidRDefault="00F1401A" w:rsidP="00F1401A">
            <w:pPr>
              <w:jc w:val="center"/>
              <w:rPr>
                <w:rFonts w:ascii="Cascadia Code" w:hAnsi="Cascadia Code" w:cs="Cascadia Code"/>
                <w:sz w:val="16"/>
                <w:szCs w:val="16"/>
              </w:rPr>
            </w:pPr>
            <w:r w:rsidRPr="00410093">
              <w:rPr>
                <w:rFonts w:ascii="Calibri" w:hAnsi="Calibri" w:cs="Calibri"/>
                <w:b/>
                <w:bCs/>
                <w:color w:val="000000"/>
                <w:sz w:val="18"/>
                <w:szCs w:val="18"/>
              </w:rPr>
              <w:t>…</w:t>
            </w:r>
          </w:p>
        </w:tc>
        <w:tc>
          <w:tcPr>
            <w:tcW w:w="807" w:type="dxa"/>
            <w:vAlign w:val="center"/>
          </w:tcPr>
          <w:p w14:paraId="56F42B6E" w14:textId="576B21E5" w:rsidR="005269B2" w:rsidRPr="00410093" w:rsidRDefault="00F1401A" w:rsidP="00F1401A">
            <w:pPr>
              <w:jc w:val="center"/>
              <w:rPr>
                <w:rFonts w:ascii="Cascadia Code" w:hAnsi="Cascadia Code" w:cs="Cascadia Code"/>
                <w:sz w:val="16"/>
                <w:szCs w:val="16"/>
              </w:rPr>
            </w:pPr>
            <w:r w:rsidRPr="00410093">
              <w:rPr>
                <w:rFonts w:ascii="Calibri" w:hAnsi="Calibri" w:cs="Calibri"/>
                <w:b/>
                <w:bCs/>
                <w:color w:val="000000"/>
                <w:sz w:val="18"/>
                <w:szCs w:val="18"/>
              </w:rPr>
              <w:t>…</w:t>
            </w:r>
          </w:p>
        </w:tc>
      </w:tr>
      <w:tr w:rsidR="005269B2" w:rsidRPr="00410093" w14:paraId="28768DCA" w14:textId="77777777" w:rsidTr="007E4CCA">
        <w:tc>
          <w:tcPr>
            <w:tcW w:w="887" w:type="dxa"/>
            <w:vAlign w:val="center"/>
          </w:tcPr>
          <w:p w14:paraId="6E64A874"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78702</w:t>
            </w:r>
          </w:p>
        </w:tc>
        <w:tc>
          <w:tcPr>
            <w:tcW w:w="1627" w:type="dxa"/>
            <w:vAlign w:val="center"/>
          </w:tcPr>
          <w:p w14:paraId="269F4E2C"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302</w:t>
            </w:r>
          </w:p>
        </w:tc>
        <w:tc>
          <w:tcPr>
            <w:tcW w:w="1169" w:type="dxa"/>
            <w:vAlign w:val="center"/>
          </w:tcPr>
          <w:p w14:paraId="4886B458"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178</w:t>
            </w:r>
          </w:p>
        </w:tc>
        <w:tc>
          <w:tcPr>
            <w:tcW w:w="1168" w:type="dxa"/>
            <w:vAlign w:val="center"/>
          </w:tcPr>
          <w:p w14:paraId="72C15CF2"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533</w:t>
            </w:r>
          </w:p>
        </w:tc>
        <w:tc>
          <w:tcPr>
            <w:tcW w:w="1117" w:type="dxa"/>
            <w:vAlign w:val="center"/>
          </w:tcPr>
          <w:p w14:paraId="7F17ACF7"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apartment</w:t>
            </w:r>
          </w:p>
        </w:tc>
        <w:tc>
          <w:tcPr>
            <w:tcW w:w="1087" w:type="dxa"/>
            <w:vAlign w:val="center"/>
          </w:tcPr>
          <w:p w14:paraId="4A538614"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1</w:t>
            </w:r>
          </w:p>
        </w:tc>
        <w:tc>
          <w:tcPr>
            <w:tcW w:w="860" w:type="dxa"/>
            <w:vAlign w:val="center"/>
          </w:tcPr>
          <w:p w14:paraId="014B7AF8"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Y</w:t>
            </w:r>
          </w:p>
        </w:tc>
        <w:tc>
          <w:tcPr>
            <w:tcW w:w="807" w:type="dxa"/>
            <w:vAlign w:val="center"/>
          </w:tcPr>
          <w:p w14:paraId="47B93D6E"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N</w:t>
            </w:r>
          </w:p>
        </w:tc>
      </w:tr>
      <w:tr w:rsidR="005269B2" w:rsidRPr="00410093" w14:paraId="135C5D21" w14:textId="77777777" w:rsidTr="007E4CCA">
        <w:tc>
          <w:tcPr>
            <w:tcW w:w="887" w:type="dxa"/>
            <w:vAlign w:val="center"/>
          </w:tcPr>
          <w:p w14:paraId="672A41BE"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78702</w:t>
            </w:r>
          </w:p>
        </w:tc>
        <w:tc>
          <w:tcPr>
            <w:tcW w:w="1627" w:type="dxa"/>
            <w:vAlign w:val="center"/>
          </w:tcPr>
          <w:p w14:paraId="5B28FB2D"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429</w:t>
            </w:r>
          </w:p>
        </w:tc>
        <w:tc>
          <w:tcPr>
            <w:tcW w:w="1169" w:type="dxa"/>
            <w:vAlign w:val="center"/>
          </w:tcPr>
          <w:p w14:paraId="4E38CF6E"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221</w:t>
            </w:r>
          </w:p>
        </w:tc>
        <w:tc>
          <w:tcPr>
            <w:tcW w:w="1168" w:type="dxa"/>
            <w:vAlign w:val="center"/>
          </w:tcPr>
          <w:p w14:paraId="747A7FE1"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617</w:t>
            </w:r>
          </w:p>
        </w:tc>
        <w:tc>
          <w:tcPr>
            <w:tcW w:w="1117" w:type="dxa"/>
            <w:vAlign w:val="center"/>
          </w:tcPr>
          <w:p w14:paraId="1A88E189"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apartment</w:t>
            </w:r>
          </w:p>
        </w:tc>
        <w:tc>
          <w:tcPr>
            <w:tcW w:w="1087" w:type="dxa"/>
            <w:vAlign w:val="center"/>
          </w:tcPr>
          <w:p w14:paraId="104115EC"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2</w:t>
            </w:r>
          </w:p>
        </w:tc>
        <w:tc>
          <w:tcPr>
            <w:tcW w:w="860" w:type="dxa"/>
            <w:vAlign w:val="center"/>
          </w:tcPr>
          <w:p w14:paraId="2BF2A759"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Y</w:t>
            </w:r>
          </w:p>
        </w:tc>
        <w:tc>
          <w:tcPr>
            <w:tcW w:w="807" w:type="dxa"/>
            <w:vAlign w:val="center"/>
          </w:tcPr>
          <w:p w14:paraId="170AC60B" w14:textId="77777777" w:rsidR="005269B2" w:rsidRPr="00410093" w:rsidRDefault="005269B2" w:rsidP="00B86EE2">
            <w:pPr>
              <w:rPr>
                <w:rFonts w:ascii="Cascadia Code" w:hAnsi="Cascadia Code" w:cs="Cascadia Code"/>
                <w:sz w:val="16"/>
                <w:szCs w:val="16"/>
              </w:rPr>
            </w:pPr>
            <w:r w:rsidRPr="00410093">
              <w:rPr>
                <w:rFonts w:ascii="Helvetica" w:hAnsi="Helvetica"/>
                <w:color w:val="000000"/>
                <w:sz w:val="18"/>
                <w:szCs w:val="18"/>
              </w:rPr>
              <w:t>N</w:t>
            </w:r>
          </w:p>
        </w:tc>
      </w:tr>
    </w:tbl>
    <w:p w14:paraId="788F6D50" w14:textId="5875CC3A" w:rsidR="00783A1B" w:rsidRPr="00410093" w:rsidRDefault="007E4CCA" w:rsidP="00783A1B">
      <w:pPr>
        <w:jc w:val="center"/>
        <w:rPr>
          <w:rFonts w:ascii="Times New Roman" w:hAnsi="Times New Roman" w:cs="Times New Roman"/>
          <w:i/>
          <w:iCs/>
          <w:sz w:val="20"/>
          <w:szCs w:val="20"/>
        </w:rPr>
      </w:pPr>
      <w:r w:rsidRPr="00410093">
        <w:rPr>
          <w:rFonts w:ascii="Times New Roman" w:hAnsi="Times New Roman" w:cs="Times New Roman"/>
          <w:i/>
          <w:iCs/>
          <w:sz w:val="20"/>
          <w:szCs w:val="20"/>
        </w:rPr>
        <w:t xml:space="preserve">Figure 4: Table Head </w:t>
      </w:r>
      <w:r w:rsidR="005B586D" w:rsidRPr="00410093">
        <w:rPr>
          <w:rFonts w:ascii="Times New Roman" w:hAnsi="Times New Roman" w:cs="Times New Roman"/>
          <w:i/>
          <w:iCs/>
          <w:sz w:val="20"/>
          <w:szCs w:val="20"/>
        </w:rPr>
        <w:t>&amp; Tail</w:t>
      </w:r>
      <w:r w:rsidRPr="00410093">
        <w:rPr>
          <w:rFonts w:ascii="Times New Roman" w:hAnsi="Times New Roman" w:cs="Times New Roman"/>
          <w:i/>
          <w:iCs/>
          <w:sz w:val="20"/>
          <w:szCs w:val="20"/>
        </w:rPr>
        <w:t xml:space="preserve"> of 16 variables gathered.</w:t>
      </w:r>
    </w:p>
    <w:p w14:paraId="5302C04E" w14:textId="77777777" w:rsidR="00783A1B" w:rsidRDefault="00783A1B" w:rsidP="00783A1B">
      <w:pPr>
        <w:rPr>
          <w:rFonts w:ascii="Times New Roman" w:hAnsi="Times New Roman" w:cs="Times New Roman"/>
          <w:sz w:val="20"/>
          <w:szCs w:val="20"/>
        </w:rPr>
      </w:pPr>
    </w:p>
    <w:p w14:paraId="1CEC7561" w14:textId="77777777" w:rsidR="00DB55F4" w:rsidRDefault="00DB55F4" w:rsidP="00783A1B">
      <w:pPr>
        <w:rPr>
          <w:rFonts w:ascii="Times New Roman" w:hAnsi="Times New Roman" w:cs="Times New Roman"/>
          <w:sz w:val="20"/>
          <w:szCs w:val="20"/>
        </w:rPr>
      </w:pPr>
    </w:p>
    <w:p w14:paraId="15ACBCBD" w14:textId="77777777" w:rsidR="00DB55F4" w:rsidRDefault="00DB55F4" w:rsidP="00783A1B">
      <w:pPr>
        <w:rPr>
          <w:rFonts w:ascii="Times New Roman" w:hAnsi="Times New Roman" w:cs="Times New Roman"/>
          <w:sz w:val="20"/>
          <w:szCs w:val="20"/>
        </w:rPr>
      </w:pPr>
    </w:p>
    <w:p w14:paraId="5DDEAAAE" w14:textId="77777777" w:rsidR="00DB55F4" w:rsidRDefault="00DB55F4" w:rsidP="00783A1B">
      <w:pPr>
        <w:rPr>
          <w:rFonts w:ascii="Times New Roman" w:hAnsi="Times New Roman" w:cs="Times New Roman"/>
          <w:sz w:val="20"/>
          <w:szCs w:val="20"/>
        </w:rPr>
      </w:pPr>
    </w:p>
    <w:p w14:paraId="2FB8B4BD" w14:textId="77777777" w:rsidR="00DB55F4" w:rsidRPr="00410093" w:rsidRDefault="00DB55F4" w:rsidP="00783A1B">
      <w:pPr>
        <w:rPr>
          <w:rFonts w:ascii="Times New Roman" w:hAnsi="Times New Roman" w:cs="Times New Roman"/>
          <w:sz w:val="20"/>
          <w:szCs w:val="20"/>
        </w:rPr>
      </w:pPr>
    </w:p>
    <w:p w14:paraId="6DCBA2EF" w14:textId="5C95202A" w:rsidR="00783A1B" w:rsidRPr="00410093" w:rsidRDefault="00783A1B" w:rsidP="00783A1B">
      <w:pPr>
        <w:rPr>
          <w:rFonts w:ascii="Times New Roman" w:hAnsi="Times New Roman" w:cs="Times New Roman"/>
          <w:b/>
          <w:bCs/>
        </w:rPr>
      </w:pPr>
      <w:r w:rsidRPr="00410093">
        <w:rPr>
          <w:rFonts w:ascii="Times New Roman" w:hAnsi="Times New Roman" w:cs="Times New Roman"/>
          <w:b/>
          <w:bCs/>
        </w:rPr>
        <w:t xml:space="preserve">Normalizing </w:t>
      </w:r>
      <w:r w:rsidR="00AA4F79" w:rsidRPr="00410093">
        <w:rPr>
          <w:rFonts w:ascii="Times New Roman" w:hAnsi="Times New Roman" w:cs="Times New Roman"/>
          <w:b/>
          <w:bCs/>
        </w:rPr>
        <w:t xml:space="preserve">Sample </w:t>
      </w:r>
      <w:r w:rsidRPr="00410093">
        <w:rPr>
          <w:rFonts w:ascii="Times New Roman" w:hAnsi="Times New Roman" w:cs="Times New Roman"/>
          <w:b/>
          <w:bCs/>
        </w:rPr>
        <w:t xml:space="preserve">Home Prices </w:t>
      </w:r>
    </w:p>
    <w:p w14:paraId="38368A82" w14:textId="4228FC77" w:rsidR="00783A1B" w:rsidRPr="00410093" w:rsidRDefault="00783A1B" w:rsidP="00783A1B">
      <w:pPr>
        <w:rPr>
          <w:rFonts w:ascii="Times New Roman" w:hAnsi="Times New Roman" w:cs="Times New Roman"/>
        </w:rPr>
      </w:pPr>
      <w:r w:rsidRPr="00410093">
        <w:rPr>
          <w:rFonts w:ascii="Times New Roman" w:hAnsi="Times New Roman" w:cs="Times New Roman"/>
        </w:rPr>
        <w:t>In our analysis of</w:t>
      </w:r>
      <w:r w:rsidR="004753FF" w:rsidRPr="00410093">
        <w:rPr>
          <w:rFonts w:ascii="Times New Roman" w:hAnsi="Times New Roman" w:cs="Times New Roman"/>
        </w:rPr>
        <w:t xml:space="preserve"> sample short-term rental</w:t>
      </w:r>
      <w:r w:rsidRPr="00410093">
        <w:rPr>
          <w:rFonts w:ascii="Times New Roman" w:hAnsi="Times New Roman" w:cs="Times New Roman"/>
        </w:rPr>
        <w:t xml:space="preserve"> </w:t>
      </w:r>
      <w:r w:rsidR="004753FF" w:rsidRPr="00410093">
        <w:rPr>
          <w:rFonts w:ascii="Times New Roman" w:hAnsi="Times New Roman" w:cs="Times New Roman"/>
        </w:rPr>
        <w:t>nightly prices</w:t>
      </w:r>
      <w:r w:rsidRPr="00410093">
        <w:rPr>
          <w:rFonts w:ascii="Times New Roman" w:hAnsi="Times New Roman" w:cs="Times New Roman"/>
        </w:rPr>
        <w:t xml:space="preserve">, we employed a method known as percentile </w:t>
      </w:r>
      <w:r w:rsidR="002C4E64" w:rsidRPr="00410093">
        <w:rPr>
          <w:rFonts w:ascii="Times New Roman" w:hAnsi="Times New Roman" w:cs="Times New Roman"/>
        </w:rPr>
        <w:t>normalization</w:t>
      </w:r>
      <w:r w:rsidRPr="00410093">
        <w:rPr>
          <w:rFonts w:ascii="Times New Roman" w:hAnsi="Times New Roman" w:cs="Times New Roman"/>
        </w:rPr>
        <w:t xml:space="preserve"> to standardize our data by adjusting all home price values to fall within a uniform range.</w:t>
      </w:r>
    </w:p>
    <w:p w14:paraId="1F6C756B" w14:textId="4CE22A82" w:rsidR="00783A1B" w:rsidRPr="00410093" w:rsidRDefault="00B93CB8" w:rsidP="00783A1B">
      <w:pPr>
        <w:rPr>
          <w:rFonts w:ascii="Times New Roman" w:hAnsi="Times New Roman" w:cs="Times New Roman"/>
        </w:rPr>
      </w:pPr>
      <w:r w:rsidRPr="00410093">
        <w:rPr>
          <w:rFonts w:ascii="Times New Roman" w:hAnsi="Times New Roman" w:cs="Times New Roman"/>
        </w:rPr>
        <w:t>In the dataset extracted, each row contains a sample nightly rent price alongside the corresponding 10th and 90th percentile prices</w:t>
      </w:r>
      <w:r w:rsidR="00A0092B" w:rsidRPr="00410093">
        <w:rPr>
          <w:rFonts w:ascii="Times New Roman" w:hAnsi="Times New Roman" w:cs="Times New Roman"/>
        </w:rPr>
        <w:t xml:space="preserve"> for that property</w:t>
      </w:r>
      <w:r w:rsidRPr="00410093">
        <w:rPr>
          <w:rFonts w:ascii="Times New Roman" w:hAnsi="Times New Roman" w:cs="Times New Roman"/>
        </w:rPr>
        <w:t xml:space="preserve">. </w:t>
      </w:r>
      <w:r w:rsidR="00783A1B" w:rsidRPr="00410093">
        <w:rPr>
          <w:rFonts w:ascii="Times New Roman" w:hAnsi="Times New Roman" w:cs="Times New Roman"/>
        </w:rPr>
        <w:t>Unlike typical min-max normalization which uses the absolute minimum and maximum values of a dataset, we utilized the provided 10th and 90th percentile values as our lower and upper bounds</w:t>
      </w:r>
      <w:r w:rsidR="009335A3" w:rsidRPr="00410093">
        <w:rPr>
          <w:rFonts w:ascii="Times New Roman" w:hAnsi="Times New Roman" w:cs="Times New Roman"/>
        </w:rPr>
        <w:t xml:space="preserve"> in the following normalization formula:</w:t>
      </w:r>
    </w:p>
    <w:p w14:paraId="7B922ED9" w14:textId="77777777" w:rsidR="009335A3" w:rsidRPr="00410093" w:rsidRDefault="009335A3" w:rsidP="00783A1B">
      <w:pPr>
        <w:rPr>
          <w:rFonts w:ascii="Times New Roman" w:hAnsi="Times New Roman" w:cs="Times New Roman"/>
          <w:sz w:val="20"/>
          <w:szCs w:val="20"/>
        </w:rPr>
      </w:pPr>
    </w:p>
    <w:p w14:paraId="46877CA0" w14:textId="1038A785" w:rsidR="00783A1B" w:rsidRPr="00410093" w:rsidRDefault="001D0DB4" w:rsidP="009335A3">
      <w:pPr>
        <w:jc w:val="center"/>
        <w:rPr>
          <w:rFonts w:ascii="Cascadia Mono SemiBold" w:hAnsi="Cascadia Mono SemiBold" w:cs="Cascadia Mono SemiBold"/>
          <w:sz w:val="20"/>
          <w:szCs w:val="20"/>
        </w:rPr>
      </w:pPr>
      <m:oMathPara>
        <m:oMath>
          <m:r>
            <w:rPr>
              <w:rFonts w:ascii="Cambria Math" w:hAnsi="Cambria Math" w:cs="Cascadia Mono SemiBold"/>
              <w:sz w:val="20"/>
              <w:szCs w:val="20"/>
            </w:rPr>
            <m:t>0.1 + 0.8*((sample_nightly_rent_price - percentile_10th_price) / (percentile_90th_price - percentile_10th_price))</m:t>
          </m:r>
        </m:oMath>
      </m:oMathPara>
    </w:p>
    <w:p w14:paraId="01002F5D" w14:textId="77777777" w:rsidR="009335A3" w:rsidRPr="00410093" w:rsidRDefault="009335A3" w:rsidP="00783A1B">
      <w:pPr>
        <w:rPr>
          <w:rFonts w:ascii="Cascadia Mono SemiBold" w:hAnsi="Cascadia Mono SemiBold" w:cs="Cascadia Mono SemiBold"/>
          <w:sz w:val="14"/>
          <w:szCs w:val="14"/>
        </w:rPr>
      </w:pPr>
    </w:p>
    <w:p w14:paraId="34BB547E" w14:textId="65BF4B54" w:rsidR="00783A1B" w:rsidRPr="00410093" w:rsidRDefault="00783A1B" w:rsidP="00783A1B">
      <w:pPr>
        <w:rPr>
          <w:rFonts w:ascii="Times New Roman" w:hAnsi="Times New Roman" w:cs="Times New Roman"/>
        </w:rPr>
      </w:pPr>
      <w:r w:rsidRPr="00410093">
        <w:rPr>
          <w:rFonts w:ascii="Times New Roman" w:hAnsi="Times New Roman" w:cs="Times New Roman"/>
        </w:rPr>
        <w:t>The output of this formula is a normalized</w:t>
      </w:r>
      <w:r w:rsidR="00C4793B" w:rsidRPr="00410093">
        <w:rPr>
          <w:rFonts w:ascii="Times New Roman" w:hAnsi="Times New Roman" w:cs="Times New Roman"/>
        </w:rPr>
        <w:t xml:space="preserve"> price which</w:t>
      </w:r>
      <w:r w:rsidRPr="00410093">
        <w:rPr>
          <w:rFonts w:ascii="Times New Roman" w:hAnsi="Times New Roman" w:cs="Times New Roman"/>
        </w:rPr>
        <w:t xml:space="preserve"> essentially transfor</w:t>
      </w:r>
      <w:r w:rsidR="00904193" w:rsidRPr="00410093">
        <w:rPr>
          <w:rFonts w:ascii="Times New Roman" w:hAnsi="Times New Roman" w:cs="Times New Roman"/>
        </w:rPr>
        <w:t>ms</w:t>
      </w:r>
      <w:r w:rsidRPr="00410093">
        <w:rPr>
          <w:rFonts w:ascii="Times New Roman" w:hAnsi="Times New Roman" w:cs="Times New Roman"/>
        </w:rPr>
        <w:t xml:space="preserve"> the original </w:t>
      </w:r>
      <w:r w:rsidR="00904193" w:rsidRPr="00410093">
        <w:rPr>
          <w:rFonts w:ascii="Times New Roman" w:hAnsi="Times New Roman" w:cs="Times New Roman"/>
        </w:rPr>
        <w:t xml:space="preserve">sample </w:t>
      </w:r>
      <w:r w:rsidRPr="00410093">
        <w:rPr>
          <w:rFonts w:ascii="Times New Roman" w:hAnsi="Times New Roman" w:cs="Times New Roman"/>
        </w:rPr>
        <w:t xml:space="preserve">price </w:t>
      </w:r>
      <w:r w:rsidR="00904193" w:rsidRPr="00410093">
        <w:rPr>
          <w:rFonts w:ascii="Times New Roman" w:hAnsi="Times New Roman" w:cs="Times New Roman"/>
        </w:rPr>
        <w:t>value</w:t>
      </w:r>
      <w:r w:rsidRPr="00410093">
        <w:rPr>
          <w:rFonts w:ascii="Times New Roman" w:hAnsi="Times New Roman" w:cs="Times New Roman"/>
        </w:rPr>
        <w:t xml:space="preserve"> into a relative scale </w:t>
      </w:r>
      <w:r w:rsidR="007D6C55" w:rsidRPr="00410093">
        <w:rPr>
          <w:rFonts w:ascii="Times New Roman" w:hAnsi="Times New Roman" w:cs="Times New Roman"/>
        </w:rPr>
        <w:t xml:space="preserve">between 0 and 1 </w:t>
      </w:r>
      <w:r w:rsidRPr="00410093">
        <w:rPr>
          <w:rFonts w:ascii="Times New Roman" w:hAnsi="Times New Roman" w:cs="Times New Roman"/>
        </w:rPr>
        <w:t>where 0.1 signifies the 10th percentile price, 0.9 signifies the 90th percentile price, and the values in between represent the relative position of the price within this range.</w:t>
      </w:r>
    </w:p>
    <w:p w14:paraId="169DDB44" w14:textId="0F006210" w:rsidR="00EC6CC7" w:rsidRDefault="00616D6B" w:rsidP="00783A1B">
      <w:pPr>
        <w:rPr>
          <w:rFonts w:ascii="Times New Roman" w:hAnsi="Times New Roman" w:cs="Times New Roman"/>
        </w:rPr>
      </w:pPr>
      <w:r w:rsidRPr="00410093">
        <w:rPr>
          <w:rFonts w:ascii="Times New Roman" w:hAnsi="Times New Roman" w:cs="Times New Roman"/>
        </w:rPr>
        <w:t>The</w:t>
      </w:r>
      <w:r w:rsidR="00783A1B" w:rsidRPr="00410093">
        <w:rPr>
          <w:rFonts w:ascii="Times New Roman" w:hAnsi="Times New Roman" w:cs="Times New Roman"/>
        </w:rPr>
        <w:t xml:space="preserve"> normalized </w:t>
      </w:r>
      <w:r w:rsidRPr="00410093">
        <w:rPr>
          <w:rFonts w:ascii="Times New Roman" w:hAnsi="Times New Roman" w:cs="Times New Roman"/>
        </w:rPr>
        <w:t>values</w:t>
      </w:r>
      <w:r w:rsidR="00783A1B" w:rsidRPr="00410093">
        <w:rPr>
          <w:rFonts w:ascii="Times New Roman" w:hAnsi="Times New Roman" w:cs="Times New Roman"/>
        </w:rPr>
        <w:t xml:space="preserve"> enable us to conduct a robust data analysis that is less influenced by extreme price values, ensuring our insights are both reliable and comparable across different price ranges.</w:t>
      </w:r>
    </w:p>
    <w:p w14:paraId="59672145" w14:textId="77777777" w:rsidR="003C10AC" w:rsidRDefault="003C10AC" w:rsidP="00783A1B">
      <w:pPr>
        <w:pBdr>
          <w:bottom w:val="single" w:sz="12" w:space="1" w:color="auto"/>
        </w:pBdr>
        <w:rPr>
          <w:rFonts w:ascii="Times New Roman" w:hAnsi="Times New Roman" w:cs="Times New Roman"/>
        </w:rPr>
      </w:pPr>
    </w:p>
    <w:p w14:paraId="5C1FA044" w14:textId="77777777" w:rsidR="003C10AC" w:rsidRPr="00410093" w:rsidRDefault="003C10AC" w:rsidP="00783A1B">
      <w:pPr>
        <w:rPr>
          <w:rFonts w:ascii="Times New Roman" w:hAnsi="Times New Roman" w:cs="Times New Roman"/>
        </w:rPr>
      </w:pPr>
    </w:p>
    <w:p w14:paraId="0A245A27" w14:textId="4537045B" w:rsidR="00EC6CC7" w:rsidRPr="00410093" w:rsidRDefault="00EC6CC7" w:rsidP="00783A1B">
      <w:pPr>
        <w:rPr>
          <w:rFonts w:ascii="Times New Roman" w:hAnsi="Times New Roman" w:cs="Times New Roman"/>
          <w:b/>
          <w:bCs/>
        </w:rPr>
      </w:pPr>
      <w:r w:rsidRPr="00410093">
        <w:rPr>
          <w:rFonts w:ascii="Times New Roman" w:hAnsi="Times New Roman" w:cs="Times New Roman"/>
          <w:b/>
          <w:bCs/>
        </w:rPr>
        <w:t>Forecasting Optimal Short-Term Nightly Rates to Maximize Occupancy</w:t>
      </w:r>
    </w:p>
    <w:p w14:paraId="5592EB42" w14:textId="47616413" w:rsidR="00EC6CC7" w:rsidRPr="00410093" w:rsidRDefault="00E15F4C" w:rsidP="00783A1B">
      <w:pPr>
        <w:rPr>
          <w:rFonts w:ascii="Times New Roman" w:hAnsi="Times New Roman" w:cs="Times New Roman"/>
        </w:rPr>
      </w:pPr>
      <w:r w:rsidRPr="00410093">
        <w:rPr>
          <w:rFonts w:ascii="Times New Roman" w:hAnsi="Times New Roman" w:cs="Times New Roman"/>
        </w:rPr>
        <w:t>To</w:t>
      </w:r>
      <w:r w:rsidR="000954A3" w:rsidRPr="00410093">
        <w:rPr>
          <w:rFonts w:ascii="Times New Roman" w:hAnsi="Times New Roman" w:cs="Times New Roman"/>
        </w:rPr>
        <w:t xml:space="preserve"> maximize occupancy and total annual gross revenue, we employed a simple linear regression model, using our normalized price variable to predict the occupancy rate.</w:t>
      </w:r>
      <w:r w:rsidR="00166D3D" w:rsidRPr="00410093">
        <w:rPr>
          <w:rFonts w:ascii="Times New Roman" w:hAnsi="Times New Roman" w:cs="Times New Roman"/>
        </w:rPr>
        <w:t xml:space="preserve"> The results showed that these</w:t>
      </w:r>
      <w:r w:rsidR="00FE5689" w:rsidRPr="00410093">
        <w:rPr>
          <w:rFonts w:ascii="Times New Roman" w:hAnsi="Times New Roman" w:cs="Times New Roman"/>
        </w:rPr>
        <w:t xml:space="preserve"> two variables </w:t>
      </w:r>
      <w:r w:rsidR="00414383" w:rsidRPr="00410093">
        <w:rPr>
          <w:rFonts w:ascii="Times New Roman" w:hAnsi="Times New Roman" w:cs="Times New Roman"/>
        </w:rPr>
        <w:t xml:space="preserve">have a moderate negative correlation which </w:t>
      </w:r>
      <w:r w:rsidR="00277F41" w:rsidRPr="00410093">
        <w:rPr>
          <w:rFonts w:ascii="Times New Roman" w:hAnsi="Times New Roman" w:cs="Times New Roman"/>
        </w:rPr>
        <w:t xml:space="preserve">tells us </w:t>
      </w:r>
      <w:r w:rsidR="004438A3" w:rsidRPr="00410093">
        <w:rPr>
          <w:rFonts w:ascii="Times New Roman" w:hAnsi="Times New Roman" w:cs="Times New Roman"/>
        </w:rPr>
        <w:t>that</w:t>
      </w:r>
      <w:r w:rsidR="00277F41" w:rsidRPr="00410093">
        <w:rPr>
          <w:rFonts w:ascii="Times New Roman" w:hAnsi="Times New Roman" w:cs="Times New Roman"/>
        </w:rPr>
        <w:t xml:space="preserve"> the </w:t>
      </w:r>
      <w:r w:rsidR="00F50056" w:rsidRPr="00410093">
        <w:rPr>
          <w:rFonts w:ascii="Times New Roman" w:hAnsi="Times New Roman" w:cs="Times New Roman"/>
        </w:rPr>
        <w:t xml:space="preserve">occupancy rate </w:t>
      </w:r>
      <w:r w:rsidR="00283BCE" w:rsidRPr="00410093">
        <w:rPr>
          <w:rFonts w:ascii="Times New Roman" w:hAnsi="Times New Roman" w:cs="Times New Roman"/>
        </w:rPr>
        <w:t>will decrease as prices move up and occupancy rate will increase as prices d</w:t>
      </w:r>
      <w:r w:rsidR="00D2777A" w:rsidRPr="00410093">
        <w:rPr>
          <w:rFonts w:ascii="Times New Roman" w:hAnsi="Times New Roman" w:cs="Times New Roman"/>
        </w:rPr>
        <w:t>ecline</w:t>
      </w:r>
      <w:r w:rsidR="00666730" w:rsidRPr="00410093">
        <w:rPr>
          <w:rFonts w:ascii="Times New Roman" w:hAnsi="Times New Roman" w:cs="Times New Roman"/>
        </w:rPr>
        <w:t xml:space="preserve">, </w:t>
      </w:r>
      <w:r w:rsidR="00514D22" w:rsidRPr="00410093">
        <w:rPr>
          <w:rFonts w:ascii="Times New Roman" w:hAnsi="Times New Roman" w:cs="Times New Roman"/>
        </w:rPr>
        <w:t xml:space="preserve">in the </w:t>
      </w:r>
      <w:r w:rsidR="006417B6" w:rsidRPr="00410093">
        <w:rPr>
          <w:rFonts w:ascii="Times New Roman" w:hAnsi="Times New Roman" w:cs="Times New Roman"/>
        </w:rPr>
        <w:t xml:space="preserve">given </w:t>
      </w:r>
      <w:r w:rsidR="00514D22" w:rsidRPr="00410093">
        <w:rPr>
          <w:rFonts w:ascii="Times New Roman" w:hAnsi="Times New Roman" w:cs="Times New Roman"/>
        </w:rPr>
        <w:t>range of its unique property type and zip code</w:t>
      </w:r>
      <w:r w:rsidR="00D2777A" w:rsidRPr="00410093">
        <w:rPr>
          <w:rFonts w:ascii="Times New Roman" w:hAnsi="Times New Roman" w:cs="Times New Roman"/>
        </w:rPr>
        <w:t xml:space="preserve">. </w:t>
      </w:r>
      <w:r w:rsidR="006C3BCD" w:rsidRPr="00410093">
        <w:rPr>
          <w:rFonts w:ascii="Times New Roman" w:hAnsi="Times New Roman" w:cs="Times New Roman"/>
        </w:rPr>
        <w:t xml:space="preserve">This allows us to later calculate an optimal nightly price that </w:t>
      </w:r>
      <w:r w:rsidR="00DC55A1" w:rsidRPr="00410093">
        <w:rPr>
          <w:rFonts w:ascii="Times New Roman" w:hAnsi="Times New Roman" w:cs="Times New Roman"/>
        </w:rPr>
        <w:t xml:space="preserve">will maximize occupancy and total annual gross revenue. </w:t>
      </w:r>
    </w:p>
    <w:p w14:paraId="0AB6122F" w14:textId="4988E281" w:rsidR="006417B6" w:rsidRPr="00410093" w:rsidRDefault="003C10AC" w:rsidP="00783A1B">
      <w:pPr>
        <w:rPr>
          <w:rFonts w:ascii="Times New Roman" w:hAnsi="Times New Roman" w:cs="Times New Roman"/>
        </w:rPr>
      </w:pPr>
      <w:r>
        <w:rPr>
          <w:rFonts w:ascii="Times New Roman" w:hAnsi="Times New Roman" w:cs="Times New Roman"/>
        </w:rPr>
        <w:t>Regression</w:t>
      </w:r>
      <w:r w:rsidR="006417B6" w:rsidRPr="00410093">
        <w:rPr>
          <w:rFonts w:ascii="Times New Roman" w:hAnsi="Times New Roman" w:cs="Times New Roman"/>
        </w:rPr>
        <w:t xml:space="preserve"> equation from the model: </w:t>
      </w:r>
    </w:p>
    <w:p w14:paraId="6BC65213" w14:textId="6AF12BE8" w:rsidR="00E32DF6" w:rsidRPr="00410093" w:rsidRDefault="004A09D3" w:rsidP="00783A1B">
      <w:pPr>
        <w:rPr>
          <w:rFonts w:ascii="Times New Roman" w:hAnsi="Times New Roman" w:cs="Times New Roman"/>
        </w:rPr>
      </w:pPr>
      <m:oMathPara>
        <m:oMath>
          <m:r>
            <w:rPr>
              <w:rFonts w:ascii="Cambria Math" w:hAnsi="Cambria Math" w:cs="Times New Roman"/>
            </w:rPr>
            <m:t>occupancy rate=(-0.7917* normalized_price)+0.8507</m:t>
          </m:r>
        </m:oMath>
      </m:oMathPara>
    </w:p>
    <w:p w14:paraId="4F371BEC" w14:textId="045BBC54" w:rsidR="00780A90" w:rsidRPr="00410093" w:rsidRDefault="00780A90" w:rsidP="00780A90">
      <w:pPr>
        <w:rPr>
          <w:rFonts w:ascii="Times New Roman" w:hAnsi="Times New Roman" w:cs="Times New Roman"/>
        </w:rPr>
      </w:pPr>
    </w:p>
    <w:p w14:paraId="0A956AA3" w14:textId="019C556A" w:rsidR="00242120" w:rsidRPr="00410093" w:rsidRDefault="00265F57" w:rsidP="00265F57">
      <w:pPr>
        <w:rPr>
          <w:rFonts w:ascii="Times New Roman" w:hAnsi="Times New Roman" w:cs="Times New Roman"/>
        </w:rPr>
      </w:pPr>
      <w:r w:rsidRPr="00410093">
        <w:rPr>
          <w:rFonts w:ascii="Times New Roman" w:hAnsi="Times New Roman" w:cs="Times New Roman"/>
        </w:rPr>
        <w:t xml:space="preserve">The coefficient of -0.7917 signifies that for each </w:t>
      </w:r>
      <w:r w:rsidR="00C40828" w:rsidRPr="00410093">
        <w:rPr>
          <w:rFonts w:ascii="Times New Roman" w:hAnsi="Times New Roman" w:cs="Times New Roman"/>
        </w:rPr>
        <w:t xml:space="preserve">full </w:t>
      </w:r>
      <w:r w:rsidRPr="00410093">
        <w:rPr>
          <w:rFonts w:ascii="Times New Roman" w:hAnsi="Times New Roman" w:cs="Times New Roman"/>
        </w:rPr>
        <w:t xml:space="preserve">unit increase in the normalized price, we expect the occupancy rate to decrease by approximately 0.7917 units, holding all other factors constant. Conversely, for each unit decrease in the normalized price, we expect the occupancy rate to increase by </w:t>
      </w:r>
      <w:r w:rsidR="00F057F8" w:rsidRPr="00410093">
        <w:rPr>
          <w:rFonts w:ascii="Times New Roman" w:hAnsi="Times New Roman" w:cs="Times New Roman"/>
        </w:rPr>
        <w:t>the</w:t>
      </w:r>
      <w:r w:rsidRPr="00410093">
        <w:rPr>
          <w:rFonts w:ascii="Times New Roman" w:hAnsi="Times New Roman" w:cs="Times New Roman"/>
        </w:rPr>
        <w:t xml:space="preserve"> same amount.</w:t>
      </w:r>
      <w:r w:rsidR="00BC6631" w:rsidRPr="00410093">
        <w:rPr>
          <w:rFonts w:ascii="Times New Roman" w:hAnsi="Times New Roman" w:cs="Times New Roman"/>
        </w:rPr>
        <w:t xml:space="preserve"> </w:t>
      </w:r>
      <w:r w:rsidRPr="00410093">
        <w:rPr>
          <w:rFonts w:ascii="Times New Roman" w:hAnsi="Times New Roman" w:cs="Times New Roman"/>
        </w:rPr>
        <w:t xml:space="preserve">The intercept of 0.8507 can be interpreted as the predicted occupancy rate when the normalized price equals zero. However, </w:t>
      </w:r>
      <w:r w:rsidR="00BC6631" w:rsidRPr="00410093">
        <w:rPr>
          <w:rFonts w:ascii="Times New Roman" w:hAnsi="Times New Roman" w:cs="Times New Roman"/>
        </w:rPr>
        <w:t>this is not meaningful given the context of this model</w:t>
      </w:r>
      <w:r w:rsidRPr="00410093">
        <w:rPr>
          <w:rFonts w:ascii="Times New Roman" w:hAnsi="Times New Roman" w:cs="Times New Roman"/>
        </w:rPr>
        <w:t>.</w:t>
      </w:r>
    </w:p>
    <w:p w14:paraId="5F79C46C" w14:textId="77777777" w:rsidR="00F057F8" w:rsidRPr="00410093" w:rsidRDefault="00F057F8" w:rsidP="00265F57">
      <w:pPr>
        <w:rPr>
          <w:rFonts w:ascii="Times New Roman" w:hAnsi="Times New Roman" w:cs="Times New Roman"/>
        </w:rPr>
      </w:pPr>
    </w:p>
    <w:tbl>
      <w:tblPr>
        <w:tblStyle w:val="TableGrid"/>
        <w:tblW w:w="0" w:type="auto"/>
        <w:tblLook w:val="04A0" w:firstRow="1" w:lastRow="0" w:firstColumn="1" w:lastColumn="0" w:noHBand="0" w:noVBand="1"/>
      </w:tblPr>
      <w:tblGrid>
        <w:gridCol w:w="2561"/>
        <w:gridCol w:w="2208"/>
        <w:gridCol w:w="2193"/>
        <w:gridCol w:w="1953"/>
        <w:gridCol w:w="1875"/>
      </w:tblGrid>
      <w:tr w:rsidR="00FE0A8E" w:rsidRPr="00410093" w14:paraId="31332B82" w14:textId="77777777" w:rsidTr="000B6803">
        <w:tc>
          <w:tcPr>
            <w:tcW w:w="2561" w:type="dxa"/>
            <w:shd w:val="clear" w:color="auto" w:fill="D9D9D9" w:themeFill="background1" w:themeFillShade="D9"/>
          </w:tcPr>
          <w:p w14:paraId="6CE05C42" w14:textId="2CC1C9C6" w:rsidR="00726CEE" w:rsidRPr="00410093" w:rsidRDefault="00012738" w:rsidP="00783A1B">
            <w:pPr>
              <w:rPr>
                <w:rFonts w:ascii="Cascadia Mono" w:hAnsi="Cascadia Mono" w:cs="Cascadia Mono"/>
                <w:sz w:val="16"/>
                <w:szCs w:val="16"/>
              </w:rPr>
            </w:pPr>
            <w:r w:rsidRPr="00410093">
              <w:rPr>
                <w:rFonts w:ascii="Cascadia Mono" w:hAnsi="Cascadia Mono" w:cs="Cascadia Mono"/>
                <w:sz w:val="16"/>
                <w:szCs w:val="16"/>
              </w:rPr>
              <w:t>sample_nightly_rent_price</w:t>
            </w:r>
          </w:p>
        </w:tc>
        <w:tc>
          <w:tcPr>
            <w:tcW w:w="2208" w:type="dxa"/>
            <w:shd w:val="clear" w:color="auto" w:fill="D9D9D9" w:themeFill="background1" w:themeFillShade="D9"/>
          </w:tcPr>
          <w:p w14:paraId="76403893" w14:textId="17760390" w:rsidR="00726CEE" w:rsidRPr="00410093" w:rsidRDefault="00012738" w:rsidP="00783A1B">
            <w:pPr>
              <w:rPr>
                <w:rFonts w:ascii="Cascadia Mono" w:hAnsi="Cascadia Mono" w:cs="Cascadia Mono"/>
                <w:sz w:val="16"/>
                <w:szCs w:val="16"/>
              </w:rPr>
            </w:pPr>
            <w:r w:rsidRPr="00410093">
              <w:rPr>
                <w:rFonts w:ascii="Cascadia Mono" w:hAnsi="Cascadia Mono" w:cs="Cascadia Mono"/>
                <w:sz w:val="16"/>
                <w:szCs w:val="16"/>
              </w:rPr>
              <w:t>percentile_10th_price</w:t>
            </w:r>
          </w:p>
        </w:tc>
        <w:tc>
          <w:tcPr>
            <w:tcW w:w="2193" w:type="dxa"/>
            <w:shd w:val="clear" w:color="auto" w:fill="D9D9D9" w:themeFill="background1" w:themeFillShade="D9"/>
          </w:tcPr>
          <w:p w14:paraId="35985DB8" w14:textId="2662FDAC" w:rsidR="00726CEE" w:rsidRPr="00410093" w:rsidRDefault="00012738" w:rsidP="00783A1B">
            <w:pPr>
              <w:rPr>
                <w:rFonts w:ascii="Cascadia Mono" w:hAnsi="Cascadia Mono" w:cs="Cascadia Mono"/>
                <w:sz w:val="16"/>
                <w:szCs w:val="16"/>
              </w:rPr>
            </w:pPr>
            <w:r w:rsidRPr="00410093">
              <w:rPr>
                <w:rFonts w:ascii="Cascadia Mono" w:hAnsi="Cascadia Mono" w:cs="Cascadia Mono"/>
                <w:sz w:val="16"/>
                <w:szCs w:val="16"/>
              </w:rPr>
              <w:t>percentile_90th_price</w:t>
            </w:r>
          </w:p>
        </w:tc>
        <w:tc>
          <w:tcPr>
            <w:tcW w:w="1953" w:type="dxa"/>
            <w:shd w:val="clear" w:color="auto" w:fill="D9D9D9" w:themeFill="background1" w:themeFillShade="D9"/>
          </w:tcPr>
          <w:p w14:paraId="57859676" w14:textId="286F1F2F" w:rsidR="00726CEE" w:rsidRPr="00410093" w:rsidRDefault="00263228" w:rsidP="00783A1B">
            <w:pPr>
              <w:rPr>
                <w:rFonts w:ascii="Cascadia Mono" w:hAnsi="Cascadia Mono" w:cs="Cascadia Mono"/>
                <w:sz w:val="16"/>
                <w:szCs w:val="16"/>
              </w:rPr>
            </w:pPr>
            <w:r w:rsidRPr="00410093">
              <w:rPr>
                <w:rFonts w:ascii="Cascadia Mono" w:hAnsi="Cascadia Mono" w:cs="Cascadia Mono"/>
                <w:sz w:val="16"/>
                <w:szCs w:val="16"/>
              </w:rPr>
              <w:t>normalized_price</w:t>
            </w:r>
          </w:p>
        </w:tc>
        <w:tc>
          <w:tcPr>
            <w:tcW w:w="1875" w:type="dxa"/>
            <w:shd w:val="clear" w:color="auto" w:fill="D9D9D9" w:themeFill="background1" w:themeFillShade="D9"/>
          </w:tcPr>
          <w:p w14:paraId="18C74F20" w14:textId="7DE090CF" w:rsidR="00726CEE" w:rsidRPr="00410093" w:rsidRDefault="00263228" w:rsidP="00783A1B">
            <w:pPr>
              <w:rPr>
                <w:rFonts w:ascii="Cascadia Mono" w:hAnsi="Cascadia Mono" w:cs="Cascadia Mono"/>
                <w:sz w:val="16"/>
                <w:szCs w:val="16"/>
              </w:rPr>
            </w:pPr>
            <w:r w:rsidRPr="00410093">
              <w:rPr>
                <w:rFonts w:ascii="Cascadia Mono" w:hAnsi="Cascadia Mono" w:cs="Cascadia Mono"/>
                <w:sz w:val="16"/>
                <w:szCs w:val="16"/>
              </w:rPr>
              <w:t>occupancy_rate</w:t>
            </w:r>
          </w:p>
        </w:tc>
      </w:tr>
      <w:tr w:rsidR="00263228" w:rsidRPr="00410093" w14:paraId="5D3EA374" w14:textId="77777777" w:rsidTr="00FE0A8E">
        <w:tc>
          <w:tcPr>
            <w:tcW w:w="2561" w:type="dxa"/>
            <w:vAlign w:val="bottom"/>
          </w:tcPr>
          <w:p w14:paraId="1318EC80" w14:textId="0E74E5A4" w:rsidR="00012738" w:rsidRPr="00735F44" w:rsidRDefault="00012738" w:rsidP="00012738">
            <w:pPr>
              <w:rPr>
                <w:rFonts w:ascii="Helvetica" w:hAnsi="Helvetica" w:cs="Helvetica"/>
              </w:rPr>
            </w:pPr>
            <w:r w:rsidRPr="00735F44">
              <w:rPr>
                <w:rFonts w:ascii="Helvetica" w:hAnsi="Helvetica" w:cs="Helvetica"/>
                <w:color w:val="000000"/>
              </w:rPr>
              <w:t>380</w:t>
            </w:r>
          </w:p>
        </w:tc>
        <w:tc>
          <w:tcPr>
            <w:tcW w:w="2208" w:type="dxa"/>
            <w:vAlign w:val="bottom"/>
          </w:tcPr>
          <w:p w14:paraId="3E35AEE9" w14:textId="1D53CFC4" w:rsidR="00012738" w:rsidRPr="00735F44" w:rsidRDefault="00012738" w:rsidP="00012738">
            <w:pPr>
              <w:rPr>
                <w:rFonts w:ascii="Helvetica" w:hAnsi="Helvetica" w:cs="Helvetica"/>
              </w:rPr>
            </w:pPr>
            <w:r w:rsidRPr="00735F44">
              <w:rPr>
                <w:rFonts w:ascii="Helvetica" w:hAnsi="Helvetica" w:cs="Helvetica"/>
                <w:color w:val="000000"/>
              </w:rPr>
              <w:t>202</w:t>
            </w:r>
          </w:p>
        </w:tc>
        <w:tc>
          <w:tcPr>
            <w:tcW w:w="2193" w:type="dxa"/>
            <w:vAlign w:val="bottom"/>
          </w:tcPr>
          <w:p w14:paraId="268A138F" w14:textId="0F03FE2A" w:rsidR="00012738" w:rsidRPr="00735F44" w:rsidRDefault="00012738" w:rsidP="00012738">
            <w:pPr>
              <w:rPr>
                <w:rFonts w:ascii="Helvetica" w:hAnsi="Helvetica" w:cs="Helvetica"/>
              </w:rPr>
            </w:pPr>
            <w:r w:rsidRPr="00735F44">
              <w:rPr>
                <w:rFonts w:ascii="Helvetica" w:hAnsi="Helvetica" w:cs="Helvetica"/>
                <w:color w:val="000000"/>
              </w:rPr>
              <w:t>646</w:t>
            </w:r>
          </w:p>
        </w:tc>
        <w:tc>
          <w:tcPr>
            <w:tcW w:w="1953" w:type="dxa"/>
            <w:vAlign w:val="bottom"/>
          </w:tcPr>
          <w:p w14:paraId="504893CA" w14:textId="591AB532" w:rsidR="00012738" w:rsidRPr="00735F44" w:rsidRDefault="00012738" w:rsidP="00012738">
            <w:pPr>
              <w:rPr>
                <w:rFonts w:ascii="Helvetica" w:hAnsi="Helvetica" w:cs="Helvetica"/>
              </w:rPr>
            </w:pPr>
            <w:r w:rsidRPr="00735F44">
              <w:rPr>
                <w:rFonts w:ascii="Helvetica" w:hAnsi="Helvetica" w:cs="Helvetica"/>
                <w:color w:val="000000"/>
              </w:rPr>
              <w:t>0.420720721</w:t>
            </w:r>
          </w:p>
        </w:tc>
        <w:tc>
          <w:tcPr>
            <w:tcW w:w="1875" w:type="dxa"/>
            <w:vAlign w:val="bottom"/>
          </w:tcPr>
          <w:p w14:paraId="2C83F444" w14:textId="69B272B1" w:rsidR="00012738" w:rsidRPr="00735F44" w:rsidRDefault="00012738" w:rsidP="00012738">
            <w:pPr>
              <w:rPr>
                <w:rFonts w:ascii="Helvetica" w:hAnsi="Helvetica" w:cs="Helvetica"/>
              </w:rPr>
            </w:pPr>
            <w:r w:rsidRPr="00735F44">
              <w:rPr>
                <w:rFonts w:ascii="Helvetica" w:hAnsi="Helvetica" w:cs="Helvetica"/>
                <w:color w:val="000000"/>
              </w:rPr>
              <w:t>0.411</w:t>
            </w:r>
          </w:p>
        </w:tc>
      </w:tr>
      <w:tr w:rsidR="00263228" w:rsidRPr="00410093" w14:paraId="429E3892" w14:textId="77777777" w:rsidTr="00FE0A8E">
        <w:tc>
          <w:tcPr>
            <w:tcW w:w="2561" w:type="dxa"/>
            <w:vAlign w:val="bottom"/>
          </w:tcPr>
          <w:p w14:paraId="47116F4F" w14:textId="359A8ADD" w:rsidR="00012738" w:rsidRPr="00735F44" w:rsidRDefault="00012738" w:rsidP="00012738">
            <w:pPr>
              <w:rPr>
                <w:rFonts w:ascii="Helvetica" w:hAnsi="Helvetica" w:cs="Helvetica"/>
              </w:rPr>
            </w:pPr>
            <w:r w:rsidRPr="00735F44">
              <w:rPr>
                <w:rFonts w:ascii="Helvetica" w:hAnsi="Helvetica" w:cs="Helvetica"/>
                <w:color w:val="000000"/>
              </w:rPr>
              <w:t>969</w:t>
            </w:r>
          </w:p>
        </w:tc>
        <w:tc>
          <w:tcPr>
            <w:tcW w:w="2208" w:type="dxa"/>
            <w:vAlign w:val="bottom"/>
          </w:tcPr>
          <w:p w14:paraId="02E7FF32" w14:textId="00A27B07" w:rsidR="00012738" w:rsidRPr="00735F44" w:rsidRDefault="00012738" w:rsidP="00012738">
            <w:pPr>
              <w:rPr>
                <w:rFonts w:ascii="Helvetica" w:hAnsi="Helvetica" w:cs="Helvetica"/>
              </w:rPr>
            </w:pPr>
            <w:r w:rsidRPr="00735F44">
              <w:rPr>
                <w:rFonts w:ascii="Helvetica" w:hAnsi="Helvetica" w:cs="Helvetica"/>
                <w:color w:val="000000"/>
              </w:rPr>
              <w:t>239</w:t>
            </w:r>
          </w:p>
        </w:tc>
        <w:tc>
          <w:tcPr>
            <w:tcW w:w="2193" w:type="dxa"/>
            <w:vAlign w:val="bottom"/>
          </w:tcPr>
          <w:p w14:paraId="311745E6" w14:textId="30198515" w:rsidR="00012738" w:rsidRPr="00735F44" w:rsidRDefault="00012738" w:rsidP="00012738">
            <w:pPr>
              <w:rPr>
                <w:rFonts w:ascii="Helvetica" w:hAnsi="Helvetica" w:cs="Helvetica"/>
              </w:rPr>
            </w:pPr>
            <w:r w:rsidRPr="00735F44">
              <w:rPr>
                <w:rFonts w:ascii="Helvetica" w:hAnsi="Helvetica" w:cs="Helvetica"/>
                <w:color w:val="000000"/>
              </w:rPr>
              <w:t>1431</w:t>
            </w:r>
          </w:p>
        </w:tc>
        <w:tc>
          <w:tcPr>
            <w:tcW w:w="1953" w:type="dxa"/>
            <w:vAlign w:val="bottom"/>
          </w:tcPr>
          <w:p w14:paraId="58A04E7E" w14:textId="70A63446" w:rsidR="00012738" w:rsidRPr="00735F44" w:rsidRDefault="00012738" w:rsidP="00012738">
            <w:pPr>
              <w:rPr>
                <w:rFonts w:ascii="Helvetica" w:hAnsi="Helvetica" w:cs="Helvetica"/>
              </w:rPr>
            </w:pPr>
            <w:r w:rsidRPr="00735F44">
              <w:rPr>
                <w:rFonts w:ascii="Helvetica" w:hAnsi="Helvetica" w:cs="Helvetica"/>
                <w:color w:val="000000"/>
              </w:rPr>
              <w:t>0.589932886</w:t>
            </w:r>
          </w:p>
        </w:tc>
        <w:tc>
          <w:tcPr>
            <w:tcW w:w="1875" w:type="dxa"/>
            <w:vAlign w:val="bottom"/>
          </w:tcPr>
          <w:p w14:paraId="1935DE4F" w14:textId="7DE6DF6A" w:rsidR="00012738" w:rsidRPr="00735F44" w:rsidRDefault="00012738" w:rsidP="00012738">
            <w:pPr>
              <w:rPr>
                <w:rFonts w:ascii="Helvetica" w:hAnsi="Helvetica" w:cs="Helvetica"/>
              </w:rPr>
            </w:pPr>
            <w:r w:rsidRPr="00735F44">
              <w:rPr>
                <w:rFonts w:ascii="Helvetica" w:hAnsi="Helvetica" w:cs="Helvetica"/>
                <w:color w:val="000000"/>
              </w:rPr>
              <w:t>0.1096</w:t>
            </w:r>
          </w:p>
        </w:tc>
      </w:tr>
      <w:tr w:rsidR="00FE0A8E" w:rsidRPr="00410093" w14:paraId="57DE2604" w14:textId="77777777" w:rsidTr="00FE0A8E">
        <w:tc>
          <w:tcPr>
            <w:tcW w:w="2561" w:type="dxa"/>
            <w:vAlign w:val="bottom"/>
          </w:tcPr>
          <w:p w14:paraId="4AED088A" w14:textId="4C50FC18" w:rsidR="00FE0A8E" w:rsidRPr="00735F44" w:rsidRDefault="00FE0A8E" w:rsidP="00FE0A8E">
            <w:pPr>
              <w:jc w:val="center"/>
              <w:rPr>
                <w:rFonts w:ascii="Helvetica" w:hAnsi="Helvetica" w:cs="Helvetica"/>
              </w:rPr>
            </w:pPr>
            <w:r w:rsidRPr="00735F44">
              <w:rPr>
                <w:rFonts w:ascii="Helvetica" w:hAnsi="Helvetica" w:cs="Helvetica"/>
                <w:color w:val="000000"/>
              </w:rPr>
              <w:t>…</w:t>
            </w:r>
          </w:p>
        </w:tc>
        <w:tc>
          <w:tcPr>
            <w:tcW w:w="2208" w:type="dxa"/>
            <w:vAlign w:val="bottom"/>
          </w:tcPr>
          <w:p w14:paraId="026D6543" w14:textId="5ABBC301" w:rsidR="00FE0A8E" w:rsidRPr="00735F44" w:rsidRDefault="00FE0A8E" w:rsidP="00FE0A8E">
            <w:pPr>
              <w:jc w:val="center"/>
              <w:rPr>
                <w:rFonts w:ascii="Helvetica" w:hAnsi="Helvetica" w:cs="Helvetica"/>
              </w:rPr>
            </w:pPr>
            <w:r w:rsidRPr="00735F44">
              <w:rPr>
                <w:rFonts w:ascii="Helvetica" w:hAnsi="Helvetica" w:cs="Helvetica"/>
                <w:color w:val="000000"/>
              </w:rPr>
              <w:t>…</w:t>
            </w:r>
          </w:p>
        </w:tc>
        <w:tc>
          <w:tcPr>
            <w:tcW w:w="2193" w:type="dxa"/>
            <w:vAlign w:val="bottom"/>
          </w:tcPr>
          <w:p w14:paraId="1716B5A4" w14:textId="28ABA5D8" w:rsidR="00FE0A8E" w:rsidRPr="00735F44" w:rsidRDefault="00FE0A8E" w:rsidP="00FE0A8E">
            <w:pPr>
              <w:jc w:val="center"/>
              <w:rPr>
                <w:rFonts w:ascii="Helvetica" w:hAnsi="Helvetica" w:cs="Helvetica"/>
              </w:rPr>
            </w:pPr>
            <w:r w:rsidRPr="00735F44">
              <w:rPr>
                <w:rFonts w:ascii="Helvetica" w:hAnsi="Helvetica" w:cs="Helvetica"/>
                <w:color w:val="000000"/>
              </w:rPr>
              <w:t>…</w:t>
            </w:r>
          </w:p>
        </w:tc>
        <w:tc>
          <w:tcPr>
            <w:tcW w:w="1953" w:type="dxa"/>
            <w:vAlign w:val="bottom"/>
          </w:tcPr>
          <w:p w14:paraId="20AC518D" w14:textId="2F574354" w:rsidR="00FE0A8E" w:rsidRPr="00735F44" w:rsidRDefault="00FE0A8E" w:rsidP="00FE0A8E">
            <w:pPr>
              <w:jc w:val="center"/>
              <w:rPr>
                <w:rFonts w:ascii="Helvetica" w:hAnsi="Helvetica" w:cs="Helvetica"/>
              </w:rPr>
            </w:pPr>
            <w:r w:rsidRPr="00735F44">
              <w:rPr>
                <w:rFonts w:ascii="Helvetica" w:hAnsi="Helvetica" w:cs="Helvetica"/>
                <w:color w:val="000000"/>
              </w:rPr>
              <w:t>…</w:t>
            </w:r>
          </w:p>
        </w:tc>
        <w:tc>
          <w:tcPr>
            <w:tcW w:w="1875" w:type="dxa"/>
            <w:vAlign w:val="bottom"/>
          </w:tcPr>
          <w:p w14:paraId="39D267A0" w14:textId="342DF339" w:rsidR="00FE0A8E" w:rsidRPr="00735F44" w:rsidRDefault="00FE0A8E" w:rsidP="00FE0A8E">
            <w:pPr>
              <w:jc w:val="center"/>
              <w:rPr>
                <w:rFonts w:ascii="Helvetica" w:hAnsi="Helvetica" w:cs="Helvetica"/>
              </w:rPr>
            </w:pPr>
            <w:r w:rsidRPr="00735F44">
              <w:rPr>
                <w:rFonts w:ascii="Helvetica" w:hAnsi="Helvetica" w:cs="Helvetica"/>
                <w:color w:val="000000"/>
              </w:rPr>
              <w:t>…</w:t>
            </w:r>
          </w:p>
        </w:tc>
      </w:tr>
      <w:tr w:rsidR="00FE0A8E" w:rsidRPr="00410093" w14:paraId="1FC72E1D" w14:textId="77777777" w:rsidTr="00FE0A8E">
        <w:tc>
          <w:tcPr>
            <w:tcW w:w="2561" w:type="dxa"/>
            <w:vAlign w:val="bottom"/>
          </w:tcPr>
          <w:p w14:paraId="00653D7A" w14:textId="6E3AF86C" w:rsidR="00FE0A8E" w:rsidRPr="00735F44" w:rsidRDefault="00FE0A8E" w:rsidP="00FE0A8E">
            <w:pPr>
              <w:rPr>
                <w:rFonts w:ascii="Helvetica" w:hAnsi="Helvetica" w:cs="Helvetica"/>
              </w:rPr>
            </w:pPr>
            <w:r w:rsidRPr="00735F44">
              <w:rPr>
                <w:rFonts w:ascii="Helvetica" w:hAnsi="Helvetica" w:cs="Helvetica"/>
                <w:color w:val="000000"/>
              </w:rPr>
              <w:t>389</w:t>
            </w:r>
          </w:p>
        </w:tc>
        <w:tc>
          <w:tcPr>
            <w:tcW w:w="2208" w:type="dxa"/>
            <w:vAlign w:val="bottom"/>
          </w:tcPr>
          <w:p w14:paraId="46F41283" w14:textId="0ADFDADD" w:rsidR="00FE0A8E" w:rsidRPr="00735F44" w:rsidRDefault="00FE0A8E" w:rsidP="00FE0A8E">
            <w:pPr>
              <w:rPr>
                <w:rFonts w:ascii="Helvetica" w:hAnsi="Helvetica" w:cs="Helvetica"/>
              </w:rPr>
            </w:pPr>
            <w:r w:rsidRPr="00735F44">
              <w:rPr>
                <w:rFonts w:ascii="Helvetica" w:hAnsi="Helvetica" w:cs="Helvetica"/>
                <w:color w:val="000000"/>
              </w:rPr>
              <w:t>130</w:t>
            </w:r>
          </w:p>
        </w:tc>
        <w:tc>
          <w:tcPr>
            <w:tcW w:w="2193" w:type="dxa"/>
            <w:vAlign w:val="bottom"/>
          </w:tcPr>
          <w:p w14:paraId="2F4A5176" w14:textId="3D8BAA5D" w:rsidR="00FE0A8E" w:rsidRPr="00735F44" w:rsidRDefault="00FE0A8E" w:rsidP="00FE0A8E">
            <w:pPr>
              <w:rPr>
                <w:rFonts w:ascii="Helvetica" w:hAnsi="Helvetica" w:cs="Helvetica"/>
              </w:rPr>
            </w:pPr>
            <w:r w:rsidRPr="00735F44">
              <w:rPr>
                <w:rFonts w:ascii="Helvetica" w:hAnsi="Helvetica" w:cs="Helvetica"/>
                <w:color w:val="000000"/>
              </w:rPr>
              <w:t>821</w:t>
            </w:r>
          </w:p>
        </w:tc>
        <w:tc>
          <w:tcPr>
            <w:tcW w:w="1953" w:type="dxa"/>
            <w:vAlign w:val="bottom"/>
          </w:tcPr>
          <w:p w14:paraId="6F57A90D" w14:textId="61917C02" w:rsidR="00FE0A8E" w:rsidRPr="00735F44" w:rsidRDefault="00FE0A8E" w:rsidP="00FE0A8E">
            <w:pPr>
              <w:rPr>
                <w:rFonts w:ascii="Helvetica" w:hAnsi="Helvetica" w:cs="Helvetica"/>
              </w:rPr>
            </w:pPr>
            <w:r w:rsidRPr="00735F44">
              <w:rPr>
                <w:rFonts w:ascii="Helvetica" w:hAnsi="Helvetica" w:cs="Helvetica"/>
                <w:color w:val="000000"/>
              </w:rPr>
              <w:t>0.399855282</w:t>
            </w:r>
          </w:p>
        </w:tc>
        <w:tc>
          <w:tcPr>
            <w:tcW w:w="1875" w:type="dxa"/>
            <w:vAlign w:val="bottom"/>
          </w:tcPr>
          <w:p w14:paraId="1C771757" w14:textId="6E3F503C" w:rsidR="00FE0A8E" w:rsidRPr="00735F44" w:rsidRDefault="00FE0A8E" w:rsidP="00FE0A8E">
            <w:pPr>
              <w:rPr>
                <w:rFonts w:ascii="Helvetica" w:hAnsi="Helvetica" w:cs="Helvetica"/>
              </w:rPr>
            </w:pPr>
            <w:r w:rsidRPr="00735F44">
              <w:rPr>
                <w:rFonts w:ascii="Helvetica" w:hAnsi="Helvetica" w:cs="Helvetica"/>
                <w:color w:val="000000"/>
              </w:rPr>
              <w:t>0.5123</w:t>
            </w:r>
          </w:p>
        </w:tc>
      </w:tr>
      <w:tr w:rsidR="00FE0A8E" w:rsidRPr="00410093" w14:paraId="4E66C154" w14:textId="77777777" w:rsidTr="00FE0A8E">
        <w:tc>
          <w:tcPr>
            <w:tcW w:w="2561" w:type="dxa"/>
            <w:vAlign w:val="bottom"/>
          </w:tcPr>
          <w:p w14:paraId="3740C948" w14:textId="675926C4" w:rsidR="00FE0A8E" w:rsidRPr="00735F44" w:rsidRDefault="00FE0A8E" w:rsidP="00FE0A8E">
            <w:pPr>
              <w:rPr>
                <w:rFonts w:ascii="Helvetica" w:hAnsi="Helvetica" w:cs="Helvetica"/>
              </w:rPr>
            </w:pPr>
            <w:r w:rsidRPr="00735F44">
              <w:rPr>
                <w:rFonts w:ascii="Helvetica" w:hAnsi="Helvetica" w:cs="Helvetica"/>
                <w:color w:val="000000"/>
              </w:rPr>
              <w:t>444</w:t>
            </w:r>
          </w:p>
        </w:tc>
        <w:tc>
          <w:tcPr>
            <w:tcW w:w="2208" w:type="dxa"/>
            <w:vAlign w:val="bottom"/>
          </w:tcPr>
          <w:p w14:paraId="4B769237" w14:textId="317EBAB5" w:rsidR="00FE0A8E" w:rsidRPr="00735F44" w:rsidRDefault="00FE0A8E" w:rsidP="00FE0A8E">
            <w:pPr>
              <w:rPr>
                <w:rFonts w:ascii="Helvetica" w:hAnsi="Helvetica" w:cs="Helvetica"/>
              </w:rPr>
            </w:pPr>
            <w:r w:rsidRPr="00735F44">
              <w:rPr>
                <w:rFonts w:ascii="Helvetica" w:hAnsi="Helvetica" w:cs="Helvetica"/>
                <w:color w:val="000000"/>
              </w:rPr>
              <w:t>252</w:t>
            </w:r>
          </w:p>
        </w:tc>
        <w:tc>
          <w:tcPr>
            <w:tcW w:w="2193" w:type="dxa"/>
            <w:vAlign w:val="bottom"/>
          </w:tcPr>
          <w:p w14:paraId="1A066A68" w14:textId="14D96CCA" w:rsidR="00FE0A8E" w:rsidRPr="00735F44" w:rsidRDefault="00FE0A8E" w:rsidP="00FE0A8E">
            <w:pPr>
              <w:rPr>
                <w:rFonts w:ascii="Helvetica" w:hAnsi="Helvetica" w:cs="Helvetica"/>
              </w:rPr>
            </w:pPr>
            <w:r w:rsidRPr="00735F44">
              <w:rPr>
                <w:rFonts w:ascii="Helvetica" w:hAnsi="Helvetica" w:cs="Helvetica"/>
                <w:color w:val="000000"/>
              </w:rPr>
              <w:t>547</w:t>
            </w:r>
          </w:p>
        </w:tc>
        <w:tc>
          <w:tcPr>
            <w:tcW w:w="1953" w:type="dxa"/>
            <w:vAlign w:val="bottom"/>
          </w:tcPr>
          <w:p w14:paraId="3CA5AC3E" w14:textId="254F4A2C" w:rsidR="00FE0A8E" w:rsidRPr="00735F44" w:rsidRDefault="00FE0A8E" w:rsidP="00FE0A8E">
            <w:pPr>
              <w:rPr>
                <w:rFonts w:ascii="Helvetica" w:hAnsi="Helvetica" w:cs="Helvetica"/>
              </w:rPr>
            </w:pPr>
            <w:r w:rsidRPr="00735F44">
              <w:rPr>
                <w:rFonts w:ascii="Helvetica" w:hAnsi="Helvetica" w:cs="Helvetica"/>
                <w:color w:val="000000"/>
              </w:rPr>
              <w:t>0.620677966</w:t>
            </w:r>
          </w:p>
        </w:tc>
        <w:tc>
          <w:tcPr>
            <w:tcW w:w="1875" w:type="dxa"/>
            <w:vAlign w:val="bottom"/>
          </w:tcPr>
          <w:p w14:paraId="1ED437A0" w14:textId="0DF607A2" w:rsidR="00FE0A8E" w:rsidRPr="00735F44" w:rsidRDefault="00FE0A8E" w:rsidP="00FE0A8E">
            <w:pPr>
              <w:rPr>
                <w:rFonts w:ascii="Helvetica" w:hAnsi="Helvetica" w:cs="Helvetica"/>
              </w:rPr>
            </w:pPr>
            <w:r w:rsidRPr="00735F44">
              <w:rPr>
                <w:rFonts w:ascii="Helvetica" w:hAnsi="Helvetica" w:cs="Helvetica"/>
                <w:color w:val="000000"/>
              </w:rPr>
              <w:t>0.4301</w:t>
            </w:r>
          </w:p>
        </w:tc>
      </w:tr>
    </w:tbl>
    <w:p w14:paraId="2C94CD64" w14:textId="00DC038F" w:rsidR="00242120" w:rsidRPr="005E3C84" w:rsidRDefault="0002730F" w:rsidP="005E3C84">
      <w:pPr>
        <w:jc w:val="center"/>
        <w:rPr>
          <w:rFonts w:ascii="Times New Roman" w:hAnsi="Times New Roman" w:cs="Times New Roman"/>
          <w:i/>
          <w:iCs/>
          <w:sz w:val="20"/>
          <w:szCs w:val="20"/>
        </w:rPr>
      </w:pPr>
      <w:r w:rsidRPr="00410093">
        <w:rPr>
          <w:rFonts w:ascii="Times New Roman" w:hAnsi="Times New Roman" w:cs="Times New Roman"/>
          <w:i/>
          <w:iCs/>
          <w:sz w:val="20"/>
          <w:szCs w:val="20"/>
        </w:rPr>
        <w:t xml:space="preserve">Figure </w:t>
      </w:r>
      <w:r>
        <w:rPr>
          <w:rFonts w:ascii="Times New Roman" w:hAnsi="Times New Roman" w:cs="Times New Roman"/>
          <w:i/>
          <w:iCs/>
          <w:sz w:val="20"/>
          <w:szCs w:val="20"/>
        </w:rPr>
        <w:t>5</w:t>
      </w:r>
      <w:r w:rsidRPr="00410093">
        <w:rPr>
          <w:rFonts w:ascii="Times New Roman" w:hAnsi="Times New Roman" w:cs="Times New Roman"/>
          <w:i/>
          <w:iCs/>
          <w:sz w:val="20"/>
          <w:szCs w:val="20"/>
        </w:rPr>
        <w:t xml:space="preserve">: Table Head &amp; Tail of </w:t>
      </w:r>
      <w:r w:rsidR="001442CB">
        <w:rPr>
          <w:rFonts w:ascii="Times New Roman" w:hAnsi="Times New Roman" w:cs="Times New Roman"/>
          <w:i/>
          <w:iCs/>
          <w:sz w:val="20"/>
          <w:szCs w:val="20"/>
        </w:rPr>
        <w:t>model data.</w:t>
      </w:r>
    </w:p>
    <w:p w14:paraId="7E8E3027" w14:textId="701F3860" w:rsidR="00783A1B" w:rsidRDefault="00CD641E" w:rsidP="002B6F18">
      <w:pPr>
        <w:jc w:val="center"/>
        <w:rPr>
          <w:rFonts w:ascii="Times New Roman" w:hAnsi="Times New Roman" w:cs="Times New Roman"/>
          <w:sz w:val="20"/>
          <w:szCs w:val="20"/>
        </w:rPr>
      </w:pPr>
      <w:r w:rsidRPr="00410093">
        <w:rPr>
          <w:rFonts w:ascii="Times New Roman" w:hAnsi="Times New Roman" w:cs="Times New Roman"/>
          <w:noProof/>
          <w:sz w:val="20"/>
          <w:szCs w:val="20"/>
        </w:rPr>
        <w:lastRenderedPageBreak/>
        <w:drawing>
          <wp:inline distT="0" distB="0" distL="0" distR="0" wp14:anchorId="78C2A32C" wp14:editId="7BFF2A0B">
            <wp:extent cx="4945035" cy="3810000"/>
            <wp:effectExtent l="19050" t="19050" r="27305" b="19050"/>
            <wp:docPr id="1670775296"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75296" name="Picture 1" descr="A picture containing text, diagram, screenshot, line&#10;&#10;Description automatically generated"/>
                    <pic:cNvPicPr/>
                  </pic:nvPicPr>
                  <pic:blipFill>
                    <a:blip r:embed="rId10"/>
                    <a:stretch>
                      <a:fillRect/>
                    </a:stretch>
                  </pic:blipFill>
                  <pic:spPr>
                    <a:xfrm>
                      <a:off x="0" y="0"/>
                      <a:ext cx="4950034" cy="3813852"/>
                    </a:xfrm>
                    <a:prstGeom prst="rect">
                      <a:avLst/>
                    </a:prstGeom>
                    <a:ln>
                      <a:solidFill>
                        <a:schemeClr val="tx1"/>
                      </a:solidFill>
                    </a:ln>
                  </pic:spPr>
                </pic:pic>
              </a:graphicData>
            </a:graphic>
          </wp:inline>
        </w:drawing>
      </w:r>
    </w:p>
    <w:p w14:paraId="1447B29C" w14:textId="16B64749" w:rsidR="005E3C84" w:rsidRPr="00410093" w:rsidRDefault="005E3C84" w:rsidP="005E3C84">
      <w:pPr>
        <w:jc w:val="center"/>
        <w:rPr>
          <w:rFonts w:ascii="Times New Roman" w:hAnsi="Times New Roman" w:cs="Times New Roman"/>
          <w:i/>
          <w:iCs/>
          <w:sz w:val="20"/>
          <w:szCs w:val="20"/>
        </w:rPr>
      </w:pPr>
      <w:r w:rsidRPr="00410093">
        <w:rPr>
          <w:rFonts w:ascii="Times New Roman" w:hAnsi="Times New Roman" w:cs="Times New Roman"/>
          <w:i/>
          <w:iCs/>
          <w:sz w:val="20"/>
          <w:szCs w:val="20"/>
        </w:rPr>
        <w:t xml:space="preserve">Figure </w:t>
      </w:r>
      <w:r>
        <w:rPr>
          <w:rFonts w:ascii="Times New Roman" w:hAnsi="Times New Roman" w:cs="Times New Roman"/>
          <w:i/>
          <w:iCs/>
          <w:sz w:val="20"/>
          <w:szCs w:val="20"/>
        </w:rPr>
        <w:t>6</w:t>
      </w:r>
      <w:r w:rsidRPr="00410093">
        <w:rPr>
          <w:rFonts w:ascii="Times New Roman" w:hAnsi="Times New Roman" w:cs="Times New Roman"/>
          <w:i/>
          <w:iCs/>
          <w:sz w:val="20"/>
          <w:szCs w:val="20"/>
        </w:rPr>
        <w:t xml:space="preserve">: </w:t>
      </w:r>
      <w:r w:rsidR="00E30CD0">
        <w:rPr>
          <w:rFonts w:ascii="Times New Roman" w:hAnsi="Times New Roman" w:cs="Times New Roman"/>
          <w:i/>
          <w:iCs/>
          <w:sz w:val="20"/>
          <w:szCs w:val="20"/>
        </w:rPr>
        <w:t>Linear Regression Model (Occupancy Rate ~ Normalized Price)</w:t>
      </w:r>
    </w:p>
    <w:p w14:paraId="453A88E8" w14:textId="77777777" w:rsidR="00AB1207" w:rsidRPr="00410093" w:rsidRDefault="00AB1207" w:rsidP="00AB1207">
      <w:pPr>
        <w:rPr>
          <w:rFonts w:ascii="Times New Roman" w:hAnsi="Times New Roman" w:cs="Times New Roman"/>
          <w:sz w:val="20"/>
          <w:szCs w:val="20"/>
        </w:rPr>
      </w:pPr>
    </w:p>
    <w:p w14:paraId="08B10042" w14:textId="4A5575BB" w:rsidR="00DE3B43" w:rsidRPr="00410093" w:rsidRDefault="00A1044C" w:rsidP="00AB1207">
      <w:pPr>
        <w:rPr>
          <w:rFonts w:ascii="Times New Roman" w:hAnsi="Times New Roman" w:cs="Times New Roman"/>
          <w:b/>
          <w:bCs/>
        </w:rPr>
      </w:pPr>
      <w:r w:rsidRPr="00410093">
        <w:rPr>
          <w:rFonts w:ascii="Times New Roman" w:hAnsi="Times New Roman" w:cs="Times New Roman"/>
          <w:b/>
          <w:bCs/>
        </w:rPr>
        <w:t>Using Regression Coefficients to Calculate Optimal Nightly Short-Term Rental Prices</w:t>
      </w:r>
    </w:p>
    <w:p w14:paraId="7A016BCD" w14:textId="4C253240" w:rsidR="00507A18" w:rsidRPr="00410093" w:rsidRDefault="007563DB" w:rsidP="00AB1207">
      <w:pPr>
        <w:rPr>
          <w:rFonts w:ascii="Times New Roman" w:hAnsi="Times New Roman" w:cs="Times New Roman"/>
        </w:rPr>
      </w:pPr>
      <w:r w:rsidRPr="00410093">
        <w:rPr>
          <w:rFonts w:ascii="Times New Roman" w:hAnsi="Times New Roman" w:cs="Times New Roman"/>
        </w:rPr>
        <w:t xml:space="preserve">Now that we have a linear regression equation to forecast occupancy rates using normalized prices, we can use our regression coefficients to estimate </w:t>
      </w:r>
      <w:r w:rsidR="00662AE9" w:rsidRPr="00410093">
        <w:rPr>
          <w:rFonts w:ascii="Times New Roman" w:hAnsi="Times New Roman" w:cs="Times New Roman"/>
        </w:rPr>
        <w:t>the maximum annual gross revenue for short-term properties. To calculate annual gross revenue, we used the following formula:</w:t>
      </w:r>
    </w:p>
    <w:p w14:paraId="56071CE9" w14:textId="2D1E9FF6" w:rsidR="00662AE9" w:rsidRPr="00410093" w:rsidRDefault="00624394" w:rsidP="00AB1207">
      <w:pPr>
        <w:rPr>
          <w:rFonts w:ascii="Times New Roman" w:eastAsiaTheme="minorEastAsia" w:hAnsi="Times New Roman" w:cs="Times New Roman"/>
        </w:rPr>
      </w:pPr>
      <m:oMathPara>
        <m:oMath>
          <m:r>
            <w:rPr>
              <w:rFonts w:ascii="Cambria Math" w:hAnsi="Cambria Math"/>
            </w:rPr>
            <m:t>Annual Gross Revenue = Nominal Nightly Rate * Occupancy Rate * 365</m:t>
          </m:r>
        </m:oMath>
      </m:oMathPara>
    </w:p>
    <w:p w14:paraId="5A6EC7C0" w14:textId="77777777" w:rsidR="00374B45" w:rsidRPr="00410093" w:rsidRDefault="00374B45" w:rsidP="00AB1207">
      <w:pPr>
        <w:rPr>
          <w:rFonts w:ascii="Times New Roman" w:eastAsiaTheme="minorEastAsia" w:hAnsi="Times New Roman" w:cs="Times New Roman"/>
        </w:rPr>
      </w:pPr>
    </w:p>
    <w:p w14:paraId="1E1C5F92" w14:textId="3F9458CD" w:rsidR="000F6FA0" w:rsidRPr="00410093" w:rsidRDefault="002E4070" w:rsidP="00AB1207">
      <w:pPr>
        <w:rPr>
          <w:rFonts w:ascii="Times New Roman" w:eastAsiaTheme="minorEastAsia" w:hAnsi="Times New Roman" w:cs="Times New Roman"/>
        </w:rPr>
      </w:pPr>
      <w:r w:rsidRPr="00410093">
        <w:rPr>
          <w:rFonts w:ascii="Times New Roman" w:eastAsiaTheme="minorEastAsia" w:hAnsi="Times New Roman" w:cs="Times New Roman"/>
        </w:rPr>
        <w:t>We know that Nominal Nightly Rate and Occupancy can be calculated with the following formulas:</w:t>
      </w:r>
    </w:p>
    <w:p w14:paraId="1A7834E9" w14:textId="77777777" w:rsidR="00CC6C1E" w:rsidRPr="00410093" w:rsidRDefault="00CC6C1E" w:rsidP="00AB1207">
      <w:pPr>
        <w:rPr>
          <w:rFonts w:ascii="Times New Roman" w:eastAsiaTheme="minorEastAsia" w:hAnsi="Times New Roman" w:cs="Times New Roman"/>
        </w:rPr>
      </w:pPr>
    </w:p>
    <w:p w14:paraId="63A36DED" w14:textId="2447BAC3" w:rsidR="00E33976" w:rsidRPr="00410093" w:rsidRDefault="00E33976" w:rsidP="00E33976">
      <w:pPr>
        <w:jc w:val="center"/>
        <w:rPr>
          <w:rFonts w:ascii="Times New Roman" w:eastAsiaTheme="minorEastAsia" w:hAnsi="Times New Roman" w:cs="Times New Roman"/>
        </w:rPr>
      </w:pPr>
      <w:r w:rsidRPr="00410093">
        <w:rPr>
          <w:rFonts w:ascii="Times New Roman" w:eastAsiaTheme="minorEastAsia" w:hAnsi="Times New Roman" w:cs="Times New Roman"/>
        </w:rPr>
        <w:t>Nominal Nightly Rate</w:t>
      </w:r>
      <w:r w:rsidR="00DE3B43">
        <w:rPr>
          <w:rFonts w:ascii="Times New Roman" w:eastAsiaTheme="minorEastAsia" w:hAnsi="Times New Roman" w:cs="Times New Roman"/>
        </w:rPr>
        <w:t xml:space="preserve"> =</w:t>
      </w:r>
    </w:p>
    <w:p w14:paraId="1250DAC3" w14:textId="75F1AFF6" w:rsidR="000F6FA0" w:rsidRPr="00410093" w:rsidRDefault="0016173E" w:rsidP="00E33976">
      <w:pPr>
        <w:ind w:right="-180" w:hanging="9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((Normalized_price – 0.1) / 0.8) * (percentile_90th_price – percentile_10th_price) + percentile_10th_price</m:t>
          </m:r>
        </m:oMath>
      </m:oMathPara>
    </w:p>
    <w:p w14:paraId="3DB9FDAE" w14:textId="77777777" w:rsidR="00E33976" w:rsidRPr="00410093" w:rsidRDefault="00E33976" w:rsidP="00E33976">
      <w:pPr>
        <w:ind w:right="-180" w:hanging="90"/>
        <w:jc w:val="center"/>
        <w:rPr>
          <w:rFonts w:ascii="Times New Roman" w:eastAsiaTheme="minorEastAsia" w:hAnsi="Times New Roman" w:cs="Times New Roman"/>
        </w:rPr>
      </w:pPr>
    </w:p>
    <w:p w14:paraId="45D79032" w14:textId="618D1B42" w:rsidR="00E33976" w:rsidRPr="00410093" w:rsidRDefault="00E33976" w:rsidP="00E33976">
      <w:pPr>
        <w:ind w:right="-180" w:hanging="90"/>
        <w:jc w:val="center"/>
        <w:rPr>
          <w:rFonts w:ascii="Times New Roman" w:eastAsiaTheme="minorEastAsia" w:hAnsi="Times New Roman" w:cs="Times New Roman"/>
        </w:rPr>
      </w:pPr>
      <w:r w:rsidRPr="00410093">
        <w:rPr>
          <w:rFonts w:ascii="Times New Roman" w:eastAsiaTheme="minorEastAsia" w:hAnsi="Times New Roman" w:cs="Times New Roman"/>
        </w:rPr>
        <w:t>Occupancy Rate</w:t>
      </w:r>
      <w:r w:rsidR="00DE3B43">
        <w:rPr>
          <w:rFonts w:ascii="Times New Roman" w:eastAsiaTheme="minorEastAsia" w:hAnsi="Times New Roman" w:cs="Times New Roman"/>
        </w:rPr>
        <w:t xml:space="preserve"> =</w:t>
      </w:r>
    </w:p>
    <w:p w14:paraId="6DAE79BB" w14:textId="342251F7" w:rsidR="000F6FA0" w:rsidRPr="00410093" w:rsidRDefault="00326B50" w:rsidP="00AB1207">
      <w:pPr>
        <w:rPr>
          <w:rFonts w:ascii="Times New Roman" w:eastAsiaTheme="minorEastAsia" w:hAnsi="Times New Roman" w:cs="Times New Roman"/>
        </w:rPr>
      </w:pPr>
      <m:oMathPara>
        <m:oMath>
          <m:r>
            <w:rPr>
              <w:rFonts w:ascii="Cambria Math" w:hAnsi="Cambria Math" w:cs="Times New Roman"/>
            </w:rPr>
            <m:t>(-0.7917*normalized_price)+0.8507</m:t>
          </m:r>
        </m:oMath>
      </m:oMathPara>
    </w:p>
    <w:p w14:paraId="4001EF92" w14:textId="77777777" w:rsidR="000F6FA0" w:rsidRPr="00410093" w:rsidRDefault="000F6FA0" w:rsidP="00AB1207">
      <w:pPr>
        <w:rPr>
          <w:rFonts w:ascii="Times New Roman" w:eastAsiaTheme="minorEastAsia" w:hAnsi="Times New Roman" w:cs="Times New Roman"/>
        </w:rPr>
      </w:pPr>
    </w:p>
    <w:p w14:paraId="2C8E60B8" w14:textId="77777777" w:rsidR="00F8253B" w:rsidRDefault="00F8253B" w:rsidP="00AB1207">
      <w:pPr>
        <w:rPr>
          <w:rFonts w:ascii="Times New Roman" w:eastAsiaTheme="minorEastAsia" w:hAnsi="Times New Roman" w:cs="Times New Roman"/>
        </w:rPr>
      </w:pPr>
    </w:p>
    <w:p w14:paraId="2D9F5441" w14:textId="77777777" w:rsidR="00F8253B" w:rsidRDefault="00F8253B" w:rsidP="00AB1207">
      <w:pPr>
        <w:rPr>
          <w:rFonts w:ascii="Times New Roman" w:eastAsiaTheme="minorEastAsia" w:hAnsi="Times New Roman" w:cs="Times New Roman"/>
        </w:rPr>
      </w:pPr>
    </w:p>
    <w:p w14:paraId="68422C32" w14:textId="77777777" w:rsidR="00F8253B" w:rsidRDefault="00F8253B" w:rsidP="00AB1207">
      <w:pPr>
        <w:rPr>
          <w:rFonts w:ascii="Times New Roman" w:eastAsiaTheme="minorEastAsia" w:hAnsi="Times New Roman" w:cs="Times New Roman"/>
        </w:rPr>
      </w:pPr>
    </w:p>
    <w:p w14:paraId="030823FC" w14:textId="77777777" w:rsidR="00F8253B" w:rsidRDefault="00F8253B" w:rsidP="00AB1207">
      <w:pPr>
        <w:rPr>
          <w:rFonts w:ascii="Times New Roman" w:eastAsiaTheme="minorEastAsia" w:hAnsi="Times New Roman" w:cs="Times New Roman"/>
        </w:rPr>
      </w:pPr>
    </w:p>
    <w:p w14:paraId="7A52ED55" w14:textId="77777777" w:rsidR="00F8253B" w:rsidRDefault="00F8253B" w:rsidP="00AB1207">
      <w:pPr>
        <w:rPr>
          <w:rFonts w:ascii="Times New Roman" w:eastAsiaTheme="minorEastAsia" w:hAnsi="Times New Roman" w:cs="Times New Roman"/>
        </w:rPr>
      </w:pPr>
    </w:p>
    <w:p w14:paraId="24249159" w14:textId="77777777" w:rsidR="001A0311" w:rsidRDefault="001A0311" w:rsidP="00AB1207">
      <w:pPr>
        <w:rPr>
          <w:rFonts w:ascii="Times New Roman" w:eastAsiaTheme="minorEastAsia" w:hAnsi="Times New Roman" w:cs="Times New Roman"/>
        </w:rPr>
      </w:pPr>
    </w:p>
    <w:p w14:paraId="0754BF67" w14:textId="6A592E52" w:rsidR="000922BB" w:rsidRPr="00410093" w:rsidRDefault="00406B1F" w:rsidP="00AB1207">
      <w:pPr>
        <w:rPr>
          <w:rFonts w:ascii="Times New Roman" w:eastAsiaTheme="minorEastAsia" w:hAnsi="Times New Roman" w:cs="Times New Roman"/>
        </w:rPr>
      </w:pPr>
      <w:r w:rsidRPr="00410093">
        <w:rPr>
          <w:rFonts w:ascii="Times New Roman" w:eastAsiaTheme="minorEastAsia" w:hAnsi="Times New Roman" w:cs="Times New Roman"/>
        </w:rPr>
        <w:t xml:space="preserve">Combining these two formulas with a bit of calculus </w:t>
      </w:r>
      <w:r w:rsidR="00E7451A" w:rsidRPr="00410093">
        <w:rPr>
          <w:rFonts w:ascii="Times New Roman" w:eastAsiaTheme="minorEastAsia" w:hAnsi="Times New Roman" w:cs="Times New Roman"/>
        </w:rPr>
        <w:t xml:space="preserve">gives us a method to calculate the Optimal Nightly Price </w:t>
      </w:r>
      <w:r w:rsidR="00204E52" w:rsidRPr="00410093">
        <w:rPr>
          <w:rFonts w:ascii="Times New Roman" w:eastAsiaTheme="minorEastAsia" w:hAnsi="Times New Roman" w:cs="Times New Roman"/>
        </w:rPr>
        <w:t>that maximizes the occupancy rate and annual gross revenue</w:t>
      </w:r>
      <w:r w:rsidR="00036605" w:rsidRPr="00410093">
        <w:rPr>
          <w:rFonts w:ascii="Times New Roman" w:eastAsiaTheme="minorEastAsia" w:hAnsi="Times New Roman" w:cs="Times New Roman"/>
        </w:rPr>
        <w:t>:</w:t>
      </w:r>
    </w:p>
    <w:p w14:paraId="161CF0DB" w14:textId="77777777" w:rsidR="000922BB" w:rsidRPr="00410093" w:rsidRDefault="000922BB" w:rsidP="000922BB">
      <w:pPr>
        <w:rPr>
          <w:rFonts w:ascii="Times New Roman" w:hAnsi="Times New Roman" w:cs="Times New Roman"/>
          <w:sz w:val="20"/>
          <w:szCs w:val="20"/>
        </w:rPr>
      </w:pPr>
      <m:oMathPara>
        <m:oMath>
          <m:r>
            <w:rPr>
              <w:rFonts w:ascii="Cambria Math" w:eastAsiaTheme="minorEastAsia" w:hAnsi="Cambria Math" w:cs="Times New Roman"/>
              <w:sz w:val="20"/>
              <w:szCs w:val="20"/>
            </w:rPr>
            <m:t>(β*((10</m:t>
          </m:r>
          <m:r>
            <w:rPr>
              <w:rFonts w:ascii="Cambria Math" w:eastAsiaTheme="minorEastAsia" w:hAnsi="Cambria Math" w:cs="Times New Roman"/>
              <w:sz w:val="20"/>
              <w:szCs w:val="20"/>
              <w:vertAlign w:val="superscript"/>
            </w:rPr>
            <m:t>th</m:t>
          </m:r>
          <m:r>
            <w:rPr>
              <w:rFonts w:ascii="Cambria Math" w:eastAsiaTheme="minorEastAsia" w:hAnsi="Cambria Math" w:cs="Times New Roman"/>
              <w:sz w:val="20"/>
              <w:szCs w:val="20"/>
            </w:rPr>
            <m:t xml:space="preserve"> - ((90th– 10th)/8)))/(1.25*(90th – 10th)) – α)*[(1.25*(90th – 10th))/(2*Beta)</m:t>
          </m:r>
        </m:oMath>
      </m:oMathPara>
    </w:p>
    <w:p w14:paraId="4B288BC3" w14:textId="4CDB7364" w:rsidR="00E33976" w:rsidRDefault="00036605" w:rsidP="00AB1207">
      <w:pPr>
        <w:pBdr>
          <w:bottom w:val="single" w:sz="12" w:space="1" w:color="auto"/>
        </w:pBdr>
        <w:rPr>
          <w:rFonts w:ascii="Times New Roman" w:eastAsiaTheme="minorEastAsia" w:hAnsi="Times New Roman" w:cs="Times New Roman"/>
        </w:rPr>
      </w:pPr>
      <w:r w:rsidRPr="00410093">
        <w:rPr>
          <w:rFonts w:ascii="Times New Roman" w:eastAsiaTheme="minorEastAsia" w:hAnsi="Times New Roman" w:cs="Times New Roman"/>
        </w:rPr>
        <w:t>We should note that this formula accounts for the 20% of missing price range values (0-10</w:t>
      </w:r>
      <w:r w:rsidRPr="00410093">
        <w:rPr>
          <w:rFonts w:ascii="Times New Roman" w:eastAsiaTheme="minorEastAsia" w:hAnsi="Times New Roman" w:cs="Times New Roman"/>
          <w:vertAlign w:val="superscript"/>
        </w:rPr>
        <w:t>th</w:t>
      </w:r>
      <w:r w:rsidRPr="00410093">
        <w:rPr>
          <w:rFonts w:ascii="Times New Roman" w:eastAsiaTheme="minorEastAsia" w:hAnsi="Times New Roman" w:cs="Times New Roman"/>
        </w:rPr>
        <w:t xml:space="preserve"> &amp; 90-100</w:t>
      </w:r>
      <w:r w:rsidRPr="00410093">
        <w:rPr>
          <w:rFonts w:ascii="Times New Roman" w:eastAsiaTheme="minorEastAsia" w:hAnsi="Times New Roman" w:cs="Times New Roman"/>
          <w:vertAlign w:val="superscript"/>
        </w:rPr>
        <w:t>th</w:t>
      </w:r>
      <w:r w:rsidRPr="00410093">
        <w:rPr>
          <w:rFonts w:ascii="Times New Roman" w:eastAsiaTheme="minorEastAsia" w:hAnsi="Times New Roman" w:cs="Times New Roman"/>
        </w:rPr>
        <w:t>)</w:t>
      </w:r>
      <w:r w:rsidR="00AC0C4D" w:rsidRPr="00410093">
        <w:rPr>
          <w:rFonts w:ascii="Times New Roman" w:eastAsiaTheme="minorEastAsia" w:hAnsi="Times New Roman" w:cs="Times New Roman"/>
        </w:rPr>
        <w:t xml:space="preserve">. </w:t>
      </w:r>
      <w:r w:rsidR="006846FE" w:rsidRPr="00410093">
        <w:rPr>
          <w:rFonts w:ascii="Times New Roman" w:eastAsiaTheme="minorEastAsia" w:hAnsi="Times New Roman" w:cs="Times New Roman"/>
        </w:rPr>
        <w:t>Any</w:t>
      </w:r>
      <w:r w:rsidR="00AC0C4D" w:rsidRPr="00410093">
        <w:rPr>
          <w:rFonts w:ascii="Times New Roman" w:eastAsiaTheme="minorEastAsia" w:hAnsi="Times New Roman" w:cs="Times New Roman"/>
        </w:rPr>
        <w:t xml:space="preserve"> </w:t>
      </w:r>
      <w:r w:rsidR="00A06293" w:rsidRPr="00410093">
        <w:rPr>
          <w:rFonts w:ascii="Times New Roman" w:eastAsiaTheme="minorEastAsia" w:hAnsi="Times New Roman" w:cs="Times New Roman"/>
        </w:rPr>
        <w:t xml:space="preserve">predicted optimal nightly </w:t>
      </w:r>
      <w:r w:rsidR="00AC0C4D" w:rsidRPr="00410093">
        <w:rPr>
          <w:rFonts w:ascii="Times New Roman" w:eastAsiaTheme="minorEastAsia" w:hAnsi="Times New Roman" w:cs="Times New Roman"/>
        </w:rPr>
        <w:t xml:space="preserve">prices that resulted in a normalized price less than 0.1 </w:t>
      </w:r>
      <w:r w:rsidR="00626A58" w:rsidRPr="00410093">
        <w:rPr>
          <w:rFonts w:ascii="Times New Roman" w:eastAsiaTheme="minorEastAsia" w:hAnsi="Times New Roman" w:cs="Times New Roman"/>
        </w:rPr>
        <w:t xml:space="preserve">were manually </w:t>
      </w:r>
      <w:r w:rsidR="006846FE" w:rsidRPr="00410093">
        <w:rPr>
          <w:rFonts w:ascii="Times New Roman" w:eastAsiaTheme="minorEastAsia" w:hAnsi="Times New Roman" w:cs="Times New Roman"/>
        </w:rPr>
        <w:t>defaulted</w:t>
      </w:r>
      <w:r w:rsidR="00626A58" w:rsidRPr="00410093">
        <w:rPr>
          <w:rFonts w:ascii="Times New Roman" w:eastAsiaTheme="minorEastAsia" w:hAnsi="Times New Roman" w:cs="Times New Roman"/>
        </w:rPr>
        <w:t xml:space="preserve"> to a normalized price of 0.1.</w:t>
      </w:r>
      <w:r w:rsidR="00A06293" w:rsidRPr="00410093">
        <w:rPr>
          <w:rFonts w:ascii="Times New Roman" w:eastAsiaTheme="minorEastAsia" w:hAnsi="Times New Roman" w:cs="Times New Roman"/>
        </w:rPr>
        <w:t xml:space="preserve"> </w:t>
      </w:r>
      <w:r w:rsidR="00D05286" w:rsidRPr="00410093">
        <w:rPr>
          <w:rFonts w:ascii="Times New Roman" w:eastAsiaTheme="minorEastAsia" w:hAnsi="Times New Roman" w:cs="Times New Roman"/>
        </w:rPr>
        <w:t xml:space="preserve">This method could also be achieved using MS Solver Add-In for Excel with annual gross revenue as the objective cell and optimal nightly price as the </w:t>
      </w:r>
      <w:r w:rsidR="00DC54A2" w:rsidRPr="00410093">
        <w:rPr>
          <w:rFonts w:ascii="Times New Roman" w:eastAsiaTheme="minorEastAsia" w:hAnsi="Times New Roman" w:cs="Times New Roman"/>
        </w:rPr>
        <w:t>variable cell.</w:t>
      </w:r>
    </w:p>
    <w:p w14:paraId="5D758AD3" w14:textId="77777777" w:rsidR="00F8253B" w:rsidRDefault="00F8253B" w:rsidP="00AB1207">
      <w:pPr>
        <w:pBdr>
          <w:bottom w:val="single" w:sz="12" w:space="1" w:color="auto"/>
        </w:pBdr>
        <w:rPr>
          <w:rFonts w:ascii="Times New Roman" w:eastAsiaTheme="minorEastAsia" w:hAnsi="Times New Roman" w:cs="Times New Roman"/>
        </w:rPr>
      </w:pPr>
    </w:p>
    <w:p w14:paraId="32ECBE7C" w14:textId="77777777" w:rsidR="00486B67" w:rsidRPr="00410093" w:rsidRDefault="00486B67" w:rsidP="00AB1207">
      <w:pPr>
        <w:pBdr>
          <w:bottom w:val="single" w:sz="12" w:space="1" w:color="auto"/>
        </w:pBdr>
        <w:rPr>
          <w:rFonts w:ascii="Times New Roman" w:eastAsiaTheme="minorEastAsia" w:hAnsi="Times New Roman" w:cs="Times New Roman"/>
        </w:rPr>
      </w:pPr>
    </w:p>
    <w:p w14:paraId="33E9326F" w14:textId="77777777" w:rsidR="00F8253B" w:rsidRDefault="00F8253B" w:rsidP="00AB1207">
      <w:pPr>
        <w:rPr>
          <w:rFonts w:ascii="Times New Roman" w:eastAsiaTheme="minorEastAsia" w:hAnsi="Times New Roman" w:cs="Times New Roman"/>
          <w:b/>
          <w:bCs/>
        </w:rPr>
      </w:pPr>
    </w:p>
    <w:p w14:paraId="421A7968" w14:textId="0DDC2733" w:rsidR="00892961" w:rsidRPr="00DE3B43" w:rsidRDefault="00892961" w:rsidP="00AB1207">
      <w:pPr>
        <w:rPr>
          <w:rFonts w:ascii="Times New Roman" w:eastAsiaTheme="minorEastAsia" w:hAnsi="Times New Roman" w:cs="Times New Roman"/>
          <w:b/>
          <w:bCs/>
        </w:rPr>
      </w:pPr>
      <w:r w:rsidRPr="00410093">
        <w:rPr>
          <w:rFonts w:ascii="Times New Roman" w:eastAsiaTheme="minorEastAsia" w:hAnsi="Times New Roman" w:cs="Times New Roman"/>
          <w:b/>
          <w:bCs/>
        </w:rPr>
        <w:t>Forecasting Variable Costs per Stay</w:t>
      </w:r>
    </w:p>
    <w:p w14:paraId="7A3B6B9A" w14:textId="51796B73" w:rsidR="00892961" w:rsidRPr="00410093" w:rsidRDefault="009F729F" w:rsidP="00AB1207">
      <w:pPr>
        <w:rPr>
          <w:rFonts w:ascii="Times New Roman" w:eastAsiaTheme="minorEastAsia" w:hAnsi="Times New Roman" w:cs="Times New Roman"/>
        </w:rPr>
      </w:pPr>
      <w:r w:rsidRPr="00410093">
        <w:rPr>
          <w:rFonts w:ascii="Times New Roman" w:eastAsiaTheme="minorEastAsia" w:hAnsi="Times New Roman" w:cs="Times New Roman"/>
        </w:rPr>
        <w:t>Watershed</w:t>
      </w:r>
      <w:r w:rsidR="00AF5F7D" w:rsidRPr="00410093">
        <w:rPr>
          <w:rFonts w:ascii="Times New Roman" w:eastAsiaTheme="minorEastAsia" w:hAnsi="Times New Roman" w:cs="Times New Roman"/>
        </w:rPr>
        <w:t>’s</w:t>
      </w:r>
      <w:r w:rsidRPr="00410093">
        <w:rPr>
          <w:rFonts w:ascii="Times New Roman" w:eastAsiaTheme="minorEastAsia" w:hAnsi="Times New Roman" w:cs="Times New Roman"/>
        </w:rPr>
        <w:t xml:space="preserve"> Financial Department </w:t>
      </w:r>
      <w:r w:rsidR="00B42FB9" w:rsidRPr="00410093">
        <w:rPr>
          <w:rFonts w:ascii="Times New Roman" w:eastAsiaTheme="minorEastAsia" w:hAnsi="Times New Roman" w:cs="Times New Roman"/>
        </w:rPr>
        <w:t xml:space="preserve">has recommended that $100 be expensed for each guest stay (no matter the duration of stay) for </w:t>
      </w:r>
      <w:r w:rsidR="00644CC3" w:rsidRPr="00410093">
        <w:rPr>
          <w:rFonts w:ascii="Times New Roman" w:eastAsiaTheme="minorEastAsia" w:hAnsi="Times New Roman" w:cs="Times New Roman"/>
        </w:rPr>
        <w:t xml:space="preserve">hospitality fees (variable costs). We have </w:t>
      </w:r>
      <w:r w:rsidR="00D2681F" w:rsidRPr="00410093">
        <w:rPr>
          <w:rFonts w:ascii="Times New Roman" w:eastAsiaTheme="minorEastAsia" w:hAnsi="Times New Roman" w:cs="Times New Roman"/>
        </w:rPr>
        <w:t xml:space="preserve">raised the estimate of this expense to $125 to better reflect the </w:t>
      </w:r>
      <w:r w:rsidR="00204FA1" w:rsidRPr="00410093">
        <w:rPr>
          <w:rFonts w:ascii="Times New Roman" w:eastAsiaTheme="minorEastAsia" w:hAnsi="Times New Roman" w:cs="Times New Roman"/>
        </w:rPr>
        <w:t xml:space="preserve">current service inflation in 2023. </w:t>
      </w:r>
      <w:r w:rsidR="004321F5" w:rsidRPr="00410093">
        <w:rPr>
          <w:rFonts w:ascii="Times New Roman" w:eastAsiaTheme="minorEastAsia" w:hAnsi="Times New Roman" w:cs="Times New Roman"/>
        </w:rPr>
        <w:t>To estimate the total annual hospitality fees</w:t>
      </w:r>
      <w:r w:rsidR="005F567A" w:rsidRPr="00410093">
        <w:rPr>
          <w:rFonts w:ascii="Times New Roman" w:eastAsiaTheme="minorEastAsia" w:hAnsi="Times New Roman" w:cs="Times New Roman"/>
        </w:rPr>
        <w:t>,</w:t>
      </w:r>
      <w:r w:rsidR="004321F5" w:rsidRPr="00410093">
        <w:rPr>
          <w:rFonts w:ascii="Times New Roman" w:eastAsiaTheme="minorEastAsia" w:hAnsi="Times New Roman" w:cs="Times New Roman"/>
        </w:rPr>
        <w:t xml:space="preserve"> we use the following formula to </w:t>
      </w:r>
      <w:r w:rsidR="00E57E1B" w:rsidRPr="00410093">
        <w:rPr>
          <w:rFonts w:ascii="Times New Roman" w:eastAsiaTheme="minorEastAsia" w:hAnsi="Times New Roman" w:cs="Times New Roman"/>
        </w:rPr>
        <w:t xml:space="preserve">predict the number of stays a property will </w:t>
      </w:r>
      <w:r w:rsidR="00580832" w:rsidRPr="00410093">
        <w:rPr>
          <w:rFonts w:ascii="Times New Roman" w:eastAsiaTheme="minorEastAsia" w:hAnsi="Times New Roman" w:cs="Times New Roman"/>
        </w:rPr>
        <w:t>endure during a year using an average of 3 night</w:t>
      </w:r>
      <w:r w:rsidR="007E293C" w:rsidRPr="00410093">
        <w:rPr>
          <w:rFonts w:ascii="Times New Roman" w:eastAsiaTheme="minorEastAsia" w:hAnsi="Times New Roman" w:cs="Times New Roman"/>
        </w:rPr>
        <w:t>s per</w:t>
      </w:r>
      <w:r w:rsidR="00580832" w:rsidRPr="00410093">
        <w:rPr>
          <w:rFonts w:ascii="Times New Roman" w:eastAsiaTheme="minorEastAsia" w:hAnsi="Times New Roman" w:cs="Times New Roman"/>
        </w:rPr>
        <w:t xml:space="preserve"> stay and the forecasted optimal occupancy rate. </w:t>
      </w:r>
    </w:p>
    <w:p w14:paraId="7E2206AB" w14:textId="39B57254" w:rsidR="00892961" w:rsidRPr="00410093" w:rsidRDefault="000B2585" w:rsidP="00AB1207">
      <w:pPr>
        <w:rPr>
          <w:rFonts w:ascii="Times New Roman" w:eastAsiaTheme="minorEastAsia" w:hAnsi="Times New Roman" w:cs="Times New Roman"/>
        </w:rPr>
      </w:pPr>
      <m:oMathPara>
        <m:oMath>
          <m:r>
            <w:rPr>
              <w:rFonts w:ascii="Cambria Math" w:eastAsiaTheme="minorEastAsia" w:hAnsi="Cambria Math" w:cs="Times New Roman"/>
            </w:rPr>
            <m:t>Est. Stays per Year=</m:t>
          </m:r>
          <m:f>
            <m:fPr>
              <m:ctrlPr>
                <w:rPr>
                  <w:rFonts w:ascii="Cambria Math" w:eastAsiaTheme="minorEastAsia" w:hAnsi="Cambria Math" w:cs="Times New Roman"/>
                  <w:i/>
                </w:rPr>
              </m:ctrlPr>
            </m:fPr>
            <m:num>
              <m:r>
                <w:rPr>
                  <w:rFonts w:ascii="Cambria Math" w:eastAsiaTheme="minorEastAsia" w:hAnsi="Cambria Math" w:cs="Times New Roman"/>
                </w:rPr>
                <m:t>Occupancy Rate*365</m:t>
              </m:r>
            </m:num>
            <m:den>
              <m:r>
                <w:rPr>
                  <w:rFonts w:ascii="Cambria Math" w:eastAsiaTheme="minorEastAsia" w:hAnsi="Cambria Math" w:cs="Times New Roman"/>
                </w:rPr>
                <m:t>Average Nights per Stay</m:t>
              </m:r>
            </m:den>
          </m:f>
        </m:oMath>
      </m:oMathPara>
    </w:p>
    <w:p w14:paraId="2F22A083" w14:textId="77777777" w:rsidR="000A3E64" w:rsidRDefault="000A3E64" w:rsidP="00AB1207">
      <w:pPr>
        <w:pBdr>
          <w:bottom w:val="single" w:sz="12" w:space="1" w:color="auto"/>
        </w:pBdr>
        <w:rPr>
          <w:rFonts w:ascii="Times New Roman" w:eastAsiaTheme="minorEastAsia" w:hAnsi="Times New Roman" w:cs="Times New Roman"/>
        </w:rPr>
      </w:pPr>
    </w:p>
    <w:p w14:paraId="1055C95F" w14:textId="77777777" w:rsidR="00F8253B" w:rsidRPr="00410093" w:rsidRDefault="00F8253B" w:rsidP="00AB1207">
      <w:pPr>
        <w:pBdr>
          <w:bottom w:val="single" w:sz="12" w:space="1" w:color="auto"/>
        </w:pBdr>
        <w:rPr>
          <w:rFonts w:ascii="Times New Roman" w:eastAsiaTheme="minorEastAsia" w:hAnsi="Times New Roman" w:cs="Times New Roman"/>
        </w:rPr>
      </w:pPr>
    </w:p>
    <w:p w14:paraId="62FD5A42" w14:textId="77777777" w:rsidR="00E81753" w:rsidRDefault="00E81753">
      <w:pPr>
        <w:rPr>
          <w:rFonts w:ascii="Times New Roman" w:hAnsi="Times New Roman" w:cs="Times New Roman"/>
          <w:sz w:val="20"/>
          <w:szCs w:val="20"/>
        </w:rPr>
      </w:pPr>
    </w:p>
    <w:p w14:paraId="16336D1F" w14:textId="77777777" w:rsidR="00F8253B" w:rsidRDefault="00F8253B">
      <w:pPr>
        <w:rPr>
          <w:rFonts w:ascii="Times New Roman" w:hAnsi="Times New Roman" w:cs="Times New Roman"/>
          <w:sz w:val="20"/>
          <w:szCs w:val="20"/>
        </w:rPr>
      </w:pPr>
    </w:p>
    <w:p w14:paraId="3B939A84" w14:textId="77777777" w:rsidR="00F8253B" w:rsidRDefault="00F8253B">
      <w:pPr>
        <w:rPr>
          <w:rFonts w:ascii="Times New Roman" w:hAnsi="Times New Roman" w:cs="Times New Roman"/>
          <w:sz w:val="20"/>
          <w:szCs w:val="20"/>
        </w:rPr>
      </w:pPr>
    </w:p>
    <w:p w14:paraId="714B5DE4" w14:textId="77777777" w:rsidR="00F8253B" w:rsidRDefault="00F8253B">
      <w:pPr>
        <w:rPr>
          <w:rFonts w:ascii="Times New Roman" w:hAnsi="Times New Roman" w:cs="Times New Roman"/>
          <w:sz w:val="20"/>
          <w:szCs w:val="20"/>
        </w:rPr>
      </w:pPr>
    </w:p>
    <w:p w14:paraId="7744FE9E" w14:textId="77777777" w:rsidR="00F8253B" w:rsidRDefault="00F8253B">
      <w:pPr>
        <w:rPr>
          <w:rFonts w:ascii="Times New Roman" w:hAnsi="Times New Roman" w:cs="Times New Roman"/>
          <w:sz w:val="20"/>
          <w:szCs w:val="20"/>
        </w:rPr>
      </w:pPr>
    </w:p>
    <w:p w14:paraId="7E383F50" w14:textId="77777777" w:rsidR="00F8253B" w:rsidRDefault="00F8253B">
      <w:pPr>
        <w:rPr>
          <w:rFonts w:ascii="Times New Roman" w:hAnsi="Times New Roman" w:cs="Times New Roman"/>
          <w:sz w:val="20"/>
          <w:szCs w:val="20"/>
        </w:rPr>
      </w:pPr>
    </w:p>
    <w:p w14:paraId="48519A73" w14:textId="77777777" w:rsidR="00F8253B" w:rsidRDefault="00F8253B">
      <w:pPr>
        <w:rPr>
          <w:rFonts w:ascii="Times New Roman" w:hAnsi="Times New Roman" w:cs="Times New Roman"/>
          <w:sz w:val="20"/>
          <w:szCs w:val="20"/>
        </w:rPr>
      </w:pPr>
    </w:p>
    <w:p w14:paraId="5A3E9B32" w14:textId="77777777" w:rsidR="00F8253B" w:rsidRDefault="00F8253B">
      <w:pPr>
        <w:rPr>
          <w:rFonts w:ascii="Times New Roman" w:hAnsi="Times New Roman" w:cs="Times New Roman"/>
          <w:sz w:val="20"/>
          <w:szCs w:val="20"/>
        </w:rPr>
      </w:pPr>
    </w:p>
    <w:p w14:paraId="32C0B8E0" w14:textId="77777777" w:rsidR="00F8253B" w:rsidRDefault="00F8253B">
      <w:pPr>
        <w:rPr>
          <w:rFonts w:ascii="Times New Roman" w:hAnsi="Times New Roman" w:cs="Times New Roman"/>
          <w:sz w:val="20"/>
          <w:szCs w:val="20"/>
        </w:rPr>
      </w:pPr>
    </w:p>
    <w:p w14:paraId="47CE68B9" w14:textId="77777777" w:rsidR="00F8253B" w:rsidRDefault="00F8253B">
      <w:pPr>
        <w:rPr>
          <w:rFonts w:ascii="Times New Roman" w:hAnsi="Times New Roman" w:cs="Times New Roman"/>
          <w:sz w:val="20"/>
          <w:szCs w:val="20"/>
        </w:rPr>
      </w:pPr>
    </w:p>
    <w:p w14:paraId="58C6806E" w14:textId="77777777" w:rsidR="00F8253B" w:rsidRDefault="00F8253B">
      <w:pPr>
        <w:rPr>
          <w:rFonts w:ascii="Times New Roman" w:hAnsi="Times New Roman" w:cs="Times New Roman"/>
          <w:sz w:val="20"/>
          <w:szCs w:val="20"/>
        </w:rPr>
      </w:pPr>
    </w:p>
    <w:p w14:paraId="1061646C" w14:textId="77777777" w:rsidR="00F8253B" w:rsidRDefault="00F8253B">
      <w:pPr>
        <w:rPr>
          <w:rFonts w:ascii="Times New Roman" w:hAnsi="Times New Roman" w:cs="Times New Roman"/>
          <w:sz w:val="20"/>
          <w:szCs w:val="20"/>
        </w:rPr>
      </w:pPr>
    </w:p>
    <w:p w14:paraId="1FCDDB26" w14:textId="77777777" w:rsidR="00F8253B" w:rsidRDefault="00F8253B">
      <w:pPr>
        <w:rPr>
          <w:rFonts w:ascii="Times New Roman" w:hAnsi="Times New Roman" w:cs="Times New Roman"/>
          <w:sz w:val="20"/>
          <w:szCs w:val="20"/>
        </w:rPr>
      </w:pPr>
    </w:p>
    <w:p w14:paraId="090506EE" w14:textId="77777777" w:rsidR="00F8253B" w:rsidRDefault="00F8253B">
      <w:pPr>
        <w:rPr>
          <w:rFonts w:ascii="Times New Roman" w:hAnsi="Times New Roman" w:cs="Times New Roman"/>
          <w:sz w:val="20"/>
          <w:szCs w:val="20"/>
        </w:rPr>
      </w:pPr>
    </w:p>
    <w:p w14:paraId="6C581A39" w14:textId="77777777" w:rsidR="00F8253B" w:rsidRDefault="00F8253B">
      <w:pPr>
        <w:rPr>
          <w:rFonts w:ascii="Times New Roman" w:hAnsi="Times New Roman" w:cs="Times New Roman"/>
          <w:sz w:val="20"/>
          <w:szCs w:val="20"/>
        </w:rPr>
      </w:pPr>
    </w:p>
    <w:p w14:paraId="2281FA92" w14:textId="77777777" w:rsidR="00F8253B" w:rsidRDefault="00F8253B">
      <w:pPr>
        <w:rPr>
          <w:rFonts w:ascii="Times New Roman" w:hAnsi="Times New Roman" w:cs="Times New Roman"/>
          <w:sz w:val="20"/>
          <w:szCs w:val="20"/>
        </w:rPr>
      </w:pPr>
    </w:p>
    <w:p w14:paraId="312A0F5F" w14:textId="77777777" w:rsidR="00F8253B" w:rsidRPr="00410093" w:rsidRDefault="00F8253B">
      <w:pPr>
        <w:rPr>
          <w:rFonts w:ascii="Times New Roman" w:hAnsi="Times New Roman" w:cs="Times New Roman"/>
          <w:sz w:val="20"/>
          <w:szCs w:val="20"/>
        </w:rPr>
      </w:pPr>
    </w:p>
    <w:p w14:paraId="6DC9AA74" w14:textId="2A4B3CEA" w:rsidR="00E465C2" w:rsidRPr="00DE3B43" w:rsidRDefault="00575C73">
      <w:pPr>
        <w:rPr>
          <w:rFonts w:ascii="Times New Roman" w:hAnsi="Times New Roman" w:cs="Times New Roman"/>
          <w:b/>
          <w:bCs/>
        </w:rPr>
      </w:pPr>
      <w:r w:rsidRPr="00410093">
        <w:rPr>
          <w:rFonts w:ascii="Times New Roman" w:hAnsi="Times New Roman" w:cs="Times New Roman"/>
          <w:b/>
          <w:bCs/>
        </w:rPr>
        <w:t>Forecasting Cash Flow with Optimized Nightly Rents &amp; Occupancy Rates</w:t>
      </w:r>
    </w:p>
    <w:p w14:paraId="5F779B75" w14:textId="36F8C2E9" w:rsidR="00E465C2" w:rsidRPr="00410093" w:rsidRDefault="0062007F">
      <w:pPr>
        <w:rPr>
          <w:rFonts w:ascii="Times New Roman" w:hAnsi="Times New Roman" w:cs="Times New Roman"/>
        </w:rPr>
      </w:pPr>
      <w:r w:rsidRPr="00410093">
        <w:rPr>
          <w:rFonts w:ascii="Times New Roman" w:hAnsi="Times New Roman" w:cs="Times New Roman"/>
        </w:rPr>
        <w:t xml:space="preserve">The following spreadsheet </w:t>
      </w:r>
      <w:r w:rsidR="002B6183" w:rsidRPr="00410093">
        <w:rPr>
          <w:rFonts w:ascii="Times New Roman" w:hAnsi="Times New Roman" w:cs="Times New Roman"/>
        </w:rPr>
        <w:t xml:space="preserve">is a demonstration of the detailed net change in cash flow for one individual property. </w:t>
      </w:r>
      <w:r w:rsidR="00E71968" w:rsidRPr="00410093">
        <w:rPr>
          <w:rFonts w:ascii="Times New Roman" w:hAnsi="Times New Roman" w:cs="Times New Roman"/>
        </w:rPr>
        <w:t xml:space="preserve">Year 1 represents Watershed’s current long-term </w:t>
      </w:r>
      <w:r w:rsidR="002020E8" w:rsidRPr="00410093">
        <w:rPr>
          <w:rFonts w:ascii="Times New Roman" w:hAnsi="Times New Roman" w:cs="Times New Roman"/>
        </w:rPr>
        <w:t xml:space="preserve">rental cash flow at a 97.3% occupancy rate. Year 2 represents </w:t>
      </w:r>
      <w:r w:rsidR="00405DC5" w:rsidRPr="00410093">
        <w:rPr>
          <w:rFonts w:ascii="Times New Roman" w:hAnsi="Times New Roman" w:cs="Times New Roman"/>
        </w:rPr>
        <w:t xml:space="preserve">cash flow during the initial year of </w:t>
      </w:r>
      <w:r w:rsidR="007E4E9E" w:rsidRPr="00410093">
        <w:rPr>
          <w:rFonts w:ascii="Times New Roman" w:hAnsi="Times New Roman" w:cs="Times New Roman"/>
        </w:rPr>
        <w:t>conversion if</w:t>
      </w:r>
      <w:r w:rsidR="00405DC5" w:rsidRPr="00410093">
        <w:rPr>
          <w:rFonts w:ascii="Times New Roman" w:hAnsi="Times New Roman" w:cs="Times New Roman"/>
        </w:rPr>
        <w:t xml:space="preserve"> conversion were to take place at the beginning of fiscal year</w:t>
      </w:r>
      <w:r w:rsidR="00AD39F9" w:rsidRPr="00410093">
        <w:rPr>
          <w:rFonts w:ascii="Times New Roman" w:hAnsi="Times New Roman" w:cs="Times New Roman"/>
        </w:rPr>
        <w:t xml:space="preserve"> 2</w:t>
      </w:r>
      <w:r w:rsidR="00405DC5" w:rsidRPr="00410093">
        <w:rPr>
          <w:rFonts w:ascii="Times New Roman" w:hAnsi="Times New Roman" w:cs="Times New Roman"/>
        </w:rPr>
        <w:t xml:space="preserve">. </w:t>
      </w:r>
      <w:r w:rsidR="0073153C" w:rsidRPr="00410093">
        <w:rPr>
          <w:rFonts w:ascii="Times New Roman" w:hAnsi="Times New Roman" w:cs="Times New Roman"/>
        </w:rPr>
        <w:t>During Year 2</w:t>
      </w:r>
      <w:r w:rsidR="004A24A9" w:rsidRPr="00410093">
        <w:rPr>
          <w:rFonts w:ascii="Times New Roman" w:hAnsi="Times New Roman" w:cs="Times New Roman"/>
        </w:rPr>
        <w:t xml:space="preserve"> </w:t>
      </w:r>
      <w:r w:rsidR="0073153C" w:rsidRPr="00410093">
        <w:rPr>
          <w:rFonts w:ascii="Times New Roman" w:hAnsi="Times New Roman" w:cs="Times New Roman"/>
        </w:rPr>
        <w:t>(conversion year)</w:t>
      </w:r>
      <w:r w:rsidR="004A24A9" w:rsidRPr="00410093">
        <w:rPr>
          <w:rFonts w:ascii="Times New Roman" w:hAnsi="Times New Roman" w:cs="Times New Roman"/>
        </w:rPr>
        <w:t xml:space="preserve">, net change in cash in is calculated from </w:t>
      </w:r>
      <w:r w:rsidR="00DC60BC" w:rsidRPr="00410093">
        <w:rPr>
          <w:rFonts w:ascii="Times New Roman" w:hAnsi="Times New Roman" w:cs="Times New Roman"/>
          <w:b/>
          <w:bCs/>
        </w:rPr>
        <w:t>short-term annual revenue after transaction fees minus long-term annual revenue</w:t>
      </w:r>
      <w:r w:rsidR="00DC60BC" w:rsidRPr="00410093">
        <w:rPr>
          <w:rFonts w:ascii="Times New Roman" w:hAnsi="Times New Roman" w:cs="Times New Roman"/>
        </w:rPr>
        <w:t xml:space="preserve">. </w:t>
      </w:r>
      <w:r w:rsidR="002758C2" w:rsidRPr="00410093">
        <w:rPr>
          <w:rFonts w:ascii="Times New Roman" w:hAnsi="Times New Roman" w:cs="Times New Roman"/>
        </w:rPr>
        <w:t>A</w:t>
      </w:r>
      <w:r w:rsidR="003D5CE1" w:rsidRPr="00410093">
        <w:rPr>
          <w:rFonts w:ascii="Times New Roman" w:hAnsi="Times New Roman" w:cs="Times New Roman"/>
        </w:rPr>
        <w:t xml:space="preserve">n initial CAPEX of $25,000 is spent to convert the property, </w:t>
      </w:r>
      <w:r w:rsidR="00C86142" w:rsidRPr="00410093">
        <w:rPr>
          <w:rFonts w:ascii="Times New Roman" w:hAnsi="Times New Roman" w:cs="Times New Roman"/>
        </w:rPr>
        <w:t xml:space="preserve">and fixed and variable expenses </w:t>
      </w:r>
      <w:r w:rsidR="002758C2" w:rsidRPr="00410093">
        <w:rPr>
          <w:rFonts w:ascii="Times New Roman" w:hAnsi="Times New Roman" w:cs="Times New Roman"/>
        </w:rPr>
        <w:t xml:space="preserve">begin in year 2. The CAPEX is to </w:t>
      </w:r>
      <w:r w:rsidR="00A25D0E" w:rsidRPr="00410093">
        <w:rPr>
          <w:rFonts w:ascii="Times New Roman" w:hAnsi="Times New Roman" w:cs="Times New Roman"/>
        </w:rPr>
        <w:t>depreciate</w:t>
      </w:r>
      <w:r w:rsidR="002758C2" w:rsidRPr="00410093">
        <w:rPr>
          <w:rFonts w:ascii="Times New Roman" w:hAnsi="Times New Roman" w:cs="Times New Roman"/>
        </w:rPr>
        <w:t xml:space="preserve"> over the following 5 years. </w:t>
      </w:r>
    </w:p>
    <w:p w14:paraId="303EBC7D" w14:textId="78877246" w:rsidR="002758C2" w:rsidRDefault="002F35DB">
      <w:pPr>
        <w:rPr>
          <w:rFonts w:ascii="Times New Roman" w:hAnsi="Times New Roman" w:cs="Times New Roman"/>
        </w:rPr>
      </w:pPr>
      <w:r w:rsidRPr="00410093">
        <w:rPr>
          <w:rFonts w:ascii="Times New Roman" w:hAnsi="Times New Roman" w:cs="Times New Roman"/>
        </w:rPr>
        <w:t xml:space="preserve">Years 3 and 4 are identical in cash flow with the exception of no additional CAPEX being spent and the </w:t>
      </w:r>
      <w:r w:rsidR="00D539A0" w:rsidRPr="00410093">
        <w:rPr>
          <w:rFonts w:ascii="Times New Roman" w:hAnsi="Times New Roman" w:cs="Times New Roman"/>
        </w:rPr>
        <w:t xml:space="preserve">commencement </w:t>
      </w:r>
      <w:r w:rsidR="0093408F" w:rsidRPr="00410093">
        <w:rPr>
          <w:rFonts w:ascii="Times New Roman" w:hAnsi="Times New Roman" w:cs="Times New Roman"/>
        </w:rPr>
        <w:t xml:space="preserve">of repair cost expenses </w:t>
      </w:r>
      <w:r w:rsidR="00E647BE" w:rsidRPr="00410093">
        <w:rPr>
          <w:rFonts w:ascii="Times New Roman" w:hAnsi="Times New Roman" w:cs="Times New Roman"/>
        </w:rPr>
        <w:t>at</w:t>
      </w:r>
      <w:r w:rsidR="0093408F" w:rsidRPr="00410093">
        <w:rPr>
          <w:rFonts w:ascii="Times New Roman" w:hAnsi="Times New Roman" w:cs="Times New Roman"/>
        </w:rPr>
        <w:t xml:space="preserve"> $400 monthly or</w:t>
      </w:r>
      <w:r w:rsidRPr="00410093">
        <w:rPr>
          <w:rFonts w:ascii="Times New Roman" w:hAnsi="Times New Roman" w:cs="Times New Roman"/>
        </w:rPr>
        <w:t xml:space="preserve"> $4,800 annually. </w:t>
      </w:r>
    </w:p>
    <w:p w14:paraId="67215EC3" w14:textId="77777777" w:rsidR="00BD6D61" w:rsidRDefault="00BD6D61" w:rsidP="00BD6D61">
      <w:pPr>
        <w:rPr>
          <w:rFonts w:ascii="Times New Roman" w:hAnsi="Times New Roman" w:cs="Times New Roman"/>
        </w:rPr>
      </w:pPr>
    </w:p>
    <w:p w14:paraId="77E78ECD" w14:textId="3F022BE6" w:rsidR="000B170B" w:rsidRPr="00410093" w:rsidRDefault="00BD6D61">
      <w:pPr>
        <w:rPr>
          <w:rFonts w:ascii="Times New Roman" w:hAnsi="Times New Roman" w:cs="Times New Roman"/>
        </w:rPr>
      </w:pPr>
      <w:r w:rsidRPr="00BD6D61">
        <w:rPr>
          <w:rFonts w:ascii="Times New Roman" w:hAnsi="Times New Roman" w:cs="Times New Roman"/>
          <w:noProof/>
        </w:rPr>
        <w:drawing>
          <wp:inline distT="0" distB="0" distL="0" distR="0" wp14:anchorId="2C0E5B64" wp14:editId="3C823DFA">
            <wp:extent cx="6858000" cy="4711700"/>
            <wp:effectExtent l="0" t="0" r="0" b="0"/>
            <wp:docPr id="15819207" name="Picture 1" descr="A screenshot of a financial state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207" name="Picture 1" descr="A screenshot of a financial statement&#10;&#10;Description automatically generated with low confidence"/>
                    <pic:cNvPicPr/>
                  </pic:nvPicPr>
                  <pic:blipFill>
                    <a:blip r:embed="rId11"/>
                    <a:stretch>
                      <a:fillRect/>
                    </a:stretch>
                  </pic:blipFill>
                  <pic:spPr>
                    <a:xfrm>
                      <a:off x="0" y="0"/>
                      <a:ext cx="6858000" cy="4711700"/>
                    </a:xfrm>
                    <a:prstGeom prst="rect">
                      <a:avLst/>
                    </a:prstGeom>
                  </pic:spPr>
                </pic:pic>
              </a:graphicData>
            </a:graphic>
          </wp:inline>
        </w:drawing>
      </w:r>
    </w:p>
    <w:p w14:paraId="10A653A7" w14:textId="563BF608" w:rsidR="001442CB" w:rsidRPr="00410093" w:rsidRDefault="001442CB" w:rsidP="001442CB">
      <w:pPr>
        <w:jc w:val="center"/>
        <w:rPr>
          <w:rFonts w:ascii="Times New Roman" w:hAnsi="Times New Roman" w:cs="Times New Roman"/>
          <w:i/>
          <w:iCs/>
          <w:sz w:val="20"/>
          <w:szCs w:val="20"/>
        </w:rPr>
      </w:pPr>
      <w:r w:rsidRPr="00410093">
        <w:rPr>
          <w:rFonts w:ascii="Times New Roman" w:hAnsi="Times New Roman" w:cs="Times New Roman"/>
          <w:i/>
          <w:iCs/>
          <w:sz w:val="20"/>
          <w:szCs w:val="20"/>
        </w:rPr>
        <w:t xml:space="preserve">Figure </w:t>
      </w:r>
      <w:r w:rsidR="00E30CD0">
        <w:rPr>
          <w:rFonts w:ascii="Times New Roman" w:hAnsi="Times New Roman" w:cs="Times New Roman"/>
          <w:i/>
          <w:iCs/>
          <w:sz w:val="20"/>
          <w:szCs w:val="20"/>
        </w:rPr>
        <w:t>7</w:t>
      </w:r>
      <w:r w:rsidRPr="00410093">
        <w:rPr>
          <w:rFonts w:ascii="Times New Roman" w:hAnsi="Times New Roman" w:cs="Times New Roman"/>
          <w:i/>
          <w:iCs/>
          <w:sz w:val="20"/>
          <w:szCs w:val="20"/>
        </w:rPr>
        <w:t xml:space="preserve">: </w:t>
      </w:r>
      <w:r>
        <w:rPr>
          <w:rFonts w:ascii="Times New Roman" w:hAnsi="Times New Roman" w:cs="Times New Roman"/>
          <w:i/>
          <w:iCs/>
          <w:sz w:val="20"/>
          <w:szCs w:val="20"/>
        </w:rPr>
        <w:t>Individual Property Cash Flow Spreadsheet</w:t>
      </w:r>
      <w:r w:rsidR="005E3C84">
        <w:rPr>
          <w:rFonts w:ascii="Times New Roman" w:hAnsi="Times New Roman" w:cs="Times New Roman"/>
          <w:i/>
          <w:iCs/>
          <w:sz w:val="20"/>
          <w:szCs w:val="20"/>
        </w:rPr>
        <w:t>.</w:t>
      </w:r>
    </w:p>
    <w:p w14:paraId="12E24A22" w14:textId="63C94459" w:rsidR="0095532B" w:rsidRPr="00410093" w:rsidRDefault="0095532B">
      <w:pPr>
        <w:rPr>
          <w:rFonts w:ascii="Times New Roman" w:hAnsi="Times New Roman" w:cs="Times New Roman"/>
        </w:rPr>
      </w:pPr>
    </w:p>
    <w:p w14:paraId="00ECA84C" w14:textId="77777777" w:rsidR="00892961" w:rsidRPr="00410093" w:rsidRDefault="00892961">
      <w:pPr>
        <w:rPr>
          <w:rFonts w:ascii="Times New Roman" w:hAnsi="Times New Roman" w:cs="Times New Roman"/>
        </w:rPr>
      </w:pPr>
    </w:p>
    <w:p w14:paraId="4EC071DE" w14:textId="77777777" w:rsidR="00892961" w:rsidRDefault="00892961">
      <w:pPr>
        <w:rPr>
          <w:rFonts w:ascii="Times New Roman" w:hAnsi="Times New Roman" w:cs="Times New Roman"/>
        </w:rPr>
      </w:pPr>
    </w:p>
    <w:p w14:paraId="0207A22C" w14:textId="77777777" w:rsidR="00F8253B" w:rsidRDefault="00F8253B">
      <w:pPr>
        <w:pBdr>
          <w:bottom w:val="single" w:sz="12" w:space="1" w:color="auto"/>
        </w:pBdr>
        <w:rPr>
          <w:rFonts w:ascii="Times New Roman" w:hAnsi="Times New Roman" w:cs="Times New Roman"/>
        </w:rPr>
      </w:pPr>
    </w:p>
    <w:p w14:paraId="0EBBB55F" w14:textId="77777777" w:rsidR="00DE3B43" w:rsidRDefault="00DE3B43">
      <w:pPr>
        <w:rPr>
          <w:rFonts w:ascii="Times New Roman" w:hAnsi="Times New Roman" w:cs="Times New Roman"/>
        </w:rPr>
      </w:pPr>
    </w:p>
    <w:p w14:paraId="2B235EB5" w14:textId="77777777" w:rsidR="00F8253B" w:rsidRDefault="00F8253B">
      <w:pPr>
        <w:rPr>
          <w:rFonts w:ascii="Times New Roman" w:hAnsi="Times New Roman" w:cs="Times New Roman"/>
        </w:rPr>
      </w:pPr>
    </w:p>
    <w:p w14:paraId="06271CDC" w14:textId="77777777" w:rsidR="00DE3B43" w:rsidRPr="00410093" w:rsidRDefault="00DE3B43">
      <w:pPr>
        <w:rPr>
          <w:rFonts w:ascii="Times New Roman" w:hAnsi="Times New Roman" w:cs="Times New Roman"/>
        </w:rPr>
      </w:pPr>
    </w:p>
    <w:p w14:paraId="5C51DBC4" w14:textId="7CEB4B55" w:rsidR="00892961" w:rsidRPr="00DE3B43" w:rsidRDefault="00892961" w:rsidP="00892961">
      <w:pPr>
        <w:rPr>
          <w:rFonts w:ascii="Times New Roman" w:hAnsi="Times New Roman" w:cs="Times New Roman"/>
          <w:b/>
          <w:bCs/>
        </w:rPr>
      </w:pPr>
      <w:r w:rsidRPr="00410093">
        <w:rPr>
          <w:rFonts w:ascii="Times New Roman" w:hAnsi="Times New Roman" w:cs="Times New Roman"/>
          <w:b/>
          <w:bCs/>
        </w:rPr>
        <w:t xml:space="preserve">Forecasting </w:t>
      </w:r>
      <w:r w:rsidR="007E293C" w:rsidRPr="00410093">
        <w:rPr>
          <w:rFonts w:ascii="Times New Roman" w:hAnsi="Times New Roman" w:cs="Times New Roman"/>
          <w:b/>
          <w:bCs/>
        </w:rPr>
        <w:t xml:space="preserve">Profits </w:t>
      </w:r>
      <w:r w:rsidRPr="00410093">
        <w:rPr>
          <w:rFonts w:ascii="Times New Roman" w:hAnsi="Times New Roman" w:cs="Times New Roman"/>
          <w:b/>
          <w:bCs/>
        </w:rPr>
        <w:t>with Optimized Nightly Rents &amp; Occupancy Rates</w:t>
      </w:r>
    </w:p>
    <w:p w14:paraId="4B68CBF0" w14:textId="36CD6A72" w:rsidR="00892961" w:rsidRPr="00410093" w:rsidRDefault="00892961" w:rsidP="00892961">
      <w:pPr>
        <w:rPr>
          <w:rFonts w:ascii="Times New Roman" w:hAnsi="Times New Roman" w:cs="Times New Roman"/>
        </w:rPr>
      </w:pPr>
      <w:r w:rsidRPr="00410093">
        <w:rPr>
          <w:rFonts w:ascii="Times New Roman" w:hAnsi="Times New Roman" w:cs="Times New Roman"/>
        </w:rPr>
        <w:t xml:space="preserve">The following spreadsheet is a demonstration of the detailed net change in </w:t>
      </w:r>
      <w:r w:rsidR="007E293C" w:rsidRPr="00410093">
        <w:rPr>
          <w:rFonts w:ascii="Times New Roman" w:hAnsi="Times New Roman" w:cs="Times New Roman"/>
        </w:rPr>
        <w:t>profits</w:t>
      </w:r>
      <w:r w:rsidRPr="00410093">
        <w:rPr>
          <w:rFonts w:ascii="Times New Roman" w:hAnsi="Times New Roman" w:cs="Times New Roman"/>
        </w:rPr>
        <w:t xml:space="preserve"> for one individual property. Year 1 represents Watershed’s current long-term rental </w:t>
      </w:r>
      <w:r w:rsidR="00085D55" w:rsidRPr="00410093">
        <w:rPr>
          <w:rFonts w:ascii="Times New Roman" w:hAnsi="Times New Roman" w:cs="Times New Roman"/>
        </w:rPr>
        <w:t>profits</w:t>
      </w:r>
      <w:r w:rsidRPr="00410093">
        <w:rPr>
          <w:rFonts w:ascii="Times New Roman" w:hAnsi="Times New Roman" w:cs="Times New Roman"/>
        </w:rPr>
        <w:t xml:space="preserve"> at a 97.3% occupancy rate. Year 2 represents </w:t>
      </w:r>
      <w:r w:rsidR="00085D55" w:rsidRPr="00410093">
        <w:rPr>
          <w:rFonts w:ascii="Times New Roman" w:hAnsi="Times New Roman" w:cs="Times New Roman"/>
        </w:rPr>
        <w:t>profits</w:t>
      </w:r>
      <w:r w:rsidRPr="00410093">
        <w:rPr>
          <w:rFonts w:ascii="Times New Roman" w:hAnsi="Times New Roman" w:cs="Times New Roman"/>
        </w:rPr>
        <w:t xml:space="preserve"> during the initial year of conversion, if conversion were to take place at the beginning of the fiscal year. During Year 2 (conversion year), net change in </w:t>
      </w:r>
      <w:r w:rsidR="00085D55" w:rsidRPr="00410093">
        <w:rPr>
          <w:rFonts w:ascii="Times New Roman" w:hAnsi="Times New Roman" w:cs="Times New Roman"/>
        </w:rPr>
        <w:t>profit</w:t>
      </w:r>
      <w:r w:rsidRPr="00410093">
        <w:rPr>
          <w:rFonts w:ascii="Times New Roman" w:hAnsi="Times New Roman" w:cs="Times New Roman"/>
        </w:rPr>
        <w:t xml:space="preserve"> is calculated from </w:t>
      </w:r>
      <w:r w:rsidRPr="00410093">
        <w:rPr>
          <w:rFonts w:ascii="Times New Roman" w:hAnsi="Times New Roman" w:cs="Times New Roman"/>
          <w:b/>
          <w:bCs/>
        </w:rPr>
        <w:t>short-term annual revenue after transaction fees minus long-term annual revenue</w:t>
      </w:r>
      <w:r w:rsidRPr="00410093">
        <w:rPr>
          <w:rFonts w:ascii="Times New Roman" w:hAnsi="Times New Roman" w:cs="Times New Roman"/>
        </w:rPr>
        <w:t xml:space="preserve">. </w:t>
      </w:r>
      <w:r w:rsidR="00FB0B4A" w:rsidRPr="00410093">
        <w:rPr>
          <w:rFonts w:ascii="Times New Roman" w:hAnsi="Times New Roman" w:cs="Times New Roman"/>
        </w:rPr>
        <w:t xml:space="preserve">The </w:t>
      </w:r>
      <w:r w:rsidRPr="00410093">
        <w:rPr>
          <w:rFonts w:ascii="Times New Roman" w:hAnsi="Times New Roman" w:cs="Times New Roman"/>
        </w:rPr>
        <w:t xml:space="preserve">initial CAPEX of $25,000 </w:t>
      </w:r>
      <w:r w:rsidR="00FB0B4A" w:rsidRPr="00410093">
        <w:rPr>
          <w:rFonts w:ascii="Times New Roman" w:hAnsi="Times New Roman" w:cs="Times New Roman"/>
        </w:rPr>
        <w:t>spent in year 2 will begin to depreciate in year 2 at $</w:t>
      </w:r>
      <w:r w:rsidR="000E788C" w:rsidRPr="00410093">
        <w:rPr>
          <w:rFonts w:ascii="Times New Roman" w:hAnsi="Times New Roman" w:cs="Times New Roman"/>
        </w:rPr>
        <w:t>5</w:t>
      </w:r>
      <w:r w:rsidR="00FB0B4A" w:rsidRPr="00410093">
        <w:rPr>
          <w:rFonts w:ascii="Times New Roman" w:hAnsi="Times New Roman" w:cs="Times New Roman"/>
        </w:rPr>
        <w:t>,000 annually for 5 years</w:t>
      </w:r>
      <w:r w:rsidR="00033D47" w:rsidRPr="00410093">
        <w:rPr>
          <w:rFonts w:ascii="Times New Roman" w:hAnsi="Times New Roman" w:cs="Times New Roman"/>
        </w:rPr>
        <w:t xml:space="preserve"> (until the end of year 6).</w:t>
      </w:r>
    </w:p>
    <w:p w14:paraId="6941636B" w14:textId="5E1CCBEE" w:rsidR="00BF5269" w:rsidRDefault="00892961" w:rsidP="00892961">
      <w:pPr>
        <w:rPr>
          <w:rFonts w:ascii="Times New Roman" w:hAnsi="Times New Roman" w:cs="Times New Roman"/>
        </w:rPr>
      </w:pPr>
      <w:r w:rsidRPr="00410093">
        <w:rPr>
          <w:rFonts w:ascii="Times New Roman" w:hAnsi="Times New Roman" w:cs="Times New Roman"/>
        </w:rPr>
        <w:t xml:space="preserve">Years 3 and 4 are identical in </w:t>
      </w:r>
      <w:r w:rsidR="00AC1434" w:rsidRPr="00410093">
        <w:rPr>
          <w:rFonts w:ascii="Times New Roman" w:hAnsi="Times New Roman" w:cs="Times New Roman"/>
        </w:rPr>
        <w:t>profits</w:t>
      </w:r>
      <w:r w:rsidRPr="00410093">
        <w:rPr>
          <w:rFonts w:ascii="Times New Roman" w:hAnsi="Times New Roman" w:cs="Times New Roman"/>
        </w:rPr>
        <w:t xml:space="preserve"> with the exception of </w:t>
      </w:r>
      <w:r w:rsidR="00F24C30" w:rsidRPr="00410093">
        <w:rPr>
          <w:rFonts w:ascii="Times New Roman" w:hAnsi="Times New Roman" w:cs="Times New Roman"/>
        </w:rPr>
        <w:t>the commencement of repair cost expenses at $400 monthly or $4,800 annually.</w:t>
      </w:r>
    </w:p>
    <w:p w14:paraId="08AAE9BF" w14:textId="77777777" w:rsidR="00BF5269" w:rsidRDefault="00BF5269" w:rsidP="00892961">
      <w:pPr>
        <w:rPr>
          <w:rFonts w:ascii="Times New Roman" w:hAnsi="Times New Roman" w:cs="Times New Roman"/>
        </w:rPr>
      </w:pPr>
    </w:p>
    <w:p w14:paraId="6DDD931A" w14:textId="77777777" w:rsidR="00BF5269" w:rsidRDefault="00BF5269" w:rsidP="00892961">
      <w:pPr>
        <w:rPr>
          <w:rFonts w:ascii="Times New Roman" w:hAnsi="Times New Roman" w:cs="Times New Roman"/>
        </w:rPr>
      </w:pPr>
    </w:p>
    <w:p w14:paraId="4A85722D" w14:textId="79E2D834" w:rsidR="00B06B96" w:rsidRPr="00410093" w:rsidRDefault="00BF5269" w:rsidP="00BF5269">
      <w:pPr>
        <w:rPr>
          <w:rFonts w:ascii="Times New Roman" w:hAnsi="Times New Roman" w:cs="Times New Roman"/>
        </w:rPr>
      </w:pPr>
      <w:r w:rsidRPr="00BF5269">
        <w:rPr>
          <w:rFonts w:ascii="Times New Roman" w:hAnsi="Times New Roman" w:cs="Times New Roman"/>
          <w:noProof/>
        </w:rPr>
        <w:drawing>
          <wp:inline distT="0" distB="0" distL="0" distR="0" wp14:anchorId="534A6381" wp14:editId="0A86CC1A">
            <wp:extent cx="6858000" cy="4918075"/>
            <wp:effectExtent l="0" t="0" r="0" b="0"/>
            <wp:docPr id="1835493525"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93525" name="Picture 1" descr="A picture containing text, screenshot, number, parallel&#10;&#10;Description automatically generated"/>
                    <pic:cNvPicPr/>
                  </pic:nvPicPr>
                  <pic:blipFill>
                    <a:blip r:embed="rId12"/>
                    <a:stretch>
                      <a:fillRect/>
                    </a:stretch>
                  </pic:blipFill>
                  <pic:spPr>
                    <a:xfrm>
                      <a:off x="0" y="0"/>
                      <a:ext cx="6858000" cy="4918075"/>
                    </a:xfrm>
                    <a:prstGeom prst="rect">
                      <a:avLst/>
                    </a:prstGeom>
                  </pic:spPr>
                </pic:pic>
              </a:graphicData>
            </a:graphic>
          </wp:inline>
        </w:drawing>
      </w:r>
    </w:p>
    <w:p w14:paraId="4077A7CF" w14:textId="0964AB90" w:rsidR="001442CB" w:rsidRPr="00410093" w:rsidRDefault="001442CB" w:rsidP="001442CB">
      <w:pPr>
        <w:jc w:val="center"/>
        <w:rPr>
          <w:rFonts w:ascii="Times New Roman" w:hAnsi="Times New Roman" w:cs="Times New Roman"/>
          <w:i/>
          <w:iCs/>
          <w:sz w:val="20"/>
          <w:szCs w:val="20"/>
        </w:rPr>
      </w:pPr>
      <w:r w:rsidRPr="00410093">
        <w:rPr>
          <w:rFonts w:ascii="Times New Roman" w:hAnsi="Times New Roman" w:cs="Times New Roman"/>
          <w:i/>
          <w:iCs/>
          <w:sz w:val="20"/>
          <w:szCs w:val="20"/>
        </w:rPr>
        <w:t xml:space="preserve">Figure </w:t>
      </w:r>
      <w:r w:rsidR="00E30CD0">
        <w:rPr>
          <w:rFonts w:ascii="Times New Roman" w:hAnsi="Times New Roman" w:cs="Times New Roman"/>
          <w:i/>
          <w:iCs/>
          <w:sz w:val="20"/>
          <w:szCs w:val="20"/>
        </w:rPr>
        <w:t>8</w:t>
      </w:r>
      <w:r w:rsidRPr="00410093">
        <w:rPr>
          <w:rFonts w:ascii="Times New Roman" w:hAnsi="Times New Roman" w:cs="Times New Roman"/>
          <w:i/>
          <w:iCs/>
          <w:sz w:val="20"/>
          <w:szCs w:val="20"/>
        </w:rPr>
        <w:t xml:space="preserve">: </w:t>
      </w:r>
      <w:r>
        <w:rPr>
          <w:rFonts w:ascii="Times New Roman" w:hAnsi="Times New Roman" w:cs="Times New Roman"/>
          <w:i/>
          <w:iCs/>
          <w:sz w:val="20"/>
          <w:szCs w:val="20"/>
        </w:rPr>
        <w:t>Individual Property Profits Spreadsheet</w:t>
      </w:r>
      <w:r w:rsidR="005E3C84">
        <w:rPr>
          <w:rFonts w:ascii="Times New Roman" w:hAnsi="Times New Roman" w:cs="Times New Roman"/>
          <w:i/>
          <w:iCs/>
          <w:sz w:val="20"/>
          <w:szCs w:val="20"/>
        </w:rPr>
        <w:t>.</w:t>
      </w:r>
    </w:p>
    <w:p w14:paraId="28A4B589" w14:textId="77777777" w:rsidR="00785487" w:rsidRDefault="00785487" w:rsidP="00B656F8">
      <w:pPr>
        <w:jc w:val="center"/>
        <w:rPr>
          <w:rFonts w:ascii="Times New Roman" w:hAnsi="Times New Roman" w:cs="Times New Roman"/>
        </w:rPr>
      </w:pPr>
    </w:p>
    <w:p w14:paraId="5DE62F5C" w14:textId="77777777" w:rsidR="001A0311" w:rsidRPr="00410093" w:rsidRDefault="001A0311" w:rsidP="00B656F8">
      <w:pPr>
        <w:jc w:val="center"/>
        <w:rPr>
          <w:rFonts w:ascii="Times New Roman" w:hAnsi="Times New Roman" w:cs="Times New Roman"/>
        </w:rPr>
      </w:pPr>
    </w:p>
    <w:p w14:paraId="0E9D197D" w14:textId="185A9DCC" w:rsidR="006557B5" w:rsidRPr="00410093" w:rsidRDefault="006557B5" w:rsidP="006557B5">
      <w:pPr>
        <w:pBdr>
          <w:bottom w:val="single" w:sz="12" w:space="1" w:color="auto"/>
        </w:pBdr>
        <w:tabs>
          <w:tab w:val="left" w:pos="180"/>
        </w:tabs>
        <w:rPr>
          <w:rFonts w:ascii="Times New Roman" w:hAnsi="Times New Roman" w:cs="Times New Roman"/>
        </w:rPr>
      </w:pPr>
      <w:r w:rsidRPr="00410093">
        <w:rPr>
          <w:rFonts w:ascii="Times New Roman" w:hAnsi="Times New Roman" w:cs="Times New Roman"/>
        </w:rPr>
        <w:tab/>
      </w:r>
    </w:p>
    <w:p w14:paraId="17D5E48F" w14:textId="77777777" w:rsidR="006557B5" w:rsidRDefault="006557B5" w:rsidP="006557B5">
      <w:pPr>
        <w:tabs>
          <w:tab w:val="left" w:pos="180"/>
        </w:tabs>
        <w:rPr>
          <w:rFonts w:ascii="Times New Roman" w:hAnsi="Times New Roman" w:cs="Times New Roman"/>
        </w:rPr>
      </w:pPr>
    </w:p>
    <w:p w14:paraId="59BB5E22" w14:textId="77777777" w:rsidR="00DE3B43" w:rsidRPr="00410093" w:rsidRDefault="00DE3B43" w:rsidP="006557B5">
      <w:pPr>
        <w:tabs>
          <w:tab w:val="left" w:pos="180"/>
        </w:tabs>
        <w:rPr>
          <w:rFonts w:ascii="Times New Roman" w:hAnsi="Times New Roman" w:cs="Times New Roman"/>
        </w:rPr>
      </w:pPr>
    </w:p>
    <w:p w14:paraId="65A93889" w14:textId="5B884DC4" w:rsidR="006557B5" w:rsidRPr="00410093" w:rsidRDefault="00841103" w:rsidP="006557B5">
      <w:pPr>
        <w:tabs>
          <w:tab w:val="left" w:pos="180"/>
        </w:tabs>
        <w:rPr>
          <w:rFonts w:ascii="Times New Roman" w:hAnsi="Times New Roman" w:cs="Times New Roman"/>
          <w:b/>
          <w:bCs/>
        </w:rPr>
      </w:pPr>
      <w:r w:rsidRPr="00410093">
        <w:rPr>
          <w:rFonts w:ascii="Times New Roman" w:hAnsi="Times New Roman" w:cs="Times New Roman"/>
          <w:b/>
          <w:bCs/>
        </w:rPr>
        <w:t>Aggegated Changes to Cash Flow &amp; Profits</w:t>
      </w:r>
    </w:p>
    <w:p w14:paraId="2FE0DFDC" w14:textId="77777777" w:rsidR="00841103" w:rsidRPr="00410093" w:rsidRDefault="00841103" w:rsidP="006557B5">
      <w:pPr>
        <w:tabs>
          <w:tab w:val="left" w:pos="180"/>
        </w:tabs>
        <w:rPr>
          <w:rFonts w:ascii="Times New Roman" w:hAnsi="Times New Roman" w:cs="Times New Roman"/>
        </w:rPr>
      </w:pPr>
    </w:p>
    <w:p w14:paraId="421030A7" w14:textId="0799634F" w:rsidR="00841103" w:rsidRPr="00410093" w:rsidRDefault="00580AC8" w:rsidP="006557B5">
      <w:pPr>
        <w:tabs>
          <w:tab w:val="left" w:pos="180"/>
        </w:tabs>
        <w:rPr>
          <w:rFonts w:ascii="Times New Roman" w:hAnsi="Times New Roman" w:cs="Times New Roman"/>
        </w:rPr>
      </w:pPr>
      <w:r w:rsidRPr="00410093">
        <w:rPr>
          <w:rFonts w:ascii="Times New Roman" w:hAnsi="Times New Roman" w:cs="Times New Roman"/>
        </w:rPr>
        <w:t>To apply the</w:t>
      </w:r>
      <w:r w:rsidR="00755A22" w:rsidRPr="00410093">
        <w:rPr>
          <w:rFonts w:ascii="Times New Roman" w:hAnsi="Times New Roman" w:cs="Times New Roman"/>
        </w:rPr>
        <w:t xml:space="preserve"> calculations and values to </w:t>
      </w:r>
      <w:r w:rsidR="00F80600" w:rsidRPr="00410093">
        <w:rPr>
          <w:rFonts w:ascii="Times New Roman" w:hAnsi="Times New Roman" w:cs="Times New Roman"/>
        </w:rPr>
        <w:t xml:space="preserve">all properties in a similar fashion to the spreadsheets above, we created 4 new calculated variables </w:t>
      </w:r>
      <w:r w:rsidR="0080617C" w:rsidRPr="00410093">
        <w:rPr>
          <w:rFonts w:ascii="Times New Roman" w:hAnsi="Times New Roman" w:cs="Times New Roman"/>
        </w:rPr>
        <w:t xml:space="preserve">to further assist this task. </w:t>
      </w:r>
    </w:p>
    <w:p w14:paraId="17D9690D" w14:textId="7110821E" w:rsidR="000B162E" w:rsidRPr="00410093" w:rsidRDefault="000B162E" w:rsidP="00FC2824">
      <w:pPr>
        <w:pStyle w:val="ListParagraph"/>
        <w:numPr>
          <w:ilvl w:val="0"/>
          <w:numId w:val="2"/>
        </w:numPr>
        <w:tabs>
          <w:tab w:val="left" w:pos="180"/>
        </w:tabs>
        <w:spacing w:line="360" w:lineRule="auto"/>
        <w:rPr>
          <w:rFonts w:ascii="Times New Roman" w:hAnsi="Times New Roman" w:cs="Times New Roman"/>
        </w:rPr>
      </w:pPr>
      <w:r w:rsidRPr="00410093">
        <w:rPr>
          <w:rFonts w:ascii="Times New Roman" w:hAnsi="Times New Roman" w:cs="Times New Roman"/>
        </w:rPr>
        <w:t xml:space="preserve">New Cash Out, Conversion </w:t>
      </w:r>
      <w:r w:rsidR="005846AD" w:rsidRPr="00410093">
        <w:rPr>
          <w:rFonts w:ascii="Times New Roman" w:hAnsi="Times New Roman" w:cs="Times New Roman"/>
        </w:rPr>
        <w:t>Y</w:t>
      </w:r>
      <w:r w:rsidRPr="00410093">
        <w:rPr>
          <w:rFonts w:ascii="Times New Roman" w:hAnsi="Times New Roman" w:cs="Times New Roman"/>
        </w:rPr>
        <w:t xml:space="preserve">ear: </w:t>
      </w:r>
      <w:r w:rsidR="00884092" w:rsidRPr="00410093">
        <w:rPr>
          <w:rFonts w:ascii="Cambria Math" w:hAnsi="Cambria Math" w:cs="Times New Roman"/>
          <w:i/>
          <w:iCs/>
          <w:sz w:val="20"/>
          <w:szCs w:val="20"/>
        </w:rPr>
        <w:t xml:space="preserve">Initial CAPEX </w:t>
      </w:r>
      <w:r w:rsidR="00884092" w:rsidRPr="0012163A">
        <w:rPr>
          <w:rFonts w:ascii="Cambria Math" w:hAnsi="Cambria Math" w:cs="Times New Roman"/>
          <w:sz w:val="20"/>
          <w:szCs w:val="20"/>
        </w:rPr>
        <w:t>+</w:t>
      </w:r>
      <w:r w:rsidR="00884092" w:rsidRPr="00410093">
        <w:rPr>
          <w:rFonts w:ascii="Cambria Math" w:hAnsi="Cambria Math" w:cs="Times New Roman"/>
          <w:i/>
          <w:iCs/>
          <w:sz w:val="20"/>
          <w:szCs w:val="20"/>
        </w:rPr>
        <w:t xml:space="preserve"> </w:t>
      </w:r>
      <w:r w:rsidR="0086328F" w:rsidRPr="00410093">
        <w:rPr>
          <w:rFonts w:ascii="Cambria Math" w:hAnsi="Cambria Math" w:cs="Times New Roman"/>
          <w:i/>
          <w:iCs/>
          <w:sz w:val="20"/>
          <w:szCs w:val="20"/>
        </w:rPr>
        <w:t>Utility Costs (fixed)</w:t>
      </w:r>
      <w:r w:rsidR="0086328F" w:rsidRPr="0012163A">
        <w:rPr>
          <w:rFonts w:ascii="Cambria Math" w:hAnsi="Cambria Math" w:cs="Times New Roman"/>
          <w:sz w:val="20"/>
          <w:szCs w:val="20"/>
        </w:rPr>
        <w:t xml:space="preserve"> + </w:t>
      </w:r>
      <w:r w:rsidR="0086328F" w:rsidRPr="00410093">
        <w:rPr>
          <w:rFonts w:ascii="Cambria Math" w:hAnsi="Cambria Math" w:cs="Times New Roman"/>
          <w:i/>
          <w:iCs/>
          <w:sz w:val="20"/>
          <w:szCs w:val="20"/>
        </w:rPr>
        <w:t>Variable Costs</w:t>
      </w:r>
    </w:p>
    <w:p w14:paraId="2F54746D" w14:textId="7D1AAC22" w:rsidR="000B162E" w:rsidRPr="00410093" w:rsidRDefault="000B162E" w:rsidP="00FC2824">
      <w:pPr>
        <w:pStyle w:val="ListParagraph"/>
        <w:numPr>
          <w:ilvl w:val="0"/>
          <w:numId w:val="2"/>
        </w:numPr>
        <w:tabs>
          <w:tab w:val="left" w:pos="180"/>
        </w:tabs>
        <w:spacing w:line="360" w:lineRule="auto"/>
        <w:rPr>
          <w:rFonts w:ascii="Times New Roman" w:hAnsi="Times New Roman" w:cs="Times New Roman"/>
        </w:rPr>
      </w:pPr>
      <w:r w:rsidRPr="00410093">
        <w:rPr>
          <w:rFonts w:ascii="Times New Roman" w:hAnsi="Times New Roman" w:cs="Times New Roman"/>
        </w:rPr>
        <w:t xml:space="preserve">New Cash Out - </w:t>
      </w:r>
      <w:r w:rsidR="005846AD" w:rsidRPr="00410093">
        <w:rPr>
          <w:rFonts w:ascii="Times New Roman" w:hAnsi="Times New Roman" w:cs="Times New Roman"/>
        </w:rPr>
        <w:t>Years Thereafter</w:t>
      </w:r>
      <w:r w:rsidR="00AB2E51" w:rsidRPr="00410093">
        <w:rPr>
          <w:rFonts w:ascii="Times New Roman" w:hAnsi="Times New Roman" w:cs="Times New Roman"/>
        </w:rPr>
        <w:t xml:space="preserve">: </w:t>
      </w:r>
      <w:r w:rsidR="00A241C7" w:rsidRPr="00410093">
        <w:rPr>
          <w:rFonts w:ascii="Cambria Math" w:hAnsi="Cambria Math" w:cs="Times New Roman"/>
          <w:i/>
          <w:iCs/>
          <w:sz w:val="20"/>
          <w:szCs w:val="20"/>
        </w:rPr>
        <w:t>Utility Costs (fixed)</w:t>
      </w:r>
      <w:r w:rsidR="0012163A">
        <w:rPr>
          <w:rFonts w:ascii="Cambria Math" w:hAnsi="Cambria Math" w:cs="Times New Roman"/>
          <w:i/>
          <w:iCs/>
          <w:sz w:val="20"/>
          <w:szCs w:val="20"/>
        </w:rPr>
        <w:t xml:space="preserve"> </w:t>
      </w:r>
      <w:r w:rsidR="0012163A">
        <w:rPr>
          <w:rFonts w:ascii="Cambria Math" w:hAnsi="Cambria Math" w:cs="Times New Roman"/>
          <w:sz w:val="20"/>
          <w:szCs w:val="20"/>
        </w:rPr>
        <w:t>+</w:t>
      </w:r>
      <w:r w:rsidR="00A241C7" w:rsidRPr="00410093">
        <w:rPr>
          <w:rFonts w:ascii="Cambria Math" w:hAnsi="Cambria Math" w:cs="Times New Roman"/>
          <w:i/>
          <w:iCs/>
          <w:sz w:val="20"/>
          <w:szCs w:val="20"/>
        </w:rPr>
        <w:t xml:space="preserve"> Replacement Costs (fixed) </w:t>
      </w:r>
      <w:r w:rsidR="00A241C7" w:rsidRPr="0012163A">
        <w:rPr>
          <w:rFonts w:ascii="Cambria Math" w:hAnsi="Cambria Math" w:cs="Times New Roman"/>
          <w:sz w:val="20"/>
          <w:szCs w:val="20"/>
        </w:rPr>
        <w:t>+</w:t>
      </w:r>
      <w:r w:rsidR="00A241C7" w:rsidRPr="00410093">
        <w:rPr>
          <w:rFonts w:ascii="Cambria Math" w:hAnsi="Cambria Math" w:cs="Times New Roman"/>
          <w:i/>
          <w:iCs/>
          <w:sz w:val="20"/>
          <w:szCs w:val="20"/>
        </w:rPr>
        <w:t xml:space="preserve"> Variable Costs</w:t>
      </w:r>
    </w:p>
    <w:p w14:paraId="54DEECD0" w14:textId="27235908" w:rsidR="000B162E" w:rsidRPr="00410093" w:rsidRDefault="000B162E" w:rsidP="00FC2824">
      <w:pPr>
        <w:pStyle w:val="ListParagraph"/>
        <w:numPr>
          <w:ilvl w:val="0"/>
          <w:numId w:val="2"/>
        </w:numPr>
        <w:tabs>
          <w:tab w:val="left" w:pos="180"/>
        </w:tabs>
        <w:spacing w:line="360" w:lineRule="auto"/>
        <w:rPr>
          <w:rFonts w:ascii="Times New Roman" w:hAnsi="Times New Roman" w:cs="Times New Roman"/>
        </w:rPr>
      </w:pPr>
      <w:r w:rsidRPr="00410093">
        <w:rPr>
          <w:rFonts w:ascii="Times New Roman" w:hAnsi="Times New Roman" w:cs="Times New Roman"/>
        </w:rPr>
        <w:t>New Change in Profits, Conversion Year</w:t>
      </w:r>
      <w:r w:rsidR="00AB2E51" w:rsidRPr="00410093">
        <w:rPr>
          <w:rFonts w:ascii="Times New Roman" w:hAnsi="Times New Roman" w:cs="Times New Roman"/>
        </w:rPr>
        <w:t>:</w:t>
      </w:r>
      <w:r w:rsidR="00701824" w:rsidRPr="00410093">
        <w:rPr>
          <w:rFonts w:ascii="Times New Roman" w:hAnsi="Times New Roman" w:cs="Times New Roman"/>
        </w:rPr>
        <w:t xml:space="preserve"> </w:t>
      </w:r>
      <w:r w:rsidR="00701824" w:rsidRPr="00410093">
        <w:rPr>
          <w:rFonts w:ascii="Cambria Math" w:hAnsi="Cambria Math" w:cs="Times New Roman"/>
          <w:i/>
          <w:iCs/>
          <w:sz w:val="20"/>
          <w:szCs w:val="20"/>
        </w:rPr>
        <w:t>Utility Costs (fixed)</w:t>
      </w:r>
      <w:r w:rsidR="0012163A">
        <w:rPr>
          <w:rFonts w:ascii="Cambria Math" w:hAnsi="Cambria Math" w:cs="Times New Roman"/>
          <w:i/>
          <w:iCs/>
          <w:sz w:val="20"/>
          <w:szCs w:val="20"/>
        </w:rPr>
        <w:t xml:space="preserve"> </w:t>
      </w:r>
      <w:r w:rsidR="0012163A" w:rsidRPr="0012163A">
        <w:rPr>
          <w:rFonts w:ascii="Cambria Math" w:hAnsi="Cambria Math" w:cs="Times New Roman"/>
          <w:sz w:val="20"/>
          <w:szCs w:val="20"/>
        </w:rPr>
        <w:t>+</w:t>
      </w:r>
      <w:r w:rsidR="00701824" w:rsidRPr="00410093">
        <w:rPr>
          <w:rFonts w:ascii="Cambria Math" w:hAnsi="Cambria Math" w:cs="Times New Roman"/>
          <w:i/>
          <w:iCs/>
          <w:sz w:val="20"/>
          <w:szCs w:val="20"/>
        </w:rPr>
        <w:t xml:space="preserve"> Replacement Costs (fixed) </w:t>
      </w:r>
      <w:r w:rsidR="00701824" w:rsidRPr="0012163A">
        <w:rPr>
          <w:rFonts w:ascii="Cambria Math" w:hAnsi="Cambria Math" w:cs="Times New Roman"/>
          <w:sz w:val="20"/>
          <w:szCs w:val="20"/>
        </w:rPr>
        <w:t>+</w:t>
      </w:r>
      <w:r w:rsidR="00701824" w:rsidRPr="00410093">
        <w:rPr>
          <w:rFonts w:ascii="Cambria Math" w:hAnsi="Cambria Math" w:cs="Times New Roman"/>
          <w:i/>
          <w:iCs/>
          <w:sz w:val="20"/>
          <w:szCs w:val="20"/>
        </w:rPr>
        <w:t xml:space="preserve"> Variable Costs</w:t>
      </w:r>
    </w:p>
    <w:p w14:paraId="2AC2E43A" w14:textId="13140DC4" w:rsidR="0080617C" w:rsidRPr="00410093" w:rsidRDefault="000B162E" w:rsidP="00FC2824">
      <w:pPr>
        <w:pStyle w:val="ListParagraph"/>
        <w:numPr>
          <w:ilvl w:val="0"/>
          <w:numId w:val="2"/>
        </w:numPr>
        <w:tabs>
          <w:tab w:val="left" w:pos="180"/>
        </w:tabs>
        <w:spacing w:line="360" w:lineRule="auto"/>
        <w:rPr>
          <w:rFonts w:ascii="Times New Roman" w:hAnsi="Times New Roman" w:cs="Times New Roman"/>
        </w:rPr>
      </w:pPr>
      <w:r w:rsidRPr="00410093">
        <w:rPr>
          <w:rFonts w:ascii="Times New Roman" w:hAnsi="Times New Roman" w:cs="Times New Roman"/>
        </w:rPr>
        <w:t>New Change in Profits, Year</w:t>
      </w:r>
      <w:r w:rsidR="005846AD" w:rsidRPr="00410093">
        <w:rPr>
          <w:rFonts w:ascii="Times New Roman" w:hAnsi="Times New Roman" w:cs="Times New Roman"/>
        </w:rPr>
        <w:t>s</w:t>
      </w:r>
      <w:r w:rsidRPr="00410093">
        <w:rPr>
          <w:rFonts w:ascii="Times New Roman" w:hAnsi="Times New Roman" w:cs="Times New Roman"/>
        </w:rPr>
        <w:t xml:space="preserve"> Thereafter</w:t>
      </w:r>
      <w:r w:rsidR="00AB2E51" w:rsidRPr="00410093">
        <w:rPr>
          <w:rFonts w:ascii="Times New Roman" w:hAnsi="Times New Roman" w:cs="Times New Roman"/>
        </w:rPr>
        <w:t>:</w:t>
      </w:r>
      <w:r w:rsidR="003D58C0" w:rsidRPr="00410093">
        <w:rPr>
          <w:rFonts w:ascii="Times New Roman" w:hAnsi="Times New Roman" w:cs="Times New Roman"/>
        </w:rPr>
        <w:t xml:space="preserve"> </w:t>
      </w:r>
      <w:r w:rsidR="003D58C0" w:rsidRPr="00410093">
        <w:rPr>
          <w:rFonts w:ascii="Cambria Math" w:hAnsi="Cambria Math" w:cs="Times New Roman"/>
          <w:i/>
          <w:iCs/>
          <w:sz w:val="20"/>
          <w:szCs w:val="20"/>
        </w:rPr>
        <w:t>Utility Costs (fixed)</w:t>
      </w:r>
      <w:r w:rsidR="0012163A">
        <w:rPr>
          <w:rFonts w:ascii="Cambria Math" w:hAnsi="Cambria Math" w:cs="Times New Roman"/>
          <w:i/>
          <w:iCs/>
          <w:sz w:val="20"/>
          <w:szCs w:val="20"/>
        </w:rPr>
        <w:t xml:space="preserve"> </w:t>
      </w:r>
      <w:r w:rsidR="0012163A" w:rsidRPr="0012163A">
        <w:rPr>
          <w:rFonts w:ascii="Cambria Math" w:hAnsi="Cambria Math" w:cs="Times New Roman"/>
          <w:sz w:val="20"/>
          <w:szCs w:val="20"/>
        </w:rPr>
        <w:t>+</w:t>
      </w:r>
      <w:r w:rsidR="003D58C0" w:rsidRPr="0012163A">
        <w:rPr>
          <w:rFonts w:ascii="Cambria Math" w:hAnsi="Cambria Math" w:cs="Times New Roman"/>
          <w:sz w:val="20"/>
          <w:szCs w:val="20"/>
        </w:rPr>
        <w:t xml:space="preserve"> </w:t>
      </w:r>
      <w:r w:rsidR="003D58C0" w:rsidRPr="00410093">
        <w:rPr>
          <w:rFonts w:ascii="Cambria Math" w:hAnsi="Cambria Math" w:cs="Times New Roman"/>
          <w:i/>
          <w:iCs/>
          <w:sz w:val="20"/>
          <w:szCs w:val="20"/>
        </w:rPr>
        <w:t xml:space="preserve">Replacement Costs (fixed) </w:t>
      </w:r>
      <w:r w:rsidR="003D58C0" w:rsidRPr="0012163A">
        <w:rPr>
          <w:rFonts w:ascii="Cambria Math" w:hAnsi="Cambria Math" w:cs="Times New Roman"/>
          <w:sz w:val="20"/>
          <w:szCs w:val="20"/>
        </w:rPr>
        <w:t>+</w:t>
      </w:r>
      <w:r w:rsidR="003D58C0" w:rsidRPr="00410093">
        <w:rPr>
          <w:rFonts w:ascii="Cambria Math" w:hAnsi="Cambria Math" w:cs="Times New Roman"/>
          <w:i/>
          <w:iCs/>
          <w:sz w:val="20"/>
          <w:szCs w:val="20"/>
        </w:rPr>
        <w:t xml:space="preserve"> Variable Costs</w:t>
      </w:r>
      <w:r w:rsidR="00A32BF1" w:rsidRPr="00410093">
        <w:rPr>
          <w:rFonts w:ascii="Cambria Math" w:hAnsi="Cambria Math" w:cs="Times New Roman"/>
          <w:i/>
          <w:iCs/>
          <w:sz w:val="20"/>
          <w:szCs w:val="20"/>
        </w:rPr>
        <w:t xml:space="preserve"> </w:t>
      </w:r>
      <w:r w:rsidR="00A32BF1" w:rsidRPr="0012163A">
        <w:rPr>
          <w:rFonts w:ascii="Cambria Math" w:hAnsi="Cambria Math" w:cs="Times New Roman"/>
          <w:sz w:val="20"/>
          <w:szCs w:val="20"/>
        </w:rPr>
        <w:t>+</w:t>
      </w:r>
      <w:r w:rsidR="00A32BF1" w:rsidRPr="00410093">
        <w:rPr>
          <w:rFonts w:ascii="Cambria Math" w:hAnsi="Cambria Math" w:cs="Times New Roman"/>
          <w:i/>
          <w:iCs/>
          <w:sz w:val="20"/>
          <w:szCs w:val="20"/>
        </w:rPr>
        <w:t xml:space="preserve"> Depreciation</w:t>
      </w:r>
    </w:p>
    <w:p w14:paraId="683CF515" w14:textId="77777777" w:rsidR="00F72953" w:rsidRDefault="00F72953" w:rsidP="005846AD">
      <w:pPr>
        <w:tabs>
          <w:tab w:val="left" w:pos="180"/>
        </w:tabs>
        <w:rPr>
          <w:rFonts w:ascii="Times New Roman" w:hAnsi="Times New Roman" w:cs="Times New Roman"/>
        </w:rPr>
      </w:pPr>
    </w:p>
    <w:p w14:paraId="248A5239" w14:textId="74AB3C80" w:rsidR="00B20C35" w:rsidRPr="00410093" w:rsidRDefault="0032160E" w:rsidP="005846AD">
      <w:pPr>
        <w:tabs>
          <w:tab w:val="left" w:pos="180"/>
        </w:tabs>
        <w:rPr>
          <w:rFonts w:ascii="Times New Roman" w:hAnsi="Times New Roman" w:cs="Times New Roman"/>
        </w:rPr>
      </w:pPr>
      <w:r w:rsidRPr="00410093">
        <w:rPr>
          <w:rFonts w:ascii="Times New Roman" w:hAnsi="Times New Roman" w:cs="Times New Roman"/>
        </w:rPr>
        <w:t>Next,</w:t>
      </w:r>
      <w:r w:rsidR="00342B54" w:rsidRPr="00410093">
        <w:rPr>
          <w:rFonts w:ascii="Times New Roman" w:hAnsi="Times New Roman" w:cs="Times New Roman"/>
        </w:rPr>
        <w:t xml:space="preserve"> we subtract each of these values from</w:t>
      </w:r>
      <w:r w:rsidR="0065143D" w:rsidRPr="00410093">
        <w:rPr>
          <w:rFonts w:ascii="Times New Roman" w:hAnsi="Times New Roman" w:cs="Times New Roman"/>
        </w:rPr>
        <w:t xml:space="preserve"> </w:t>
      </w:r>
      <w:r w:rsidR="0065143D" w:rsidRPr="00F72953">
        <w:rPr>
          <w:rFonts w:ascii="Cambria Math" w:hAnsi="Cambria Math" w:cs="Times New Roman"/>
          <w:i/>
          <w:iCs/>
        </w:rPr>
        <w:t>Net_Rev_Change</w:t>
      </w:r>
      <w:r w:rsidR="00342B54" w:rsidRPr="00410093">
        <w:rPr>
          <w:rFonts w:ascii="Times New Roman" w:hAnsi="Times New Roman" w:cs="Times New Roman"/>
        </w:rPr>
        <w:t xml:space="preserve"> </w:t>
      </w:r>
      <w:r w:rsidR="0065143D" w:rsidRPr="00410093">
        <w:rPr>
          <w:rFonts w:ascii="Times New Roman" w:hAnsi="Times New Roman" w:cs="Times New Roman"/>
        </w:rPr>
        <w:t>(</w:t>
      </w:r>
      <w:r w:rsidR="00744D36" w:rsidRPr="00410093">
        <w:rPr>
          <w:rFonts w:ascii="Times New Roman" w:hAnsi="Times New Roman" w:cs="Times New Roman"/>
          <w:b/>
          <w:bCs/>
        </w:rPr>
        <w:t>short-term annual revenue after transaction fees minus long-term annual revenue</w:t>
      </w:r>
      <w:r w:rsidR="0065143D" w:rsidRPr="00410093">
        <w:rPr>
          <w:rFonts w:ascii="Times New Roman" w:hAnsi="Times New Roman" w:cs="Times New Roman"/>
        </w:rPr>
        <w:t>)</w:t>
      </w:r>
      <w:r w:rsidR="00B20C35" w:rsidRPr="00410093">
        <w:rPr>
          <w:rFonts w:ascii="Times New Roman" w:hAnsi="Times New Roman" w:cs="Times New Roman"/>
        </w:rPr>
        <w:t xml:space="preserve"> to give us</w:t>
      </w:r>
      <w:r w:rsidR="00F72953">
        <w:rPr>
          <w:rFonts w:ascii="Times New Roman" w:hAnsi="Times New Roman" w:cs="Times New Roman"/>
        </w:rPr>
        <w:t xml:space="preserve"> the following</w:t>
      </w:r>
      <w:r w:rsidR="00B20C35" w:rsidRPr="00410093">
        <w:rPr>
          <w:rFonts w:ascii="Times New Roman" w:hAnsi="Times New Roman" w:cs="Times New Roman"/>
        </w:rPr>
        <w:t xml:space="preserve"> 4 final financial figures for each property</w:t>
      </w:r>
      <w:r w:rsidR="00F72953">
        <w:rPr>
          <w:rFonts w:ascii="Times New Roman" w:hAnsi="Times New Roman" w:cs="Times New Roman"/>
        </w:rPr>
        <w:t>:</w:t>
      </w:r>
    </w:p>
    <w:p w14:paraId="176E74CA" w14:textId="5AB519E6" w:rsidR="00B20C35" w:rsidRPr="00410093" w:rsidRDefault="00B20C35" w:rsidP="00FC2824">
      <w:pPr>
        <w:pStyle w:val="ListParagraph"/>
        <w:numPr>
          <w:ilvl w:val="0"/>
          <w:numId w:val="3"/>
        </w:numPr>
        <w:tabs>
          <w:tab w:val="left" w:pos="180"/>
        </w:tabs>
        <w:spacing w:line="360" w:lineRule="auto"/>
        <w:rPr>
          <w:rFonts w:ascii="Times New Roman" w:hAnsi="Times New Roman" w:cs="Times New Roman"/>
        </w:rPr>
      </w:pPr>
      <w:r w:rsidRPr="00410093">
        <w:rPr>
          <w:rFonts w:ascii="Times New Roman" w:hAnsi="Times New Roman" w:cs="Times New Roman"/>
        </w:rPr>
        <w:t>Net Change in Cash Flow, Conversion Year</w:t>
      </w:r>
      <w:r w:rsidR="0065143D" w:rsidRPr="00410093">
        <w:rPr>
          <w:rFonts w:ascii="Times New Roman" w:hAnsi="Times New Roman" w:cs="Times New Roman"/>
        </w:rPr>
        <w:t xml:space="preserve">: </w:t>
      </w:r>
      <w:r w:rsidR="0065143D" w:rsidRPr="00410093">
        <w:rPr>
          <w:rFonts w:ascii="Cambria Math" w:hAnsi="Cambria Math" w:cs="Times New Roman"/>
          <w:i/>
          <w:iCs/>
          <w:sz w:val="20"/>
          <w:szCs w:val="20"/>
        </w:rPr>
        <w:t>Net_Rev_Change - New Cash Out, Conversion Year</w:t>
      </w:r>
    </w:p>
    <w:p w14:paraId="5AF67310" w14:textId="4D1C4939" w:rsidR="00B20C35" w:rsidRPr="00410093" w:rsidRDefault="00B20C35" w:rsidP="00FC2824">
      <w:pPr>
        <w:pStyle w:val="ListParagraph"/>
        <w:numPr>
          <w:ilvl w:val="0"/>
          <w:numId w:val="3"/>
        </w:numPr>
        <w:tabs>
          <w:tab w:val="left" w:pos="180"/>
        </w:tabs>
        <w:spacing w:line="360" w:lineRule="auto"/>
        <w:rPr>
          <w:rFonts w:ascii="Times New Roman" w:hAnsi="Times New Roman" w:cs="Times New Roman"/>
        </w:rPr>
      </w:pPr>
      <w:r w:rsidRPr="00410093">
        <w:rPr>
          <w:rFonts w:ascii="Times New Roman" w:hAnsi="Times New Roman" w:cs="Times New Roman"/>
        </w:rPr>
        <w:t>Net Change in Cash Flow, Years After</w:t>
      </w:r>
      <w:r w:rsidR="0065143D" w:rsidRPr="00410093">
        <w:rPr>
          <w:rFonts w:ascii="Times New Roman" w:hAnsi="Times New Roman" w:cs="Times New Roman"/>
        </w:rPr>
        <w:t xml:space="preserve">: </w:t>
      </w:r>
      <w:r w:rsidR="0065143D" w:rsidRPr="00410093">
        <w:rPr>
          <w:rFonts w:ascii="Cambria Math" w:hAnsi="Cambria Math" w:cs="Times New Roman"/>
          <w:i/>
          <w:iCs/>
          <w:sz w:val="20"/>
          <w:szCs w:val="20"/>
        </w:rPr>
        <w:t>Net_Rev_Change - New Cash Out - Years Thereafter</w:t>
      </w:r>
    </w:p>
    <w:p w14:paraId="60345209" w14:textId="791C2E50" w:rsidR="00B20C35" w:rsidRPr="00410093" w:rsidRDefault="00B20C35" w:rsidP="00FC2824">
      <w:pPr>
        <w:pStyle w:val="ListParagraph"/>
        <w:numPr>
          <w:ilvl w:val="0"/>
          <w:numId w:val="3"/>
        </w:numPr>
        <w:tabs>
          <w:tab w:val="left" w:pos="180"/>
        </w:tabs>
        <w:spacing w:line="360" w:lineRule="auto"/>
        <w:rPr>
          <w:rFonts w:ascii="Times New Roman" w:hAnsi="Times New Roman" w:cs="Times New Roman"/>
        </w:rPr>
      </w:pPr>
      <w:r w:rsidRPr="00410093">
        <w:rPr>
          <w:rFonts w:ascii="Times New Roman" w:hAnsi="Times New Roman" w:cs="Times New Roman"/>
        </w:rPr>
        <w:t xml:space="preserve">Net Change in Profits, Conversion </w:t>
      </w:r>
      <w:r w:rsidR="0065143D" w:rsidRPr="00410093">
        <w:rPr>
          <w:rFonts w:ascii="Times New Roman" w:hAnsi="Times New Roman" w:cs="Times New Roman"/>
        </w:rPr>
        <w:t>Y</w:t>
      </w:r>
      <w:r w:rsidRPr="00410093">
        <w:rPr>
          <w:rFonts w:ascii="Times New Roman" w:hAnsi="Times New Roman" w:cs="Times New Roman"/>
        </w:rPr>
        <w:t>ea</w:t>
      </w:r>
      <w:r w:rsidR="0065143D" w:rsidRPr="00410093">
        <w:rPr>
          <w:rFonts w:ascii="Times New Roman" w:hAnsi="Times New Roman" w:cs="Times New Roman"/>
        </w:rPr>
        <w:t xml:space="preserve">r: </w:t>
      </w:r>
      <w:r w:rsidR="0065143D" w:rsidRPr="00410093">
        <w:rPr>
          <w:rFonts w:ascii="Cambria Math" w:hAnsi="Cambria Math" w:cs="Times New Roman"/>
          <w:i/>
          <w:iCs/>
          <w:sz w:val="20"/>
          <w:szCs w:val="20"/>
        </w:rPr>
        <w:t>Net_Rev_Change - New Change in Profits, Conversion Year</w:t>
      </w:r>
    </w:p>
    <w:p w14:paraId="4BAC1E57" w14:textId="580AC207" w:rsidR="005846AD" w:rsidRPr="00410093" w:rsidRDefault="00B20C35" w:rsidP="00FC2824">
      <w:pPr>
        <w:pStyle w:val="ListParagraph"/>
        <w:numPr>
          <w:ilvl w:val="0"/>
          <w:numId w:val="3"/>
        </w:numPr>
        <w:tabs>
          <w:tab w:val="left" w:pos="180"/>
        </w:tabs>
        <w:spacing w:line="360" w:lineRule="auto"/>
        <w:rPr>
          <w:rFonts w:ascii="Times New Roman" w:hAnsi="Times New Roman" w:cs="Times New Roman"/>
        </w:rPr>
      </w:pPr>
      <w:r w:rsidRPr="00410093">
        <w:rPr>
          <w:rFonts w:ascii="Times New Roman" w:hAnsi="Times New Roman" w:cs="Times New Roman"/>
        </w:rPr>
        <w:t>Net Change in Profits, Years After</w:t>
      </w:r>
      <w:r w:rsidR="0065143D" w:rsidRPr="00410093">
        <w:rPr>
          <w:rFonts w:ascii="Times New Roman" w:hAnsi="Times New Roman" w:cs="Times New Roman"/>
        </w:rPr>
        <w:t xml:space="preserve">: </w:t>
      </w:r>
      <w:r w:rsidR="0065143D" w:rsidRPr="00410093">
        <w:rPr>
          <w:rFonts w:ascii="Cambria Math" w:hAnsi="Cambria Math" w:cs="Times New Roman"/>
          <w:i/>
          <w:iCs/>
          <w:sz w:val="20"/>
          <w:szCs w:val="20"/>
        </w:rPr>
        <w:t>Net_Rev_Change - New Change in Profits, Years Thereafter</w:t>
      </w:r>
    </w:p>
    <w:p w14:paraId="6D98A8D7" w14:textId="690992A6" w:rsidR="0065143D" w:rsidRPr="00410093" w:rsidRDefault="008F4398" w:rsidP="0065143D">
      <w:pPr>
        <w:rPr>
          <w:rFonts w:ascii="Times New Roman" w:hAnsi="Times New Roman" w:cs="Times New Roman"/>
        </w:rPr>
      </w:pPr>
      <w:r w:rsidRPr="00410093">
        <w:rPr>
          <w:rFonts w:ascii="Times New Roman" w:hAnsi="Times New Roman" w:cs="Times New Roman"/>
        </w:rPr>
        <w:t>The final figure here, Net Change in Profits, Years After</w:t>
      </w:r>
      <w:r w:rsidR="00C16538" w:rsidRPr="00410093">
        <w:rPr>
          <w:rFonts w:ascii="Times New Roman" w:hAnsi="Times New Roman" w:cs="Times New Roman"/>
        </w:rPr>
        <w:t xml:space="preserve"> was the figure used to determine the minimum profitability threshold </w:t>
      </w:r>
      <w:r w:rsidR="00C6683F" w:rsidRPr="00410093">
        <w:rPr>
          <w:rFonts w:ascii="Times New Roman" w:hAnsi="Times New Roman" w:cs="Times New Roman"/>
        </w:rPr>
        <w:t xml:space="preserve">for a property to be included in the risk adjusted conversion model assessment. </w:t>
      </w:r>
    </w:p>
    <w:p w14:paraId="49FC058C" w14:textId="77777777" w:rsidR="0065143D" w:rsidRPr="00410093" w:rsidRDefault="0065143D" w:rsidP="0065143D">
      <w:pPr>
        <w:pBdr>
          <w:bottom w:val="single" w:sz="12" w:space="1" w:color="auto"/>
        </w:pBdr>
        <w:rPr>
          <w:rFonts w:ascii="Times New Roman" w:hAnsi="Times New Roman" w:cs="Times New Roman"/>
        </w:rPr>
      </w:pPr>
    </w:p>
    <w:p w14:paraId="5A3009EE" w14:textId="77777777" w:rsidR="00881CC0" w:rsidRPr="00410093" w:rsidRDefault="00881CC0" w:rsidP="0065143D">
      <w:pPr>
        <w:rPr>
          <w:rFonts w:ascii="Times New Roman" w:hAnsi="Times New Roman" w:cs="Times New Roman"/>
        </w:rPr>
      </w:pPr>
    </w:p>
    <w:p w14:paraId="1C5D417C" w14:textId="49D3F892" w:rsidR="00184C26" w:rsidRPr="005929F8" w:rsidRDefault="005929F8" w:rsidP="00184C26">
      <w:pPr>
        <w:spacing w:after="0" w:line="240" w:lineRule="auto"/>
        <w:rPr>
          <w:rFonts w:ascii="Times New Roman" w:hAnsi="Times New Roman" w:cs="Times New Roman"/>
          <w:b/>
          <w:bCs/>
        </w:rPr>
      </w:pPr>
      <w:r w:rsidRPr="005929F8">
        <w:rPr>
          <w:rFonts w:ascii="Times New Roman" w:eastAsia="Times New Roman" w:hAnsi="Times New Roman" w:cs="Times New Roman"/>
          <w:b/>
          <w:bCs/>
        </w:rPr>
        <w:t>Risks &amp; Sensitivity</w:t>
      </w:r>
    </w:p>
    <w:p w14:paraId="40A5F57C" w14:textId="77777777" w:rsidR="00184C26" w:rsidRPr="00410093" w:rsidRDefault="00184C26" w:rsidP="00184C26">
      <w:pPr>
        <w:spacing w:after="0" w:line="240" w:lineRule="auto"/>
        <w:rPr>
          <w:rFonts w:ascii="Times New Roman" w:hAnsi="Times New Roman" w:cs="Times New Roman"/>
        </w:rPr>
      </w:pPr>
    </w:p>
    <w:p w14:paraId="40097BEF" w14:textId="77777777" w:rsidR="00BE34EB" w:rsidRPr="00410093" w:rsidRDefault="00BE34EB" w:rsidP="00184C26">
      <w:pPr>
        <w:spacing w:after="0" w:line="240" w:lineRule="auto"/>
        <w:rPr>
          <w:rFonts w:ascii="Times New Roman" w:eastAsia="Times New Roman" w:hAnsi="Times New Roman" w:cs="Times New Roman"/>
        </w:rPr>
      </w:pPr>
    </w:p>
    <w:p w14:paraId="6A683C54" w14:textId="6D2D252A" w:rsidR="004B1CB7" w:rsidRPr="00410093" w:rsidRDefault="00184C26" w:rsidP="00184C26">
      <w:pPr>
        <w:spacing w:after="0" w:line="240" w:lineRule="auto"/>
        <w:rPr>
          <w:rFonts w:ascii="Times New Roman" w:eastAsia="Times New Roman" w:hAnsi="Times New Roman" w:cs="Times New Roman"/>
        </w:rPr>
      </w:pPr>
      <w:r w:rsidRPr="00410093">
        <w:rPr>
          <w:rFonts w:ascii="Times New Roman" w:eastAsia="Times New Roman" w:hAnsi="Times New Roman" w:cs="Times New Roman"/>
        </w:rPr>
        <w:t xml:space="preserve">The metrics </w:t>
      </w:r>
      <w:r w:rsidR="00A34AAA" w:rsidRPr="00410093">
        <w:rPr>
          <w:rFonts w:ascii="Times New Roman" w:eastAsia="Times New Roman" w:hAnsi="Times New Roman" w:cs="Times New Roman"/>
        </w:rPr>
        <w:t>reported on</w:t>
      </w:r>
      <w:r w:rsidRPr="00410093">
        <w:rPr>
          <w:rFonts w:ascii="Times New Roman" w:eastAsia="Times New Roman" w:hAnsi="Times New Roman" w:cs="Times New Roman"/>
        </w:rPr>
        <w:t xml:space="preserve"> are based on the sum of the forecasted profits that would be gained and the forecasted capital investment that would be needed if my recommendation is followed, after the following are taken into account:</w:t>
      </w:r>
      <w:r w:rsidR="004B1CB7" w:rsidRPr="00410093">
        <w:rPr>
          <w:rFonts w:ascii="Times New Roman" w:eastAsia="Times New Roman" w:hAnsi="Times New Roman" w:cs="Times New Roman"/>
        </w:rPr>
        <w:t xml:space="preserve"> (1) </w:t>
      </w:r>
      <w:r w:rsidR="00952626" w:rsidRPr="00410093">
        <w:rPr>
          <w:rFonts w:ascii="Times New Roman" w:eastAsia="Times New Roman" w:hAnsi="Times New Roman" w:cs="Times New Roman"/>
        </w:rPr>
        <w:t>minimum profitability threshold per property,</w:t>
      </w:r>
      <w:r w:rsidRPr="00410093">
        <w:rPr>
          <w:rFonts w:ascii="Times New Roman" w:eastAsia="Times New Roman" w:hAnsi="Times New Roman" w:cs="Times New Roman"/>
        </w:rPr>
        <w:t xml:space="preserve"> (</w:t>
      </w:r>
      <w:r w:rsidR="0090405E" w:rsidRPr="00410093">
        <w:rPr>
          <w:rFonts w:ascii="Times New Roman" w:eastAsia="Times New Roman" w:hAnsi="Times New Roman" w:cs="Times New Roman"/>
        </w:rPr>
        <w:t>2</w:t>
      </w:r>
      <w:r w:rsidRPr="00410093">
        <w:rPr>
          <w:rFonts w:ascii="Times New Roman" w:eastAsia="Times New Roman" w:hAnsi="Times New Roman" w:cs="Times New Roman"/>
        </w:rPr>
        <w:t xml:space="preserve">) initial </w:t>
      </w:r>
      <w:r w:rsidR="00952626" w:rsidRPr="00410093">
        <w:rPr>
          <w:rFonts w:ascii="Times New Roman" w:eastAsia="Times New Roman" w:hAnsi="Times New Roman" w:cs="Times New Roman"/>
        </w:rPr>
        <w:t>capital requirements</w:t>
      </w:r>
      <w:r w:rsidRPr="00410093">
        <w:rPr>
          <w:rFonts w:ascii="Times New Roman" w:eastAsia="Times New Roman" w:hAnsi="Times New Roman" w:cs="Times New Roman"/>
        </w:rPr>
        <w:t>,</w:t>
      </w:r>
      <w:r w:rsidR="00952626" w:rsidRPr="00410093">
        <w:rPr>
          <w:rFonts w:ascii="Times New Roman" w:eastAsia="Times New Roman" w:hAnsi="Times New Roman" w:cs="Times New Roman"/>
        </w:rPr>
        <w:t xml:space="preserve"> (</w:t>
      </w:r>
      <w:r w:rsidR="0090405E" w:rsidRPr="00410093">
        <w:rPr>
          <w:rFonts w:ascii="Times New Roman" w:eastAsia="Times New Roman" w:hAnsi="Times New Roman" w:cs="Times New Roman"/>
        </w:rPr>
        <w:t>3</w:t>
      </w:r>
      <w:r w:rsidR="00952626" w:rsidRPr="00410093">
        <w:rPr>
          <w:rFonts w:ascii="Times New Roman" w:eastAsia="Times New Roman" w:hAnsi="Times New Roman" w:cs="Times New Roman"/>
        </w:rPr>
        <w:t>) years to depreciate CAPEX,</w:t>
      </w:r>
      <w:r w:rsidRPr="00410093">
        <w:rPr>
          <w:rFonts w:ascii="Times New Roman" w:eastAsia="Times New Roman" w:hAnsi="Times New Roman" w:cs="Times New Roman"/>
        </w:rPr>
        <w:t xml:space="preserve"> (</w:t>
      </w:r>
      <w:r w:rsidR="0090405E" w:rsidRPr="00410093">
        <w:rPr>
          <w:rFonts w:ascii="Times New Roman" w:eastAsia="Times New Roman" w:hAnsi="Times New Roman" w:cs="Times New Roman"/>
        </w:rPr>
        <w:t>4</w:t>
      </w:r>
      <w:r w:rsidRPr="00410093">
        <w:rPr>
          <w:rFonts w:ascii="Times New Roman" w:eastAsia="Times New Roman" w:hAnsi="Times New Roman" w:cs="Times New Roman"/>
        </w:rPr>
        <w:t xml:space="preserve">) </w:t>
      </w:r>
      <w:r w:rsidR="00B64416" w:rsidRPr="00410093">
        <w:rPr>
          <w:rFonts w:ascii="Times New Roman" w:eastAsia="Times New Roman" w:hAnsi="Times New Roman" w:cs="Times New Roman"/>
        </w:rPr>
        <w:t>repair</w:t>
      </w:r>
      <w:r w:rsidRPr="00410093">
        <w:rPr>
          <w:rFonts w:ascii="Times New Roman" w:eastAsia="Times New Roman" w:hAnsi="Times New Roman" w:cs="Times New Roman"/>
        </w:rPr>
        <w:t xml:space="preserve"> costs, (</w:t>
      </w:r>
      <w:r w:rsidR="001814CE" w:rsidRPr="00410093">
        <w:rPr>
          <w:rFonts w:ascii="Times New Roman" w:eastAsia="Times New Roman" w:hAnsi="Times New Roman" w:cs="Times New Roman"/>
        </w:rPr>
        <w:t>5</w:t>
      </w:r>
      <w:r w:rsidRPr="00410093">
        <w:rPr>
          <w:rFonts w:ascii="Times New Roman" w:eastAsia="Times New Roman" w:hAnsi="Times New Roman" w:cs="Times New Roman"/>
        </w:rPr>
        <w:t xml:space="preserve">) </w:t>
      </w:r>
      <w:r w:rsidR="001814CE" w:rsidRPr="00410093">
        <w:rPr>
          <w:rFonts w:ascii="Times New Roman" w:eastAsia="Times New Roman" w:hAnsi="Times New Roman" w:cs="Times New Roman"/>
        </w:rPr>
        <w:t>hospitality online</w:t>
      </w:r>
      <w:r w:rsidRPr="00410093">
        <w:rPr>
          <w:rFonts w:ascii="Times New Roman" w:eastAsia="Times New Roman" w:hAnsi="Times New Roman" w:cs="Times New Roman"/>
        </w:rPr>
        <w:t xml:space="preserve"> service fees, (</w:t>
      </w:r>
      <w:r w:rsidR="001814CE" w:rsidRPr="00410093">
        <w:rPr>
          <w:rFonts w:ascii="Times New Roman" w:eastAsia="Times New Roman" w:hAnsi="Times New Roman" w:cs="Times New Roman"/>
        </w:rPr>
        <w:t>6</w:t>
      </w:r>
      <w:r w:rsidRPr="00410093">
        <w:rPr>
          <w:rFonts w:ascii="Times New Roman" w:eastAsia="Times New Roman" w:hAnsi="Times New Roman" w:cs="Times New Roman"/>
        </w:rPr>
        <w:t>) regulatory fees, (</w:t>
      </w:r>
      <w:r w:rsidR="001814CE" w:rsidRPr="00410093">
        <w:rPr>
          <w:rFonts w:ascii="Times New Roman" w:eastAsia="Times New Roman" w:hAnsi="Times New Roman" w:cs="Times New Roman"/>
        </w:rPr>
        <w:t>7</w:t>
      </w:r>
      <w:r w:rsidRPr="00410093">
        <w:rPr>
          <w:rFonts w:ascii="Times New Roman" w:eastAsia="Times New Roman" w:hAnsi="Times New Roman" w:cs="Times New Roman"/>
        </w:rPr>
        <w:t xml:space="preserve">) hospitality </w:t>
      </w:r>
      <w:r w:rsidR="001814CE" w:rsidRPr="00410093">
        <w:rPr>
          <w:rFonts w:ascii="Times New Roman" w:eastAsia="Times New Roman" w:hAnsi="Times New Roman" w:cs="Times New Roman"/>
        </w:rPr>
        <w:t>fees</w:t>
      </w:r>
      <w:r w:rsidRPr="00410093">
        <w:rPr>
          <w:rFonts w:ascii="Times New Roman" w:eastAsia="Times New Roman" w:hAnsi="Times New Roman" w:cs="Times New Roman"/>
        </w:rPr>
        <w:t xml:space="preserve"> (including key service and cleaning), (</w:t>
      </w:r>
      <w:r w:rsidR="001814CE" w:rsidRPr="00410093">
        <w:rPr>
          <w:rFonts w:ascii="Times New Roman" w:eastAsia="Times New Roman" w:hAnsi="Times New Roman" w:cs="Times New Roman"/>
        </w:rPr>
        <w:t>8</w:t>
      </w:r>
      <w:r w:rsidRPr="00410093">
        <w:rPr>
          <w:rFonts w:ascii="Times New Roman" w:eastAsia="Times New Roman" w:hAnsi="Times New Roman" w:cs="Times New Roman"/>
        </w:rPr>
        <w:t xml:space="preserve">) </w:t>
      </w:r>
      <w:r w:rsidR="001814CE" w:rsidRPr="00410093">
        <w:rPr>
          <w:rFonts w:ascii="Times New Roman" w:eastAsia="Times New Roman" w:hAnsi="Times New Roman" w:cs="Times New Roman"/>
        </w:rPr>
        <w:t>average</w:t>
      </w:r>
      <w:r w:rsidRPr="00410093">
        <w:rPr>
          <w:rFonts w:ascii="Times New Roman" w:eastAsia="Times New Roman" w:hAnsi="Times New Roman" w:cs="Times New Roman"/>
        </w:rPr>
        <w:t xml:space="preserve"> duration of stay, and (</w:t>
      </w:r>
      <w:r w:rsidR="001814CE" w:rsidRPr="00410093">
        <w:rPr>
          <w:rFonts w:ascii="Times New Roman" w:eastAsia="Times New Roman" w:hAnsi="Times New Roman" w:cs="Times New Roman"/>
        </w:rPr>
        <w:t>9</w:t>
      </w:r>
      <w:r w:rsidRPr="00410093">
        <w:rPr>
          <w:rFonts w:ascii="Times New Roman" w:eastAsia="Times New Roman" w:hAnsi="Times New Roman" w:cs="Times New Roman"/>
        </w:rPr>
        <w:t xml:space="preserve">) utilities.  </w:t>
      </w:r>
    </w:p>
    <w:p w14:paraId="7FD02D12" w14:textId="77777777" w:rsidR="004B1CB7" w:rsidRPr="00410093" w:rsidRDefault="004B1CB7" w:rsidP="00184C26">
      <w:pPr>
        <w:spacing w:after="0" w:line="240" w:lineRule="auto"/>
        <w:rPr>
          <w:rFonts w:ascii="Times New Roman" w:eastAsia="Times New Roman" w:hAnsi="Times New Roman" w:cs="Times New Roman"/>
        </w:rPr>
      </w:pPr>
    </w:p>
    <w:p w14:paraId="39C75BCE" w14:textId="2AE9204B" w:rsidR="00184C26" w:rsidRPr="00410093" w:rsidRDefault="00184C26" w:rsidP="00184C26">
      <w:pPr>
        <w:spacing w:after="0" w:line="240" w:lineRule="auto"/>
        <w:rPr>
          <w:rFonts w:ascii="Times New Roman" w:hAnsi="Times New Roman" w:cs="Times New Roman"/>
        </w:rPr>
      </w:pPr>
      <w:r w:rsidRPr="00410093">
        <w:rPr>
          <w:rFonts w:ascii="Times New Roman" w:eastAsia="Times New Roman" w:hAnsi="Times New Roman" w:cs="Times New Roman"/>
        </w:rPr>
        <w:t>The details of the assumptions used are provided below (</w:t>
      </w:r>
      <w:r w:rsidR="001442CB">
        <w:rPr>
          <w:rFonts w:ascii="Times New Roman" w:eastAsia="Times New Roman" w:hAnsi="Times New Roman" w:cs="Times New Roman"/>
        </w:rPr>
        <w:t xml:space="preserve">Figure </w:t>
      </w:r>
      <w:r w:rsidR="007B0D9A">
        <w:rPr>
          <w:rFonts w:ascii="Times New Roman" w:eastAsia="Times New Roman" w:hAnsi="Times New Roman" w:cs="Times New Roman"/>
        </w:rPr>
        <w:t>9</w:t>
      </w:r>
      <w:r w:rsidRPr="00410093">
        <w:rPr>
          <w:rFonts w:ascii="Times New Roman" w:eastAsia="Times New Roman" w:hAnsi="Times New Roman" w:cs="Times New Roman"/>
        </w:rPr>
        <w:t xml:space="preserve">), </w:t>
      </w:r>
      <w:r w:rsidR="00E1509C">
        <w:rPr>
          <w:rFonts w:ascii="Times New Roman" w:eastAsia="Times New Roman" w:hAnsi="Times New Roman" w:cs="Times New Roman"/>
        </w:rPr>
        <w:t>with</w:t>
      </w:r>
      <w:r w:rsidRPr="00410093">
        <w:rPr>
          <w:rFonts w:ascii="Times New Roman" w:eastAsia="Times New Roman" w:hAnsi="Times New Roman" w:cs="Times New Roman"/>
        </w:rPr>
        <w:t xml:space="preserve"> a description of the </w:t>
      </w:r>
      <w:r w:rsidR="00E1509C">
        <w:rPr>
          <w:rFonts w:ascii="Times New Roman" w:eastAsia="Times New Roman" w:hAnsi="Times New Roman" w:cs="Times New Roman"/>
        </w:rPr>
        <w:t>ranges</w:t>
      </w:r>
      <w:r w:rsidRPr="00410093">
        <w:rPr>
          <w:rFonts w:ascii="Times New Roman" w:eastAsia="Times New Roman" w:hAnsi="Times New Roman" w:cs="Times New Roman"/>
        </w:rPr>
        <w:t xml:space="preserve"> of </w:t>
      </w:r>
      <w:r w:rsidR="00A34AAA" w:rsidRPr="00410093">
        <w:rPr>
          <w:rFonts w:ascii="Times New Roman" w:eastAsia="Times New Roman" w:hAnsi="Times New Roman" w:cs="Times New Roman"/>
        </w:rPr>
        <w:t>risk adjusted</w:t>
      </w:r>
      <w:r w:rsidRPr="00410093">
        <w:rPr>
          <w:rFonts w:ascii="Times New Roman" w:eastAsia="Times New Roman" w:hAnsi="Times New Roman" w:cs="Times New Roman"/>
        </w:rPr>
        <w:t xml:space="preserve"> </w:t>
      </w:r>
      <w:r w:rsidR="00E1509C">
        <w:rPr>
          <w:rFonts w:ascii="Times New Roman" w:eastAsia="Times New Roman" w:hAnsi="Times New Roman" w:cs="Times New Roman"/>
        </w:rPr>
        <w:t xml:space="preserve">in the </w:t>
      </w:r>
      <w:r w:rsidRPr="00410093">
        <w:rPr>
          <w:rFonts w:ascii="Times New Roman" w:eastAsia="Times New Roman" w:hAnsi="Times New Roman" w:cs="Times New Roman"/>
        </w:rPr>
        <w:t>sensitivity analysis.</w:t>
      </w:r>
    </w:p>
    <w:p w14:paraId="4FA98521" w14:textId="77777777" w:rsidR="00184C26" w:rsidRDefault="00184C26" w:rsidP="00184C26">
      <w:pPr>
        <w:spacing w:after="0" w:line="240" w:lineRule="auto"/>
        <w:rPr>
          <w:rFonts w:ascii="Times New Roman" w:hAnsi="Times New Roman" w:cs="Times New Roman"/>
        </w:rPr>
      </w:pPr>
    </w:p>
    <w:p w14:paraId="79153DE5" w14:textId="77777777" w:rsidR="00881CC0" w:rsidRDefault="00881CC0" w:rsidP="00184C26">
      <w:pPr>
        <w:spacing w:after="0" w:line="240" w:lineRule="auto"/>
        <w:rPr>
          <w:rFonts w:ascii="Times New Roman" w:hAnsi="Times New Roman" w:cs="Times New Roman"/>
        </w:rPr>
      </w:pPr>
    </w:p>
    <w:p w14:paraId="44F9BB93" w14:textId="77777777" w:rsidR="00881CC0" w:rsidRDefault="00881CC0" w:rsidP="00184C26">
      <w:pPr>
        <w:spacing w:after="0" w:line="240" w:lineRule="auto"/>
        <w:rPr>
          <w:rFonts w:ascii="Times New Roman" w:hAnsi="Times New Roman" w:cs="Times New Roman"/>
        </w:rPr>
      </w:pPr>
    </w:p>
    <w:p w14:paraId="3122427F" w14:textId="77777777" w:rsidR="00881CC0" w:rsidRDefault="00881CC0" w:rsidP="00184C26">
      <w:pPr>
        <w:spacing w:after="0" w:line="240" w:lineRule="auto"/>
        <w:rPr>
          <w:rFonts w:ascii="Times New Roman" w:hAnsi="Times New Roman" w:cs="Times New Roman"/>
        </w:rPr>
      </w:pPr>
    </w:p>
    <w:p w14:paraId="4D683C05" w14:textId="77777777" w:rsidR="00881CC0" w:rsidRDefault="00881CC0" w:rsidP="00184C26">
      <w:pPr>
        <w:spacing w:after="0" w:line="240" w:lineRule="auto"/>
        <w:rPr>
          <w:rFonts w:ascii="Times New Roman" w:hAnsi="Times New Roman" w:cs="Times New Roman"/>
        </w:rPr>
      </w:pPr>
    </w:p>
    <w:p w14:paraId="717CE062" w14:textId="77777777" w:rsidR="00881CC0" w:rsidRDefault="00881CC0" w:rsidP="00184C26">
      <w:pPr>
        <w:spacing w:after="0" w:line="240" w:lineRule="auto"/>
        <w:rPr>
          <w:rFonts w:ascii="Times New Roman" w:hAnsi="Times New Roman" w:cs="Times New Roman"/>
        </w:rPr>
      </w:pPr>
    </w:p>
    <w:p w14:paraId="7BBD0DB9" w14:textId="77777777" w:rsidR="00881CC0" w:rsidRDefault="00881CC0" w:rsidP="00184C26">
      <w:pPr>
        <w:spacing w:after="0" w:line="240" w:lineRule="auto"/>
        <w:rPr>
          <w:rFonts w:ascii="Times New Roman" w:hAnsi="Times New Roman" w:cs="Times New Roman"/>
        </w:rPr>
      </w:pPr>
    </w:p>
    <w:p w14:paraId="6E60BAC1" w14:textId="77777777" w:rsidR="00881CC0" w:rsidRDefault="00881CC0" w:rsidP="00184C26">
      <w:pPr>
        <w:spacing w:after="0" w:line="240" w:lineRule="auto"/>
        <w:rPr>
          <w:rFonts w:ascii="Times New Roman" w:hAnsi="Times New Roman" w:cs="Times New Roman"/>
        </w:rPr>
      </w:pPr>
    </w:p>
    <w:p w14:paraId="074D0D0B" w14:textId="77777777" w:rsidR="00881CC0" w:rsidRDefault="00881CC0" w:rsidP="00184C26">
      <w:pPr>
        <w:spacing w:after="0" w:line="240" w:lineRule="auto"/>
        <w:rPr>
          <w:rFonts w:ascii="Times New Roman" w:hAnsi="Times New Roman" w:cs="Times New Roman"/>
        </w:rPr>
      </w:pPr>
    </w:p>
    <w:p w14:paraId="5FF730E6" w14:textId="77777777" w:rsidR="00881CC0" w:rsidRPr="00410093" w:rsidRDefault="00881CC0" w:rsidP="00184C26">
      <w:pPr>
        <w:spacing w:after="0" w:line="240" w:lineRule="auto"/>
        <w:rPr>
          <w:rFonts w:ascii="Times New Roman" w:hAnsi="Times New Roman" w:cs="Times New Roman"/>
        </w:rPr>
      </w:pPr>
    </w:p>
    <w:p w14:paraId="066B3C06" w14:textId="77777777" w:rsidR="00184C26" w:rsidRPr="00410093" w:rsidRDefault="00184C26" w:rsidP="00184C26">
      <w:pPr>
        <w:spacing w:after="0" w:line="240" w:lineRule="auto"/>
        <w:rPr>
          <w:rFonts w:ascii="Times New Roman" w:hAnsi="Times New Roman" w:cs="Times New Roman"/>
        </w:rPr>
      </w:pPr>
    </w:p>
    <w:tbl>
      <w:tblPr>
        <w:tblStyle w:val="TableGrid"/>
        <w:tblW w:w="10709" w:type="dxa"/>
        <w:tblLayout w:type="fixed"/>
        <w:tblLook w:val="04A0" w:firstRow="1" w:lastRow="0" w:firstColumn="1" w:lastColumn="0" w:noHBand="0" w:noVBand="1"/>
      </w:tblPr>
      <w:tblGrid>
        <w:gridCol w:w="2515"/>
        <w:gridCol w:w="1009"/>
        <w:gridCol w:w="1241"/>
        <w:gridCol w:w="990"/>
        <w:gridCol w:w="990"/>
        <w:gridCol w:w="3964"/>
      </w:tblGrid>
      <w:tr w:rsidR="00184C26" w:rsidRPr="00410093" w14:paraId="56CB9408" w14:textId="77777777" w:rsidTr="00463D70">
        <w:trPr>
          <w:trHeight w:val="922"/>
        </w:trPr>
        <w:tc>
          <w:tcPr>
            <w:tcW w:w="2515" w:type="dxa"/>
            <w:shd w:val="clear" w:color="auto" w:fill="D9D9D9" w:themeFill="background1" w:themeFillShade="D9"/>
          </w:tcPr>
          <w:p w14:paraId="19F48EEE" w14:textId="77777777" w:rsidR="005E4ADD" w:rsidRDefault="005E4ADD" w:rsidP="00837F45">
            <w:pPr>
              <w:jc w:val="center"/>
              <w:rPr>
                <w:rFonts w:ascii="Times New Roman" w:eastAsia="Times New Roman" w:hAnsi="Times New Roman" w:cs="Times New Roman"/>
                <w:b/>
                <w:sz w:val="20"/>
                <w:szCs w:val="20"/>
              </w:rPr>
            </w:pPr>
          </w:p>
          <w:p w14:paraId="5AEA60A2" w14:textId="76223913" w:rsidR="00184C26" w:rsidRPr="00410093" w:rsidRDefault="00184C26" w:rsidP="00837F45">
            <w:pPr>
              <w:jc w:val="center"/>
              <w:rPr>
                <w:rFonts w:ascii="Times New Roman" w:hAnsi="Times New Roman" w:cs="Times New Roman"/>
                <w:b/>
                <w:sz w:val="20"/>
                <w:szCs w:val="20"/>
              </w:rPr>
            </w:pPr>
            <w:r w:rsidRPr="00410093">
              <w:rPr>
                <w:rFonts w:ascii="Times New Roman" w:eastAsia="Times New Roman" w:hAnsi="Times New Roman" w:cs="Times New Roman"/>
                <w:b/>
                <w:sz w:val="20"/>
                <w:szCs w:val="20"/>
              </w:rPr>
              <w:t>Consideration</w:t>
            </w:r>
          </w:p>
        </w:tc>
        <w:tc>
          <w:tcPr>
            <w:tcW w:w="1009" w:type="dxa"/>
            <w:shd w:val="clear" w:color="auto" w:fill="D9D9D9" w:themeFill="background1" w:themeFillShade="D9"/>
          </w:tcPr>
          <w:p w14:paraId="0DF35B9D" w14:textId="77777777" w:rsidR="005E4ADD" w:rsidRDefault="005E4ADD" w:rsidP="00837F45">
            <w:pPr>
              <w:jc w:val="center"/>
              <w:rPr>
                <w:rFonts w:ascii="Times New Roman" w:eastAsia="Times New Roman" w:hAnsi="Times New Roman" w:cs="Times New Roman"/>
                <w:b/>
                <w:sz w:val="20"/>
                <w:szCs w:val="20"/>
              </w:rPr>
            </w:pPr>
          </w:p>
          <w:p w14:paraId="6C8A185E" w14:textId="561C1235" w:rsidR="00184C26" w:rsidRPr="00410093" w:rsidRDefault="00184C26" w:rsidP="00837F45">
            <w:pPr>
              <w:jc w:val="center"/>
              <w:rPr>
                <w:rFonts w:ascii="Times New Roman" w:hAnsi="Times New Roman" w:cs="Times New Roman"/>
                <w:b/>
                <w:sz w:val="20"/>
                <w:szCs w:val="20"/>
              </w:rPr>
            </w:pPr>
            <w:r w:rsidRPr="00410093">
              <w:rPr>
                <w:rFonts w:ascii="Times New Roman" w:eastAsia="Times New Roman" w:hAnsi="Times New Roman" w:cs="Times New Roman"/>
                <w:b/>
                <w:sz w:val="20"/>
                <w:szCs w:val="20"/>
              </w:rPr>
              <w:t>Assumed Value</w:t>
            </w:r>
          </w:p>
        </w:tc>
        <w:tc>
          <w:tcPr>
            <w:tcW w:w="1241" w:type="dxa"/>
            <w:shd w:val="clear" w:color="auto" w:fill="D9D9D9" w:themeFill="background1" w:themeFillShade="D9"/>
          </w:tcPr>
          <w:p w14:paraId="08D5AF1C" w14:textId="77777777" w:rsidR="00184C26" w:rsidRPr="00410093" w:rsidRDefault="00184C26" w:rsidP="00837F45">
            <w:pPr>
              <w:jc w:val="center"/>
              <w:rPr>
                <w:rFonts w:ascii="Times New Roman" w:hAnsi="Times New Roman" w:cs="Times New Roman"/>
                <w:b/>
                <w:sz w:val="20"/>
                <w:szCs w:val="20"/>
              </w:rPr>
            </w:pPr>
            <w:r w:rsidRPr="00410093">
              <w:rPr>
                <w:rFonts w:ascii="Times New Roman" w:eastAsia="Times New Roman" w:hAnsi="Times New Roman" w:cs="Times New Roman"/>
                <w:b/>
                <w:sz w:val="20"/>
                <w:szCs w:val="20"/>
              </w:rPr>
              <w:t>Source of Original Assumed Value</w:t>
            </w:r>
          </w:p>
        </w:tc>
        <w:tc>
          <w:tcPr>
            <w:tcW w:w="990" w:type="dxa"/>
            <w:shd w:val="clear" w:color="auto" w:fill="D9D9D9" w:themeFill="background1" w:themeFillShade="D9"/>
          </w:tcPr>
          <w:p w14:paraId="358546E0" w14:textId="69B4C101" w:rsidR="00184C26" w:rsidRPr="00410093" w:rsidRDefault="00184C26" w:rsidP="00410093">
            <w:pPr>
              <w:jc w:val="center"/>
              <w:rPr>
                <w:rFonts w:ascii="Times New Roman" w:eastAsia="Times New Roman" w:hAnsi="Times New Roman" w:cs="Times New Roman"/>
                <w:b/>
                <w:sz w:val="20"/>
                <w:szCs w:val="20"/>
              </w:rPr>
            </w:pPr>
            <w:r w:rsidRPr="00410093">
              <w:rPr>
                <w:rFonts w:ascii="Times New Roman" w:eastAsia="Times New Roman" w:hAnsi="Times New Roman" w:cs="Times New Roman"/>
                <w:b/>
                <w:sz w:val="20"/>
                <w:szCs w:val="20"/>
              </w:rPr>
              <w:t>Min</w:t>
            </w:r>
            <w:r w:rsidR="00410093" w:rsidRPr="00410093">
              <w:rPr>
                <w:rFonts w:ascii="Times New Roman" w:eastAsia="Times New Roman" w:hAnsi="Times New Roman" w:cs="Times New Roman"/>
                <w:b/>
                <w:sz w:val="20"/>
                <w:szCs w:val="20"/>
              </w:rPr>
              <w:t xml:space="preserve"> </w:t>
            </w:r>
            <w:r w:rsidRPr="00410093">
              <w:rPr>
                <w:rFonts w:ascii="Times New Roman" w:eastAsia="Times New Roman" w:hAnsi="Times New Roman" w:cs="Times New Roman"/>
                <w:b/>
                <w:sz w:val="20"/>
                <w:szCs w:val="20"/>
              </w:rPr>
              <w:t>Value Tested</w:t>
            </w:r>
          </w:p>
        </w:tc>
        <w:tc>
          <w:tcPr>
            <w:tcW w:w="990" w:type="dxa"/>
            <w:shd w:val="clear" w:color="auto" w:fill="D9D9D9" w:themeFill="background1" w:themeFillShade="D9"/>
          </w:tcPr>
          <w:p w14:paraId="7FC1CBB5" w14:textId="30AA735A" w:rsidR="00184C26" w:rsidRPr="00410093" w:rsidRDefault="00410093" w:rsidP="00410093">
            <w:pPr>
              <w:jc w:val="center"/>
              <w:rPr>
                <w:rFonts w:ascii="Times New Roman" w:eastAsia="Times New Roman" w:hAnsi="Times New Roman" w:cs="Times New Roman"/>
                <w:b/>
                <w:sz w:val="20"/>
                <w:szCs w:val="20"/>
              </w:rPr>
            </w:pPr>
            <w:r w:rsidRPr="00410093">
              <w:rPr>
                <w:rFonts w:ascii="Times New Roman" w:eastAsia="Times New Roman" w:hAnsi="Times New Roman" w:cs="Times New Roman"/>
                <w:b/>
                <w:sz w:val="20"/>
                <w:szCs w:val="20"/>
              </w:rPr>
              <w:t>Max</w:t>
            </w:r>
            <w:r w:rsidR="00184C26" w:rsidRPr="00410093">
              <w:rPr>
                <w:rFonts w:ascii="Times New Roman" w:eastAsia="Times New Roman" w:hAnsi="Times New Roman" w:cs="Times New Roman"/>
                <w:b/>
                <w:sz w:val="20"/>
                <w:szCs w:val="20"/>
              </w:rPr>
              <w:t xml:space="preserve"> Value Tested</w:t>
            </w:r>
          </w:p>
        </w:tc>
        <w:tc>
          <w:tcPr>
            <w:tcW w:w="3964" w:type="dxa"/>
            <w:shd w:val="clear" w:color="auto" w:fill="D9D9D9" w:themeFill="background1" w:themeFillShade="D9"/>
          </w:tcPr>
          <w:p w14:paraId="15F1BE67" w14:textId="77777777" w:rsidR="005E4ADD" w:rsidRDefault="005E4ADD" w:rsidP="00410093">
            <w:pPr>
              <w:jc w:val="center"/>
              <w:rPr>
                <w:rFonts w:ascii="Times New Roman" w:eastAsia="Times New Roman" w:hAnsi="Times New Roman" w:cs="Times New Roman"/>
                <w:b/>
                <w:sz w:val="20"/>
                <w:szCs w:val="20"/>
              </w:rPr>
            </w:pPr>
          </w:p>
          <w:p w14:paraId="411ED484" w14:textId="194C0F40" w:rsidR="00184C26" w:rsidRPr="00410093" w:rsidRDefault="00184C26" w:rsidP="00410093">
            <w:pPr>
              <w:jc w:val="center"/>
              <w:rPr>
                <w:rFonts w:ascii="Times New Roman" w:eastAsia="Times New Roman" w:hAnsi="Times New Roman" w:cs="Times New Roman"/>
                <w:b/>
                <w:sz w:val="20"/>
                <w:szCs w:val="20"/>
              </w:rPr>
            </w:pPr>
            <w:r w:rsidRPr="00410093">
              <w:rPr>
                <w:rFonts w:ascii="Times New Roman" w:eastAsia="Times New Roman" w:hAnsi="Times New Roman" w:cs="Times New Roman"/>
                <w:b/>
                <w:sz w:val="20"/>
                <w:szCs w:val="20"/>
              </w:rPr>
              <w:t>Rationale for Range of Values Tested</w:t>
            </w:r>
          </w:p>
        </w:tc>
      </w:tr>
      <w:tr w:rsidR="00184C26" w:rsidRPr="00410093" w14:paraId="3BCE353B" w14:textId="77777777" w:rsidTr="00BA1D2C">
        <w:trPr>
          <w:trHeight w:val="1149"/>
        </w:trPr>
        <w:tc>
          <w:tcPr>
            <w:tcW w:w="2515" w:type="dxa"/>
          </w:tcPr>
          <w:p w14:paraId="5AFAED11" w14:textId="2F63AF39" w:rsidR="00184C26" w:rsidRPr="00410093" w:rsidRDefault="00B65081" w:rsidP="00837F45">
            <w:pPr>
              <w:rPr>
                <w:rFonts w:ascii="Times New Roman" w:hAnsi="Times New Roman" w:cs="Times New Roman"/>
                <w:sz w:val="20"/>
                <w:szCs w:val="20"/>
              </w:rPr>
            </w:pPr>
            <w:r>
              <w:rPr>
                <w:rFonts w:ascii="Times New Roman" w:eastAsia="Times New Roman" w:hAnsi="Times New Roman" w:cs="Times New Roman"/>
                <w:sz w:val="20"/>
                <w:szCs w:val="20"/>
              </w:rPr>
              <w:t>Minimum profitability threshold -</w:t>
            </w:r>
            <w:r w:rsidR="00184C26" w:rsidRPr="00410093">
              <w:rPr>
                <w:rFonts w:ascii="Times New Roman" w:eastAsia="Times New Roman" w:hAnsi="Times New Roman" w:cs="Times New Roman"/>
                <w:sz w:val="20"/>
                <w:szCs w:val="20"/>
              </w:rPr>
              <w:t xml:space="preserve"> profit needed for a property to be considered “more profitable as a short-term rental”</w:t>
            </w:r>
          </w:p>
        </w:tc>
        <w:tc>
          <w:tcPr>
            <w:tcW w:w="1009" w:type="dxa"/>
          </w:tcPr>
          <w:p w14:paraId="6765902C" w14:textId="77777777" w:rsidR="00184C26" w:rsidRPr="00410093" w:rsidRDefault="00184C26" w:rsidP="00837F45">
            <w:pPr>
              <w:jc w:val="center"/>
              <w:rPr>
                <w:rFonts w:ascii="Times New Roman" w:hAnsi="Times New Roman" w:cs="Times New Roman"/>
                <w:sz w:val="20"/>
                <w:szCs w:val="20"/>
              </w:rPr>
            </w:pPr>
            <w:r w:rsidRPr="00410093">
              <w:rPr>
                <w:rFonts w:ascii="Times New Roman" w:hAnsi="Times New Roman" w:cs="Times New Roman"/>
                <w:sz w:val="20"/>
                <w:szCs w:val="20"/>
              </w:rPr>
              <w:t>$6,000</w:t>
            </w:r>
          </w:p>
        </w:tc>
        <w:tc>
          <w:tcPr>
            <w:tcW w:w="1241" w:type="dxa"/>
          </w:tcPr>
          <w:p w14:paraId="3E58D083" w14:textId="77777777" w:rsidR="00184C26" w:rsidRPr="00410093" w:rsidRDefault="00184C26" w:rsidP="00837F45">
            <w:pPr>
              <w:jc w:val="center"/>
              <w:rPr>
                <w:rFonts w:ascii="Times New Roman" w:hAnsi="Times New Roman" w:cs="Times New Roman"/>
                <w:sz w:val="20"/>
                <w:szCs w:val="20"/>
              </w:rPr>
            </w:pPr>
            <w:r w:rsidRPr="00410093">
              <w:rPr>
                <w:rFonts w:ascii="Times New Roman" w:eastAsia="Times New Roman" w:hAnsi="Times New Roman" w:cs="Times New Roman"/>
                <w:sz w:val="20"/>
                <w:szCs w:val="20"/>
              </w:rPr>
              <w:t>Watershed Financial Department</w:t>
            </w:r>
          </w:p>
        </w:tc>
        <w:tc>
          <w:tcPr>
            <w:tcW w:w="990" w:type="dxa"/>
          </w:tcPr>
          <w:p w14:paraId="7043F3F9"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$1,000</w:t>
            </w:r>
          </w:p>
        </w:tc>
        <w:tc>
          <w:tcPr>
            <w:tcW w:w="990" w:type="dxa"/>
          </w:tcPr>
          <w:p w14:paraId="79F3951C"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$10,000</w:t>
            </w:r>
          </w:p>
        </w:tc>
        <w:tc>
          <w:tcPr>
            <w:tcW w:w="3964" w:type="dxa"/>
          </w:tcPr>
          <w:p w14:paraId="10AC448B" w14:textId="77777777" w:rsidR="00184C26" w:rsidRPr="00410093" w:rsidRDefault="00184C26" w:rsidP="005E4ADD">
            <w:pPr>
              <w:rPr>
                <w:rFonts w:ascii="Times New Roman" w:hAnsi="Times New Roman" w:cs="Times New Roman"/>
                <w:sz w:val="20"/>
                <w:szCs w:val="20"/>
              </w:rPr>
            </w:pPr>
            <w:r w:rsidRPr="00410093">
              <w:rPr>
                <w:rFonts w:ascii="Times New Roman" w:hAnsi="Times New Roman" w:cs="Times New Roman"/>
                <w:sz w:val="20"/>
                <w:szCs w:val="20"/>
              </w:rPr>
              <w:t>Profits should not be assumed less than $1,000 per year due to variables and all properties over $10,000 should be included for same reasons.</w:t>
            </w:r>
          </w:p>
        </w:tc>
      </w:tr>
      <w:tr w:rsidR="00184C26" w:rsidRPr="00410093" w14:paraId="66FDDBFD" w14:textId="77777777" w:rsidTr="00BA1D2C">
        <w:trPr>
          <w:trHeight w:val="1164"/>
        </w:trPr>
        <w:tc>
          <w:tcPr>
            <w:tcW w:w="2515" w:type="dxa"/>
          </w:tcPr>
          <w:p w14:paraId="70DCDCC4" w14:textId="77777777" w:rsidR="00184C26" w:rsidRPr="00410093" w:rsidRDefault="00184C26" w:rsidP="00837F45">
            <w:pPr>
              <w:rPr>
                <w:rFonts w:ascii="Times New Roman" w:hAnsi="Times New Roman" w:cs="Times New Roman"/>
                <w:sz w:val="20"/>
                <w:szCs w:val="20"/>
              </w:rPr>
            </w:pPr>
            <w:r w:rsidRPr="00410093">
              <w:rPr>
                <w:rFonts w:ascii="Times New Roman" w:eastAsia="Times New Roman" w:hAnsi="Times New Roman" w:cs="Times New Roman"/>
                <w:sz w:val="20"/>
                <w:szCs w:val="20"/>
              </w:rPr>
              <w:t>Cost to convert property to short-term rental (includes furnishing and decorating)</w:t>
            </w:r>
          </w:p>
        </w:tc>
        <w:tc>
          <w:tcPr>
            <w:tcW w:w="1009" w:type="dxa"/>
          </w:tcPr>
          <w:p w14:paraId="640E3E37" w14:textId="77777777" w:rsidR="00184C26" w:rsidRPr="00410093" w:rsidRDefault="00184C26" w:rsidP="00837F45">
            <w:pPr>
              <w:jc w:val="center"/>
              <w:rPr>
                <w:rFonts w:ascii="Times New Roman" w:hAnsi="Times New Roman" w:cs="Times New Roman"/>
                <w:sz w:val="20"/>
                <w:szCs w:val="20"/>
              </w:rPr>
            </w:pPr>
            <w:r w:rsidRPr="00410093">
              <w:rPr>
                <w:rFonts w:ascii="Times New Roman" w:hAnsi="Times New Roman" w:cs="Times New Roman"/>
                <w:sz w:val="20"/>
                <w:szCs w:val="20"/>
              </w:rPr>
              <w:t>$30,000</w:t>
            </w:r>
          </w:p>
        </w:tc>
        <w:tc>
          <w:tcPr>
            <w:tcW w:w="1241" w:type="dxa"/>
          </w:tcPr>
          <w:p w14:paraId="1175BD4B" w14:textId="77777777" w:rsidR="00184C26" w:rsidRPr="00410093" w:rsidRDefault="00184C26" w:rsidP="00837F45">
            <w:pPr>
              <w:jc w:val="center"/>
              <w:rPr>
                <w:rFonts w:ascii="Times New Roman" w:hAnsi="Times New Roman" w:cs="Times New Roman"/>
                <w:sz w:val="20"/>
                <w:szCs w:val="20"/>
              </w:rPr>
            </w:pPr>
            <w:r w:rsidRPr="00410093">
              <w:rPr>
                <w:rFonts w:ascii="Times New Roman" w:eastAsia="Times New Roman" w:hAnsi="Times New Roman" w:cs="Times New Roman"/>
                <w:sz w:val="20"/>
                <w:szCs w:val="20"/>
              </w:rPr>
              <w:t>Watershed Marketing Department</w:t>
            </w:r>
          </w:p>
        </w:tc>
        <w:tc>
          <w:tcPr>
            <w:tcW w:w="990" w:type="dxa"/>
          </w:tcPr>
          <w:p w14:paraId="6CEB9CA4"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$10,000</w:t>
            </w:r>
          </w:p>
        </w:tc>
        <w:tc>
          <w:tcPr>
            <w:tcW w:w="990" w:type="dxa"/>
          </w:tcPr>
          <w:p w14:paraId="25E53AD6"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$50,000</w:t>
            </w:r>
          </w:p>
        </w:tc>
        <w:tc>
          <w:tcPr>
            <w:tcW w:w="3964" w:type="dxa"/>
          </w:tcPr>
          <w:p w14:paraId="660EF5F0" w14:textId="77777777" w:rsidR="00184C26" w:rsidRPr="00410093" w:rsidRDefault="00184C26" w:rsidP="005E4ADD">
            <w:pPr>
              <w:rPr>
                <w:rFonts w:ascii="Times New Roman" w:hAnsi="Times New Roman" w:cs="Times New Roman"/>
                <w:sz w:val="20"/>
                <w:szCs w:val="20"/>
              </w:rPr>
            </w:pPr>
            <w:r w:rsidRPr="00410093">
              <w:rPr>
                <w:rFonts w:ascii="Times New Roman" w:hAnsi="Times New Roman" w:cs="Times New Roman"/>
                <w:sz w:val="20"/>
                <w:szCs w:val="20"/>
              </w:rPr>
              <w:t>$10,000 should be the minimum for property conversions to be effective and no more than $50,000 because it eats too far into profits during depreciation.</w:t>
            </w:r>
          </w:p>
        </w:tc>
      </w:tr>
      <w:tr w:rsidR="00184C26" w:rsidRPr="00410093" w14:paraId="423767C1" w14:textId="77777777" w:rsidTr="00BA1D2C">
        <w:trPr>
          <w:trHeight w:val="1149"/>
        </w:trPr>
        <w:tc>
          <w:tcPr>
            <w:tcW w:w="2515" w:type="dxa"/>
          </w:tcPr>
          <w:p w14:paraId="33ED7704" w14:textId="77777777" w:rsidR="00184C26" w:rsidRPr="00410093" w:rsidRDefault="00184C26" w:rsidP="00837F45">
            <w:pPr>
              <w:rPr>
                <w:rFonts w:ascii="Times New Roman" w:hAnsi="Times New Roman" w:cs="Times New Roman"/>
                <w:sz w:val="20"/>
                <w:szCs w:val="20"/>
              </w:rPr>
            </w:pPr>
            <w:r w:rsidRPr="00410093">
              <w:rPr>
                <w:rFonts w:ascii="Times New Roman" w:eastAsia="Times New Roman" w:hAnsi="Times New Roman" w:cs="Times New Roman"/>
                <w:sz w:val="20"/>
                <w:szCs w:val="20"/>
              </w:rPr>
              <w:t>Years to depreciate capital expenditures</w:t>
            </w:r>
          </w:p>
        </w:tc>
        <w:tc>
          <w:tcPr>
            <w:tcW w:w="1009" w:type="dxa"/>
          </w:tcPr>
          <w:p w14:paraId="37FBA2D4" w14:textId="77777777" w:rsidR="00184C26" w:rsidRPr="00410093" w:rsidRDefault="00184C26" w:rsidP="00837F45">
            <w:pPr>
              <w:jc w:val="center"/>
              <w:rPr>
                <w:rFonts w:ascii="Times New Roman" w:hAnsi="Times New Roman" w:cs="Times New Roman"/>
                <w:sz w:val="20"/>
                <w:szCs w:val="20"/>
              </w:rPr>
            </w:pPr>
            <w:r w:rsidRPr="00410093">
              <w:rPr>
                <w:rFonts w:ascii="Times New Roman" w:hAnsi="Times New Roman" w:cs="Times New Roman"/>
                <w:sz w:val="20"/>
                <w:szCs w:val="20"/>
              </w:rPr>
              <w:t>5</w:t>
            </w:r>
          </w:p>
        </w:tc>
        <w:tc>
          <w:tcPr>
            <w:tcW w:w="1241" w:type="dxa"/>
          </w:tcPr>
          <w:p w14:paraId="4BA278B4" w14:textId="77777777" w:rsidR="00184C26" w:rsidRPr="00410093" w:rsidRDefault="00184C26" w:rsidP="00837F45">
            <w:pPr>
              <w:jc w:val="center"/>
              <w:rPr>
                <w:rFonts w:ascii="Times New Roman" w:hAnsi="Times New Roman" w:cs="Times New Roman"/>
                <w:sz w:val="20"/>
                <w:szCs w:val="20"/>
              </w:rPr>
            </w:pPr>
            <w:r w:rsidRPr="00410093">
              <w:rPr>
                <w:rFonts w:ascii="Times New Roman" w:eastAsia="Times New Roman" w:hAnsi="Times New Roman" w:cs="Times New Roman"/>
                <w:sz w:val="20"/>
                <w:szCs w:val="20"/>
              </w:rPr>
              <w:t>Watershed Financial Department</w:t>
            </w:r>
          </w:p>
        </w:tc>
        <w:tc>
          <w:tcPr>
            <w:tcW w:w="990" w:type="dxa"/>
          </w:tcPr>
          <w:p w14:paraId="32FD7B7D"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1</w:t>
            </w:r>
          </w:p>
        </w:tc>
        <w:tc>
          <w:tcPr>
            <w:tcW w:w="990" w:type="dxa"/>
          </w:tcPr>
          <w:p w14:paraId="41774C0B"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10</w:t>
            </w:r>
          </w:p>
        </w:tc>
        <w:tc>
          <w:tcPr>
            <w:tcW w:w="3964" w:type="dxa"/>
          </w:tcPr>
          <w:p w14:paraId="18AD0F7A" w14:textId="77777777" w:rsidR="00184C26" w:rsidRPr="00410093" w:rsidRDefault="00184C26" w:rsidP="005E4ADD">
            <w:pPr>
              <w:rPr>
                <w:rFonts w:ascii="Times New Roman" w:hAnsi="Times New Roman" w:cs="Times New Roman"/>
                <w:sz w:val="20"/>
                <w:szCs w:val="20"/>
              </w:rPr>
            </w:pPr>
            <w:r w:rsidRPr="00410093">
              <w:rPr>
                <w:rFonts w:ascii="Times New Roman" w:hAnsi="Times New Roman" w:cs="Times New Roman"/>
                <w:sz w:val="20"/>
                <w:szCs w:val="20"/>
              </w:rPr>
              <w:t>1 year is the minimum time the CAPEX depreciation could flow out on a yearly statement. 10 years is the longest the CAPEX could depreciation before going sub $200/month.</w:t>
            </w:r>
          </w:p>
        </w:tc>
      </w:tr>
      <w:tr w:rsidR="00184C26" w:rsidRPr="00410093" w14:paraId="65EBB95E" w14:textId="77777777" w:rsidTr="00BA1D2C">
        <w:trPr>
          <w:trHeight w:val="695"/>
        </w:trPr>
        <w:tc>
          <w:tcPr>
            <w:tcW w:w="2515" w:type="dxa"/>
          </w:tcPr>
          <w:p w14:paraId="629425F0" w14:textId="3CD9E8B8" w:rsidR="00184C26" w:rsidRPr="00410093" w:rsidRDefault="00184C26" w:rsidP="00837F45">
            <w:pPr>
              <w:rPr>
                <w:rFonts w:ascii="Times New Roman" w:hAnsi="Times New Roman" w:cs="Times New Roman"/>
                <w:sz w:val="20"/>
                <w:szCs w:val="20"/>
              </w:rPr>
            </w:pPr>
            <w:r w:rsidRPr="00410093">
              <w:rPr>
                <w:rFonts w:ascii="Times New Roman" w:eastAsia="Times New Roman" w:hAnsi="Times New Roman" w:cs="Times New Roman"/>
                <w:sz w:val="20"/>
                <w:szCs w:val="20"/>
              </w:rPr>
              <w:t>Yearly upkeep</w:t>
            </w:r>
            <w:r w:rsidR="00A30919">
              <w:rPr>
                <w:rFonts w:ascii="Times New Roman" w:eastAsia="Times New Roman" w:hAnsi="Times New Roman" w:cs="Times New Roman"/>
                <w:sz w:val="20"/>
                <w:szCs w:val="20"/>
              </w:rPr>
              <w:t xml:space="preserve"> (repairs)</w:t>
            </w:r>
          </w:p>
        </w:tc>
        <w:tc>
          <w:tcPr>
            <w:tcW w:w="1009" w:type="dxa"/>
          </w:tcPr>
          <w:p w14:paraId="68804552" w14:textId="77777777" w:rsidR="00184C26" w:rsidRPr="00410093" w:rsidRDefault="00184C26" w:rsidP="00837F45">
            <w:pPr>
              <w:jc w:val="center"/>
              <w:rPr>
                <w:rFonts w:ascii="Times New Roman" w:hAnsi="Times New Roman" w:cs="Times New Roman"/>
                <w:sz w:val="20"/>
                <w:szCs w:val="20"/>
              </w:rPr>
            </w:pPr>
            <w:r w:rsidRPr="00410093">
              <w:rPr>
                <w:rFonts w:ascii="Times New Roman" w:hAnsi="Times New Roman" w:cs="Times New Roman"/>
                <w:sz w:val="20"/>
                <w:szCs w:val="20"/>
              </w:rPr>
              <w:t>$6,000</w:t>
            </w:r>
          </w:p>
        </w:tc>
        <w:tc>
          <w:tcPr>
            <w:tcW w:w="1241" w:type="dxa"/>
          </w:tcPr>
          <w:p w14:paraId="1BF05287" w14:textId="77777777" w:rsidR="00184C26" w:rsidRPr="00410093" w:rsidRDefault="00184C26" w:rsidP="00837F45">
            <w:pPr>
              <w:jc w:val="center"/>
              <w:rPr>
                <w:rFonts w:ascii="Times New Roman" w:hAnsi="Times New Roman" w:cs="Times New Roman"/>
                <w:sz w:val="20"/>
                <w:szCs w:val="20"/>
              </w:rPr>
            </w:pPr>
            <w:r w:rsidRPr="00410093">
              <w:rPr>
                <w:rFonts w:ascii="Times New Roman" w:eastAsia="Times New Roman" w:hAnsi="Times New Roman" w:cs="Times New Roman"/>
                <w:sz w:val="20"/>
                <w:szCs w:val="20"/>
              </w:rPr>
              <w:t>Watershed Marketing Department</w:t>
            </w:r>
          </w:p>
        </w:tc>
        <w:tc>
          <w:tcPr>
            <w:tcW w:w="990" w:type="dxa"/>
          </w:tcPr>
          <w:p w14:paraId="6D9AC28F"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$1,200</w:t>
            </w:r>
          </w:p>
        </w:tc>
        <w:tc>
          <w:tcPr>
            <w:tcW w:w="990" w:type="dxa"/>
          </w:tcPr>
          <w:p w14:paraId="6526C6A8"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$12,500</w:t>
            </w:r>
          </w:p>
        </w:tc>
        <w:tc>
          <w:tcPr>
            <w:tcW w:w="3964" w:type="dxa"/>
          </w:tcPr>
          <w:p w14:paraId="1BA00BA7" w14:textId="77777777" w:rsidR="00184C26" w:rsidRPr="00410093" w:rsidRDefault="00184C26" w:rsidP="005E4ADD">
            <w:pPr>
              <w:rPr>
                <w:rFonts w:ascii="Times New Roman" w:hAnsi="Times New Roman" w:cs="Times New Roman"/>
                <w:sz w:val="20"/>
                <w:szCs w:val="20"/>
              </w:rPr>
            </w:pPr>
            <w:r w:rsidRPr="00410093">
              <w:rPr>
                <w:rFonts w:ascii="Times New Roman" w:hAnsi="Times New Roman" w:cs="Times New Roman"/>
                <w:sz w:val="20"/>
                <w:szCs w:val="20"/>
              </w:rPr>
              <w:t>Values were tested from ranges of $100 to $1,000 per month.</w:t>
            </w:r>
          </w:p>
        </w:tc>
      </w:tr>
      <w:tr w:rsidR="00184C26" w:rsidRPr="00410093" w14:paraId="551AAF14" w14:textId="77777777" w:rsidTr="00BA1D2C">
        <w:trPr>
          <w:trHeight w:val="680"/>
        </w:trPr>
        <w:tc>
          <w:tcPr>
            <w:tcW w:w="2515" w:type="dxa"/>
          </w:tcPr>
          <w:p w14:paraId="1F3331BA" w14:textId="77777777" w:rsidR="00184C26" w:rsidRPr="00410093" w:rsidRDefault="00184C26" w:rsidP="00837F45">
            <w:pPr>
              <w:rPr>
                <w:rFonts w:ascii="Times New Roman" w:hAnsi="Times New Roman" w:cs="Times New Roman"/>
                <w:sz w:val="20"/>
                <w:szCs w:val="20"/>
              </w:rPr>
            </w:pPr>
            <w:r w:rsidRPr="00410093">
              <w:rPr>
                <w:rFonts w:ascii="Times New Roman" w:eastAsia="Times New Roman" w:hAnsi="Times New Roman" w:cs="Times New Roman"/>
                <w:sz w:val="20"/>
                <w:szCs w:val="20"/>
              </w:rPr>
              <w:t>Service fees to short-term stay website (e.g. Airbnb)</w:t>
            </w:r>
          </w:p>
        </w:tc>
        <w:tc>
          <w:tcPr>
            <w:tcW w:w="1009" w:type="dxa"/>
          </w:tcPr>
          <w:p w14:paraId="0A07799A" w14:textId="77777777" w:rsidR="00184C26" w:rsidRPr="00410093" w:rsidRDefault="00184C26" w:rsidP="00837F45">
            <w:pPr>
              <w:jc w:val="center"/>
              <w:rPr>
                <w:rFonts w:ascii="Times New Roman" w:hAnsi="Times New Roman" w:cs="Times New Roman"/>
                <w:sz w:val="20"/>
                <w:szCs w:val="20"/>
              </w:rPr>
            </w:pPr>
            <w:r w:rsidRPr="00410093">
              <w:rPr>
                <w:rFonts w:ascii="Times New Roman" w:hAnsi="Times New Roman" w:cs="Times New Roman"/>
                <w:sz w:val="20"/>
                <w:szCs w:val="20"/>
              </w:rPr>
              <w:t>20%</w:t>
            </w:r>
          </w:p>
        </w:tc>
        <w:tc>
          <w:tcPr>
            <w:tcW w:w="1241" w:type="dxa"/>
          </w:tcPr>
          <w:p w14:paraId="5BD0B1EE" w14:textId="77777777" w:rsidR="00184C26" w:rsidRPr="00410093" w:rsidRDefault="00184C26" w:rsidP="00837F45">
            <w:pPr>
              <w:jc w:val="center"/>
              <w:rPr>
                <w:rFonts w:ascii="Times New Roman" w:hAnsi="Times New Roman" w:cs="Times New Roman"/>
                <w:sz w:val="20"/>
                <w:szCs w:val="20"/>
              </w:rPr>
            </w:pPr>
            <w:r w:rsidRPr="00410093">
              <w:rPr>
                <w:rFonts w:ascii="Times New Roman" w:eastAsia="Times New Roman" w:hAnsi="Times New Roman" w:cs="Times New Roman"/>
                <w:sz w:val="20"/>
                <w:szCs w:val="20"/>
              </w:rPr>
              <w:t>Watershed Marketing Department</w:t>
            </w:r>
          </w:p>
        </w:tc>
        <w:tc>
          <w:tcPr>
            <w:tcW w:w="990" w:type="dxa"/>
          </w:tcPr>
          <w:p w14:paraId="7046DF02"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10%</w:t>
            </w:r>
          </w:p>
        </w:tc>
        <w:tc>
          <w:tcPr>
            <w:tcW w:w="990" w:type="dxa"/>
          </w:tcPr>
          <w:p w14:paraId="69E650FA"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30%</w:t>
            </w:r>
          </w:p>
        </w:tc>
        <w:tc>
          <w:tcPr>
            <w:tcW w:w="3964" w:type="dxa"/>
          </w:tcPr>
          <w:p w14:paraId="43BD6D66" w14:textId="77777777" w:rsidR="00184C26" w:rsidRPr="00410093" w:rsidRDefault="00184C26" w:rsidP="005E4ADD">
            <w:pPr>
              <w:rPr>
                <w:rFonts w:ascii="Times New Roman" w:hAnsi="Times New Roman" w:cs="Times New Roman"/>
                <w:sz w:val="20"/>
                <w:szCs w:val="20"/>
              </w:rPr>
            </w:pPr>
            <w:r w:rsidRPr="00410093">
              <w:rPr>
                <w:rFonts w:ascii="Times New Roman" w:hAnsi="Times New Roman" w:cs="Times New Roman"/>
                <w:sz w:val="20"/>
                <w:szCs w:val="20"/>
              </w:rPr>
              <w:t>Service fees are not generously sub 10% and any fees approaching %30 should involve negotiations.</w:t>
            </w:r>
          </w:p>
        </w:tc>
      </w:tr>
      <w:tr w:rsidR="00184C26" w:rsidRPr="00410093" w14:paraId="1E666F15" w14:textId="77777777" w:rsidTr="00BA1D2C">
        <w:trPr>
          <w:trHeight w:val="922"/>
        </w:trPr>
        <w:tc>
          <w:tcPr>
            <w:tcW w:w="2515" w:type="dxa"/>
          </w:tcPr>
          <w:p w14:paraId="7BBB87FA" w14:textId="77777777" w:rsidR="00184C26" w:rsidRPr="00410093" w:rsidRDefault="00184C26" w:rsidP="00837F45">
            <w:pPr>
              <w:rPr>
                <w:rFonts w:ascii="Times New Roman" w:hAnsi="Times New Roman" w:cs="Times New Roman"/>
                <w:sz w:val="20"/>
                <w:szCs w:val="20"/>
              </w:rPr>
            </w:pPr>
            <w:r w:rsidRPr="00410093">
              <w:rPr>
                <w:rFonts w:ascii="Times New Roman" w:eastAsia="Times New Roman" w:hAnsi="Times New Roman" w:cs="Times New Roman"/>
                <w:sz w:val="20"/>
                <w:szCs w:val="20"/>
              </w:rPr>
              <w:t>Regulatory fees (taxes and potential legal fees)</w:t>
            </w:r>
          </w:p>
        </w:tc>
        <w:tc>
          <w:tcPr>
            <w:tcW w:w="1009" w:type="dxa"/>
          </w:tcPr>
          <w:p w14:paraId="645C695F" w14:textId="77777777" w:rsidR="00184C26" w:rsidRPr="00410093" w:rsidRDefault="00184C26" w:rsidP="00837F45">
            <w:pPr>
              <w:jc w:val="center"/>
              <w:rPr>
                <w:rFonts w:ascii="Times New Roman" w:hAnsi="Times New Roman" w:cs="Times New Roman"/>
                <w:sz w:val="20"/>
                <w:szCs w:val="20"/>
              </w:rPr>
            </w:pPr>
            <w:r w:rsidRPr="00410093">
              <w:rPr>
                <w:rFonts w:ascii="Times New Roman" w:hAnsi="Times New Roman" w:cs="Times New Roman"/>
                <w:sz w:val="20"/>
                <w:szCs w:val="20"/>
              </w:rPr>
              <w:t>10%</w:t>
            </w:r>
          </w:p>
        </w:tc>
        <w:tc>
          <w:tcPr>
            <w:tcW w:w="1241" w:type="dxa"/>
          </w:tcPr>
          <w:p w14:paraId="48433C8D" w14:textId="77777777" w:rsidR="00184C26" w:rsidRPr="00410093" w:rsidRDefault="00184C26" w:rsidP="00837F45">
            <w:pPr>
              <w:jc w:val="center"/>
              <w:rPr>
                <w:rFonts w:ascii="Times New Roman" w:hAnsi="Times New Roman" w:cs="Times New Roman"/>
                <w:sz w:val="20"/>
                <w:szCs w:val="20"/>
              </w:rPr>
            </w:pPr>
            <w:r w:rsidRPr="00410093">
              <w:rPr>
                <w:rFonts w:ascii="Times New Roman" w:eastAsia="Times New Roman" w:hAnsi="Times New Roman" w:cs="Times New Roman"/>
                <w:sz w:val="20"/>
                <w:szCs w:val="20"/>
              </w:rPr>
              <w:t>Watershed Financial Department</w:t>
            </w:r>
          </w:p>
        </w:tc>
        <w:tc>
          <w:tcPr>
            <w:tcW w:w="990" w:type="dxa"/>
          </w:tcPr>
          <w:p w14:paraId="5676BB4C"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5%</w:t>
            </w:r>
          </w:p>
        </w:tc>
        <w:tc>
          <w:tcPr>
            <w:tcW w:w="990" w:type="dxa"/>
          </w:tcPr>
          <w:p w14:paraId="23FC36CA"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15%</w:t>
            </w:r>
          </w:p>
        </w:tc>
        <w:tc>
          <w:tcPr>
            <w:tcW w:w="3964" w:type="dxa"/>
          </w:tcPr>
          <w:p w14:paraId="1DCEB79B" w14:textId="5791056E" w:rsidR="00184C26" w:rsidRPr="00410093" w:rsidRDefault="00184C26" w:rsidP="005E4ADD">
            <w:pPr>
              <w:rPr>
                <w:rFonts w:ascii="Times New Roman" w:hAnsi="Times New Roman" w:cs="Times New Roman"/>
                <w:sz w:val="20"/>
                <w:szCs w:val="20"/>
              </w:rPr>
            </w:pPr>
            <w:r w:rsidRPr="00410093">
              <w:rPr>
                <w:rFonts w:ascii="Times New Roman" w:hAnsi="Times New Roman" w:cs="Times New Roman"/>
                <w:sz w:val="20"/>
                <w:szCs w:val="20"/>
              </w:rPr>
              <w:t>Regulators/taxes should charge a minimum of 5% and anything approach 15% should require negotiations and/or lobbying</w:t>
            </w:r>
            <w:r w:rsidR="00374B7D">
              <w:rPr>
                <w:rFonts w:ascii="Times New Roman" w:hAnsi="Times New Roman" w:cs="Times New Roman"/>
                <w:sz w:val="20"/>
                <w:szCs w:val="20"/>
              </w:rPr>
              <w:t xml:space="preserve"> and/or relocation</w:t>
            </w:r>
            <w:r w:rsidRPr="00410093">
              <w:rPr>
                <w:rFonts w:ascii="Times New Roman" w:hAnsi="Times New Roman" w:cs="Times New Roman"/>
                <w:sz w:val="20"/>
                <w:szCs w:val="20"/>
              </w:rPr>
              <w:t>.</w:t>
            </w:r>
          </w:p>
        </w:tc>
      </w:tr>
      <w:tr w:rsidR="00184C26" w:rsidRPr="00410093" w14:paraId="29518A70" w14:textId="77777777" w:rsidTr="00BA1D2C">
        <w:trPr>
          <w:trHeight w:val="695"/>
        </w:trPr>
        <w:tc>
          <w:tcPr>
            <w:tcW w:w="2515" w:type="dxa"/>
          </w:tcPr>
          <w:p w14:paraId="5AC02DD4" w14:textId="77777777" w:rsidR="00184C26" w:rsidRPr="00410093" w:rsidRDefault="00184C26" w:rsidP="00837F45">
            <w:pPr>
              <w:rPr>
                <w:rFonts w:ascii="Times New Roman" w:hAnsi="Times New Roman" w:cs="Times New Roman"/>
                <w:sz w:val="20"/>
                <w:szCs w:val="20"/>
              </w:rPr>
            </w:pPr>
            <w:r w:rsidRPr="00410093">
              <w:rPr>
                <w:rFonts w:ascii="Times New Roman" w:eastAsia="Times New Roman" w:hAnsi="Times New Roman" w:cs="Times New Roman"/>
                <w:sz w:val="20"/>
                <w:szCs w:val="20"/>
              </w:rPr>
              <w:t>Hospitality charges (key service, cleaning, re-stocking)</w:t>
            </w:r>
          </w:p>
        </w:tc>
        <w:tc>
          <w:tcPr>
            <w:tcW w:w="1009" w:type="dxa"/>
          </w:tcPr>
          <w:p w14:paraId="19AAF682" w14:textId="77777777" w:rsidR="00184C26" w:rsidRPr="00410093" w:rsidRDefault="00184C26" w:rsidP="00837F45">
            <w:pPr>
              <w:jc w:val="center"/>
              <w:rPr>
                <w:rFonts w:ascii="Times New Roman" w:hAnsi="Times New Roman" w:cs="Times New Roman"/>
                <w:sz w:val="20"/>
                <w:szCs w:val="20"/>
              </w:rPr>
            </w:pPr>
            <w:r w:rsidRPr="00410093">
              <w:rPr>
                <w:rFonts w:ascii="Times New Roman" w:hAnsi="Times New Roman" w:cs="Times New Roman"/>
                <w:sz w:val="20"/>
                <w:szCs w:val="20"/>
              </w:rPr>
              <w:t>$100</w:t>
            </w:r>
          </w:p>
        </w:tc>
        <w:tc>
          <w:tcPr>
            <w:tcW w:w="1241" w:type="dxa"/>
          </w:tcPr>
          <w:p w14:paraId="4EBFA08F" w14:textId="77777777" w:rsidR="00184C26" w:rsidRPr="00410093" w:rsidRDefault="00184C26" w:rsidP="00837F45">
            <w:pPr>
              <w:jc w:val="center"/>
              <w:rPr>
                <w:rFonts w:ascii="Times New Roman" w:hAnsi="Times New Roman" w:cs="Times New Roman"/>
                <w:sz w:val="20"/>
                <w:szCs w:val="20"/>
              </w:rPr>
            </w:pPr>
            <w:r w:rsidRPr="00410093">
              <w:rPr>
                <w:rFonts w:ascii="Times New Roman" w:eastAsia="Times New Roman" w:hAnsi="Times New Roman" w:cs="Times New Roman"/>
                <w:sz w:val="20"/>
                <w:szCs w:val="20"/>
              </w:rPr>
              <w:t>Watershed Financial Department</w:t>
            </w:r>
          </w:p>
        </w:tc>
        <w:tc>
          <w:tcPr>
            <w:tcW w:w="990" w:type="dxa"/>
          </w:tcPr>
          <w:p w14:paraId="287F64CB"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$100</w:t>
            </w:r>
          </w:p>
        </w:tc>
        <w:tc>
          <w:tcPr>
            <w:tcW w:w="990" w:type="dxa"/>
          </w:tcPr>
          <w:p w14:paraId="3A4A873A"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$200</w:t>
            </w:r>
          </w:p>
        </w:tc>
        <w:tc>
          <w:tcPr>
            <w:tcW w:w="3964" w:type="dxa"/>
          </w:tcPr>
          <w:p w14:paraId="5832A0D9" w14:textId="77777777" w:rsidR="00184C26" w:rsidRPr="00410093" w:rsidRDefault="00184C26" w:rsidP="005E4ADD">
            <w:pPr>
              <w:rPr>
                <w:rFonts w:ascii="Times New Roman" w:hAnsi="Times New Roman" w:cs="Times New Roman"/>
                <w:sz w:val="20"/>
                <w:szCs w:val="20"/>
              </w:rPr>
            </w:pPr>
            <w:r w:rsidRPr="00410093">
              <w:rPr>
                <w:rFonts w:ascii="Times New Roman" w:hAnsi="Times New Roman" w:cs="Times New Roman"/>
                <w:sz w:val="20"/>
                <w:szCs w:val="20"/>
              </w:rPr>
              <w:t xml:space="preserve">$100 to $200 is a good range for cleaning fees depending on the size of the property. </w:t>
            </w:r>
          </w:p>
        </w:tc>
      </w:tr>
      <w:tr w:rsidR="00184C26" w:rsidRPr="00410093" w14:paraId="51A019A6" w14:textId="77777777" w:rsidTr="00BA1D2C">
        <w:trPr>
          <w:trHeight w:val="1618"/>
        </w:trPr>
        <w:tc>
          <w:tcPr>
            <w:tcW w:w="2515" w:type="dxa"/>
          </w:tcPr>
          <w:p w14:paraId="3838A9DA" w14:textId="77777777" w:rsidR="00184C26" w:rsidRPr="00410093" w:rsidRDefault="00184C26" w:rsidP="00837F45">
            <w:pPr>
              <w:rPr>
                <w:rFonts w:ascii="Times New Roman" w:hAnsi="Times New Roman" w:cs="Times New Roman"/>
                <w:sz w:val="20"/>
                <w:szCs w:val="20"/>
              </w:rPr>
            </w:pPr>
            <w:r w:rsidRPr="00410093">
              <w:rPr>
                <w:rFonts w:ascii="Times New Roman" w:eastAsia="Times New Roman" w:hAnsi="Times New Roman" w:cs="Times New Roman"/>
                <w:sz w:val="20"/>
                <w:szCs w:val="20"/>
              </w:rPr>
              <w:t>Typical stay duration (days)</w:t>
            </w:r>
          </w:p>
        </w:tc>
        <w:tc>
          <w:tcPr>
            <w:tcW w:w="1009" w:type="dxa"/>
          </w:tcPr>
          <w:p w14:paraId="70D8EEC1" w14:textId="77777777" w:rsidR="00184C26" w:rsidRPr="00410093" w:rsidRDefault="00184C26" w:rsidP="00837F45">
            <w:pPr>
              <w:jc w:val="center"/>
              <w:rPr>
                <w:rFonts w:ascii="Times New Roman" w:hAnsi="Times New Roman" w:cs="Times New Roman"/>
                <w:sz w:val="20"/>
                <w:szCs w:val="20"/>
              </w:rPr>
            </w:pPr>
            <w:r w:rsidRPr="00410093">
              <w:rPr>
                <w:rFonts w:ascii="Times New Roman" w:hAnsi="Times New Roman" w:cs="Times New Roman"/>
                <w:sz w:val="20"/>
                <w:szCs w:val="20"/>
              </w:rPr>
              <w:t>3</w:t>
            </w:r>
          </w:p>
        </w:tc>
        <w:tc>
          <w:tcPr>
            <w:tcW w:w="1241" w:type="dxa"/>
          </w:tcPr>
          <w:p w14:paraId="4D4C44CB" w14:textId="77777777" w:rsidR="00184C26" w:rsidRPr="00410093" w:rsidRDefault="00184C26" w:rsidP="00837F45">
            <w:pPr>
              <w:jc w:val="center"/>
              <w:rPr>
                <w:rFonts w:ascii="Times New Roman" w:hAnsi="Times New Roman" w:cs="Times New Roman"/>
                <w:sz w:val="20"/>
                <w:szCs w:val="20"/>
              </w:rPr>
            </w:pPr>
            <w:r w:rsidRPr="00410093">
              <w:rPr>
                <w:rFonts w:ascii="Times New Roman" w:eastAsia="Times New Roman" w:hAnsi="Times New Roman" w:cs="Times New Roman"/>
                <w:sz w:val="20"/>
                <w:szCs w:val="20"/>
              </w:rPr>
              <w:t>Watershed Marketing Department</w:t>
            </w:r>
          </w:p>
        </w:tc>
        <w:tc>
          <w:tcPr>
            <w:tcW w:w="990" w:type="dxa"/>
          </w:tcPr>
          <w:p w14:paraId="01F80222"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2</w:t>
            </w:r>
          </w:p>
        </w:tc>
        <w:tc>
          <w:tcPr>
            <w:tcW w:w="990" w:type="dxa"/>
          </w:tcPr>
          <w:p w14:paraId="2276726C"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7</w:t>
            </w:r>
          </w:p>
        </w:tc>
        <w:tc>
          <w:tcPr>
            <w:tcW w:w="3964" w:type="dxa"/>
          </w:tcPr>
          <w:p w14:paraId="35106930" w14:textId="77777777" w:rsidR="00184C26" w:rsidRPr="00410093" w:rsidRDefault="00184C26" w:rsidP="005E4ADD">
            <w:pPr>
              <w:rPr>
                <w:rFonts w:ascii="Times New Roman" w:hAnsi="Times New Roman" w:cs="Times New Roman"/>
                <w:sz w:val="20"/>
                <w:szCs w:val="20"/>
              </w:rPr>
            </w:pPr>
            <w:r w:rsidRPr="00410093">
              <w:rPr>
                <w:rFonts w:ascii="Times New Roman" w:hAnsi="Times New Roman" w:cs="Times New Roman"/>
                <w:sz w:val="20"/>
                <w:szCs w:val="20"/>
              </w:rPr>
              <w:t>An average should not be less than 2 due to the statistical nature of averages. While a typical stay may be one week, similarly in nature this average would be pulled down by shorter stays so maxing it at 7 days would still allow the risk to be assessed at one week.</w:t>
            </w:r>
          </w:p>
        </w:tc>
      </w:tr>
      <w:tr w:rsidR="00184C26" w14:paraId="591156B9" w14:textId="77777777" w:rsidTr="00BA1D2C">
        <w:trPr>
          <w:trHeight w:val="1376"/>
        </w:trPr>
        <w:tc>
          <w:tcPr>
            <w:tcW w:w="2515" w:type="dxa"/>
          </w:tcPr>
          <w:p w14:paraId="0604CC86" w14:textId="77777777" w:rsidR="00184C26" w:rsidRPr="00410093" w:rsidRDefault="00184C26" w:rsidP="00837F45">
            <w:pPr>
              <w:rPr>
                <w:rFonts w:ascii="Times New Roman" w:hAnsi="Times New Roman" w:cs="Times New Roman"/>
                <w:sz w:val="20"/>
                <w:szCs w:val="20"/>
              </w:rPr>
            </w:pPr>
            <w:r w:rsidRPr="00410093">
              <w:rPr>
                <w:rFonts w:ascii="Times New Roman" w:eastAsia="Times New Roman" w:hAnsi="Times New Roman" w:cs="Times New Roman"/>
                <w:sz w:val="20"/>
                <w:szCs w:val="20"/>
              </w:rPr>
              <w:t>Monthly utilities per property</w:t>
            </w:r>
          </w:p>
        </w:tc>
        <w:tc>
          <w:tcPr>
            <w:tcW w:w="1009" w:type="dxa"/>
          </w:tcPr>
          <w:p w14:paraId="0126F4A5" w14:textId="77777777" w:rsidR="00184C26" w:rsidRPr="00410093" w:rsidRDefault="00184C26" w:rsidP="00837F45">
            <w:pPr>
              <w:jc w:val="center"/>
              <w:rPr>
                <w:rFonts w:ascii="Times New Roman" w:hAnsi="Times New Roman" w:cs="Times New Roman"/>
                <w:sz w:val="20"/>
                <w:szCs w:val="20"/>
              </w:rPr>
            </w:pPr>
            <w:r w:rsidRPr="00410093">
              <w:rPr>
                <w:rFonts w:ascii="Times New Roman" w:hAnsi="Times New Roman" w:cs="Times New Roman"/>
                <w:sz w:val="20"/>
                <w:szCs w:val="20"/>
              </w:rPr>
              <w:t>$300</w:t>
            </w:r>
          </w:p>
        </w:tc>
        <w:tc>
          <w:tcPr>
            <w:tcW w:w="1241" w:type="dxa"/>
          </w:tcPr>
          <w:p w14:paraId="4E8407C0" w14:textId="77777777" w:rsidR="00184C26" w:rsidRPr="00410093" w:rsidRDefault="00184C26" w:rsidP="00837F45">
            <w:pPr>
              <w:jc w:val="center"/>
              <w:rPr>
                <w:rFonts w:ascii="Times New Roman" w:hAnsi="Times New Roman" w:cs="Times New Roman"/>
                <w:sz w:val="20"/>
                <w:szCs w:val="20"/>
              </w:rPr>
            </w:pPr>
            <w:r w:rsidRPr="00410093">
              <w:rPr>
                <w:rFonts w:ascii="Times New Roman" w:eastAsia="Times New Roman" w:hAnsi="Times New Roman" w:cs="Times New Roman"/>
                <w:sz w:val="20"/>
                <w:szCs w:val="20"/>
              </w:rPr>
              <w:t>Watershed Financial Department</w:t>
            </w:r>
          </w:p>
        </w:tc>
        <w:tc>
          <w:tcPr>
            <w:tcW w:w="990" w:type="dxa"/>
          </w:tcPr>
          <w:p w14:paraId="3A2A383A"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$150</w:t>
            </w:r>
          </w:p>
        </w:tc>
        <w:tc>
          <w:tcPr>
            <w:tcW w:w="990" w:type="dxa"/>
          </w:tcPr>
          <w:p w14:paraId="00BBE875" w14:textId="77777777" w:rsidR="00184C26" w:rsidRPr="00410093" w:rsidRDefault="00184C26" w:rsidP="005E4ADD">
            <w:pPr>
              <w:jc w:val="center"/>
              <w:rPr>
                <w:rFonts w:ascii="Times New Roman" w:hAnsi="Times New Roman" w:cs="Times New Roman"/>
                <w:sz w:val="20"/>
                <w:szCs w:val="20"/>
              </w:rPr>
            </w:pPr>
            <w:r w:rsidRPr="00410093">
              <w:rPr>
                <w:rFonts w:ascii="Times New Roman" w:hAnsi="Times New Roman" w:cs="Times New Roman"/>
                <w:sz w:val="20"/>
                <w:szCs w:val="20"/>
              </w:rPr>
              <w:t>$400</w:t>
            </w:r>
          </w:p>
        </w:tc>
        <w:tc>
          <w:tcPr>
            <w:tcW w:w="3964" w:type="dxa"/>
          </w:tcPr>
          <w:p w14:paraId="43D18CBF" w14:textId="77777777" w:rsidR="00184C26" w:rsidRPr="009A7129" w:rsidRDefault="00184C26" w:rsidP="005E4ADD">
            <w:pPr>
              <w:rPr>
                <w:rFonts w:ascii="Times New Roman" w:hAnsi="Times New Roman" w:cs="Times New Roman"/>
                <w:sz w:val="20"/>
                <w:szCs w:val="20"/>
              </w:rPr>
            </w:pPr>
            <w:r w:rsidRPr="00410093">
              <w:rPr>
                <w:rFonts w:ascii="Times New Roman" w:hAnsi="Times New Roman" w:cs="Times New Roman"/>
                <w:sz w:val="20"/>
                <w:szCs w:val="20"/>
              </w:rPr>
              <w:t>This is a wide range for typical utilities in the US. I recommend gathering sample utility prices for each of Watershed’s cities and averaging them over property type and number of rooms.</w:t>
            </w:r>
          </w:p>
        </w:tc>
      </w:tr>
    </w:tbl>
    <w:p w14:paraId="3006E077" w14:textId="3C77F425" w:rsidR="001442CB" w:rsidRPr="00410093" w:rsidRDefault="001442CB" w:rsidP="001442CB">
      <w:pPr>
        <w:jc w:val="center"/>
        <w:rPr>
          <w:rFonts w:ascii="Times New Roman" w:hAnsi="Times New Roman" w:cs="Times New Roman"/>
          <w:i/>
          <w:iCs/>
          <w:sz w:val="20"/>
          <w:szCs w:val="20"/>
        </w:rPr>
      </w:pPr>
      <w:r w:rsidRPr="00410093">
        <w:rPr>
          <w:rFonts w:ascii="Times New Roman" w:hAnsi="Times New Roman" w:cs="Times New Roman"/>
          <w:i/>
          <w:iCs/>
          <w:sz w:val="20"/>
          <w:szCs w:val="20"/>
        </w:rPr>
        <w:t xml:space="preserve">Figure </w:t>
      </w:r>
      <w:r w:rsidR="00E30CD0">
        <w:rPr>
          <w:rFonts w:ascii="Times New Roman" w:hAnsi="Times New Roman" w:cs="Times New Roman"/>
          <w:i/>
          <w:iCs/>
          <w:sz w:val="20"/>
          <w:szCs w:val="20"/>
        </w:rPr>
        <w:t>9</w:t>
      </w:r>
      <w:r w:rsidRPr="00410093">
        <w:rPr>
          <w:rFonts w:ascii="Times New Roman" w:hAnsi="Times New Roman" w:cs="Times New Roman"/>
          <w:i/>
          <w:iCs/>
          <w:sz w:val="20"/>
          <w:szCs w:val="20"/>
        </w:rPr>
        <w:t xml:space="preserve">: </w:t>
      </w:r>
      <w:r w:rsidR="005E3C84">
        <w:rPr>
          <w:rFonts w:ascii="Times New Roman" w:hAnsi="Times New Roman" w:cs="Times New Roman"/>
          <w:i/>
          <w:iCs/>
          <w:sz w:val="20"/>
          <w:szCs w:val="20"/>
        </w:rPr>
        <w:t>Risk Parameters with Assumed Defaults &amp; Ranges Tested.</w:t>
      </w:r>
    </w:p>
    <w:p w14:paraId="2950D08C" w14:textId="77777777" w:rsidR="00184C26" w:rsidRDefault="00184C26" w:rsidP="0065143D">
      <w:pPr>
        <w:rPr>
          <w:rFonts w:ascii="Times New Roman" w:hAnsi="Times New Roman" w:cs="Times New Roman"/>
        </w:rPr>
      </w:pPr>
    </w:p>
    <w:p w14:paraId="210ACF36" w14:textId="394503BF" w:rsidR="000D4741" w:rsidRDefault="00E1509C" w:rsidP="000D4741">
      <w:pPr>
        <w:spacing w:after="0" w:line="240" w:lineRule="auto"/>
        <w:rPr>
          <w:rFonts w:ascii="Times New Roman" w:hAnsi="Times New Roman" w:cs="Times New Roman"/>
        </w:rPr>
      </w:pPr>
      <w:r>
        <w:rPr>
          <w:rFonts w:ascii="Times New Roman" w:eastAsia="Times New Roman" w:hAnsi="Times New Roman" w:cs="Times New Roman"/>
        </w:rPr>
        <w:t>At</w:t>
      </w:r>
      <w:r w:rsidR="000D4741" w:rsidRPr="21C4B35C">
        <w:rPr>
          <w:rFonts w:ascii="Times New Roman" w:eastAsia="Times New Roman" w:hAnsi="Times New Roman" w:cs="Times New Roman"/>
        </w:rPr>
        <w:t xml:space="preserve"> the beginning of the project,</w:t>
      </w:r>
      <w:r>
        <w:rPr>
          <w:rFonts w:ascii="Times New Roman" w:eastAsia="Times New Roman" w:hAnsi="Times New Roman" w:cs="Times New Roman"/>
        </w:rPr>
        <w:t xml:space="preserve"> I was instructed that</w:t>
      </w:r>
      <w:r w:rsidR="000D4741" w:rsidRPr="21C4B35C">
        <w:rPr>
          <w:rFonts w:ascii="Times New Roman" w:eastAsia="Times New Roman" w:hAnsi="Times New Roman" w:cs="Times New Roman"/>
        </w:rPr>
        <w:t xml:space="preserve"> some issues were NOT</w:t>
      </w:r>
      <w:r>
        <w:rPr>
          <w:rFonts w:ascii="Times New Roman" w:eastAsia="Times New Roman" w:hAnsi="Times New Roman" w:cs="Times New Roman"/>
        </w:rPr>
        <w:t xml:space="preserve"> to be</w:t>
      </w:r>
      <w:r w:rsidR="000D4741" w:rsidRPr="21C4B35C">
        <w:rPr>
          <w:rFonts w:ascii="Times New Roman" w:eastAsia="Times New Roman" w:hAnsi="Times New Roman" w:cs="Times New Roman"/>
        </w:rPr>
        <w:t xml:space="preserve"> incorporated into the analysis, but could be incorporated in the future to help optimize short-term rental rates or to further refine projected profits</w:t>
      </w:r>
      <w:r w:rsidR="000D4741">
        <w:rPr>
          <w:rFonts w:ascii="Times New Roman" w:eastAsia="Times New Roman" w:hAnsi="Times New Roman" w:cs="Times New Roman"/>
        </w:rPr>
        <w:t xml:space="preserve"> (</w:t>
      </w:r>
      <w:r w:rsidR="00E30CD0">
        <w:rPr>
          <w:rFonts w:ascii="Times New Roman" w:eastAsia="Times New Roman" w:hAnsi="Times New Roman" w:cs="Times New Roman"/>
        </w:rPr>
        <w:t>Figure 10</w:t>
      </w:r>
      <w:r w:rsidR="000D4741">
        <w:rPr>
          <w:rFonts w:ascii="Times New Roman" w:eastAsia="Times New Roman" w:hAnsi="Times New Roman" w:cs="Times New Roman"/>
        </w:rPr>
        <w:t>)</w:t>
      </w:r>
      <w:r w:rsidR="000D4741" w:rsidRPr="21C4B35C">
        <w:rPr>
          <w:rFonts w:ascii="Times New Roman" w:eastAsia="Times New Roman" w:hAnsi="Times New Roman" w:cs="Times New Roman"/>
        </w:rPr>
        <w:t>:</w:t>
      </w:r>
    </w:p>
    <w:p w14:paraId="36BBFF84" w14:textId="77777777" w:rsidR="000D4741" w:rsidRDefault="000D4741" w:rsidP="000D4741">
      <w:pPr>
        <w:spacing w:after="0" w:line="240" w:lineRule="auto"/>
        <w:rPr>
          <w:rFonts w:ascii="Times New Roman" w:hAnsi="Times New Roman" w:cs="Times New Roman"/>
        </w:rPr>
      </w:pPr>
    </w:p>
    <w:p w14:paraId="5528A1A4" w14:textId="77777777" w:rsidR="000D4741" w:rsidRDefault="000D4741" w:rsidP="000D4741">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4675"/>
        <w:gridCol w:w="4675"/>
      </w:tblGrid>
      <w:tr w:rsidR="000D4741" w14:paraId="43E6C872" w14:textId="77777777" w:rsidTr="00463D70">
        <w:trPr>
          <w:jc w:val="center"/>
        </w:trPr>
        <w:tc>
          <w:tcPr>
            <w:tcW w:w="4675" w:type="dxa"/>
            <w:shd w:val="clear" w:color="auto" w:fill="D9D9D9" w:themeFill="background1" w:themeFillShade="D9"/>
          </w:tcPr>
          <w:p w14:paraId="12CDE5ED" w14:textId="77777777" w:rsidR="000D4741" w:rsidRPr="009A7129" w:rsidRDefault="000D4741" w:rsidP="00837F45">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shd w:val="clear" w:color="auto" w:fill="D9D9D9" w:themeFill="background1" w:themeFillShade="D9"/>
          </w:tcPr>
          <w:p w14:paraId="7FFA644D" w14:textId="77777777" w:rsidR="000D4741" w:rsidRPr="009A7129" w:rsidRDefault="000D4741" w:rsidP="00837F45">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0D4741" w14:paraId="742D4991" w14:textId="77777777" w:rsidTr="00335BF3">
        <w:trPr>
          <w:jc w:val="center"/>
        </w:trPr>
        <w:tc>
          <w:tcPr>
            <w:tcW w:w="4675" w:type="dxa"/>
          </w:tcPr>
          <w:p w14:paraId="07A49B9A" w14:textId="77777777" w:rsidR="000D4741" w:rsidRPr="009A7129" w:rsidRDefault="000D4741" w:rsidP="00837F45">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50F222C9" w14:textId="77777777" w:rsidR="000D4741" w:rsidRPr="009A7129" w:rsidRDefault="000D4741" w:rsidP="00837F45">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0D4741" w14:paraId="062EA080" w14:textId="77777777" w:rsidTr="00335BF3">
        <w:trPr>
          <w:jc w:val="center"/>
        </w:trPr>
        <w:tc>
          <w:tcPr>
            <w:tcW w:w="4675" w:type="dxa"/>
          </w:tcPr>
          <w:p w14:paraId="086C23A2" w14:textId="77777777" w:rsidR="000D4741" w:rsidRPr="009A7129" w:rsidRDefault="000D4741" w:rsidP="00837F45">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79FBD51" w14:textId="77777777" w:rsidR="000D4741" w:rsidRPr="009A7129" w:rsidRDefault="000D4741" w:rsidP="00837F45">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0D4741" w14:paraId="23137B51" w14:textId="77777777" w:rsidTr="00335BF3">
        <w:trPr>
          <w:jc w:val="center"/>
        </w:trPr>
        <w:tc>
          <w:tcPr>
            <w:tcW w:w="4675" w:type="dxa"/>
          </w:tcPr>
          <w:p w14:paraId="45CFFA55" w14:textId="77777777" w:rsidR="000D4741" w:rsidRPr="009A7129" w:rsidRDefault="000D4741" w:rsidP="00837F45">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56C372AF" w14:textId="77777777" w:rsidR="000D4741" w:rsidRPr="009A7129" w:rsidRDefault="000D4741" w:rsidP="00837F45">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0D4741" w14:paraId="398EB8FE" w14:textId="77777777" w:rsidTr="00335BF3">
        <w:trPr>
          <w:jc w:val="center"/>
        </w:trPr>
        <w:tc>
          <w:tcPr>
            <w:tcW w:w="4675" w:type="dxa"/>
          </w:tcPr>
          <w:p w14:paraId="3D6EA0CD" w14:textId="77777777" w:rsidR="000D4741" w:rsidRPr="009A7129" w:rsidRDefault="000D4741" w:rsidP="00837F45">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581BB229" w14:textId="77777777" w:rsidR="000D4741" w:rsidRPr="009A7129" w:rsidRDefault="000D4741" w:rsidP="00837F45">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2BBE4181" w14:textId="274DED9B" w:rsidR="00E30CD0" w:rsidRPr="00410093" w:rsidRDefault="00E30CD0" w:rsidP="00E30CD0">
      <w:pPr>
        <w:jc w:val="center"/>
        <w:rPr>
          <w:rFonts w:ascii="Times New Roman" w:hAnsi="Times New Roman" w:cs="Times New Roman"/>
          <w:i/>
          <w:iCs/>
          <w:sz w:val="20"/>
          <w:szCs w:val="20"/>
        </w:rPr>
      </w:pPr>
      <w:r w:rsidRPr="00410093">
        <w:rPr>
          <w:rFonts w:ascii="Times New Roman" w:hAnsi="Times New Roman" w:cs="Times New Roman"/>
          <w:i/>
          <w:iCs/>
          <w:sz w:val="20"/>
          <w:szCs w:val="20"/>
        </w:rPr>
        <w:t xml:space="preserve">Figure </w:t>
      </w:r>
      <w:r>
        <w:rPr>
          <w:rFonts w:ascii="Times New Roman" w:hAnsi="Times New Roman" w:cs="Times New Roman"/>
          <w:i/>
          <w:iCs/>
          <w:sz w:val="20"/>
          <w:szCs w:val="20"/>
        </w:rPr>
        <w:t>10</w:t>
      </w:r>
      <w:r w:rsidRPr="00410093">
        <w:rPr>
          <w:rFonts w:ascii="Times New Roman" w:hAnsi="Times New Roman" w:cs="Times New Roman"/>
          <w:i/>
          <w:iCs/>
          <w:sz w:val="20"/>
          <w:szCs w:val="20"/>
        </w:rPr>
        <w:t xml:space="preserve">: </w:t>
      </w:r>
      <w:r w:rsidR="005F3676">
        <w:rPr>
          <w:rFonts w:ascii="Times New Roman" w:hAnsi="Times New Roman" w:cs="Times New Roman"/>
          <w:i/>
          <w:iCs/>
          <w:sz w:val="20"/>
          <w:szCs w:val="20"/>
        </w:rPr>
        <w:t>Excluded Risk Factors.</w:t>
      </w:r>
    </w:p>
    <w:p w14:paraId="28CE71C1" w14:textId="77777777" w:rsidR="00881CC0" w:rsidRDefault="00881CC0" w:rsidP="00197553">
      <w:pPr>
        <w:spacing w:after="0" w:line="240" w:lineRule="auto"/>
        <w:rPr>
          <w:rFonts w:ascii="Times New Roman" w:eastAsia="Times New Roman" w:hAnsi="Times New Roman" w:cs="Times New Roman"/>
        </w:rPr>
      </w:pPr>
    </w:p>
    <w:p w14:paraId="59453181" w14:textId="291BC12C" w:rsidR="00197553" w:rsidRPr="00197553" w:rsidRDefault="00197553" w:rsidP="00197553">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lastRenderedPageBreak/>
        <w:t xml:space="preserve">I have </w:t>
      </w:r>
      <w:hyperlink r:id="rId13" w:history="1">
        <w:r w:rsidRPr="00C42451">
          <w:rPr>
            <w:rStyle w:val="Hyperlink"/>
            <w:rFonts w:ascii="Times New Roman" w:eastAsia="Times New Roman" w:hAnsi="Times New Roman" w:cs="Times New Roman"/>
            <w:b/>
            <w:bCs/>
          </w:rPr>
          <w:t>created a dashboard</w:t>
        </w:r>
        <w:r w:rsidR="00C42451" w:rsidRPr="00C42451">
          <w:rPr>
            <w:rStyle w:val="Hyperlink"/>
            <w:rFonts w:ascii="Times New Roman" w:eastAsia="Times New Roman" w:hAnsi="Times New Roman" w:cs="Times New Roman"/>
            <w:b/>
            <w:bCs/>
          </w:rPr>
          <w:t xml:space="preserve"> (here)</w:t>
        </w:r>
      </w:hyperlink>
      <w:r w:rsidRPr="21C4B35C">
        <w:rPr>
          <w:rFonts w:ascii="Times New Roman" w:eastAsia="Times New Roman" w:hAnsi="Times New Roman" w:cs="Times New Roman"/>
        </w:rPr>
        <w:t xml:space="preserve"> that </w:t>
      </w:r>
      <w:r w:rsidRPr="00197553">
        <w:rPr>
          <w:rFonts w:ascii="Times New Roman" w:eastAsia="Times New Roman" w:hAnsi="Times New Roman" w:cs="Times New Roman"/>
        </w:rPr>
        <w:t xml:space="preserve">illustrates the effects of changing these assumptions on predicted profits and required capital investment that is available to anybody on the team by request. </w:t>
      </w:r>
      <w:r w:rsidRPr="00197553">
        <w:rPr>
          <w:rFonts w:ascii="Times New Roman" w:eastAsia="Times New Roman" w:hAnsi="Times New Roman" w:cs="Times New Roman"/>
          <w:b/>
          <w:color w:val="000000" w:themeColor="text1"/>
        </w:rPr>
        <w:t xml:space="preserve">The minimum additional profits </w:t>
      </w:r>
      <w:r w:rsidRPr="00197553">
        <w:rPr>
          <w:rFonts w:ascii="Times New Roman" w:eastAsia="Times New Roman" w:hAnsi="Times New Roman" w:cs="Times New Roman"/>
          <w:b/>
          <w:bCs/>
          <w:color w:val="000000" w:themeColor="text1"/>
        </w:rPr>
        <w:t xml:space="preserve">Watershed could earn when the assumptions were modified within the ranges described above was </w:t>
      </w:r>
      <w:r w:rsidRPr="00197553">
        <w:rPr>
          <w:rFonts w:ascii="Times New Roman" w:eastAsia="Times New Roman" w:hAnsi="Times New Roman" w:cs="Times New Roman"/>
          <w:b/>
          <w:color w:val="000000" w:themeColor="text1"/>
        </w:rPr>
        <w:t>$12,882</w:t>
      </w:r>
      <w:r>
        <w:rPr>
          <w:rFonts w:ascii="Times New Roman" w:eastAsia="Times New Roman" w:hAnsi="Times New Roman" w:cs="Times New Roman"/>
          <w:b/>
          <w:color w:val="000000" w:themeColor="text1"/>
        </w:rPr>
        <w:t>,</w:t>
      </w:r>
      <w:r w:rsidRPr="00197553">
        <w:rPr>
          <w:rFonts w:ascii="Times New Roman" w:eastAsia="Times New Roman" w:hAnsi="Times New Roman" w:cs="Times New Roman"/>
          <w:color w:val="000000" w:themeColor="text1"/>
        </w:rPr>
        <w:t xml:space="preserve"> if all the properties that are “more profitable” as a short-term rental are converted.</w:t>
      </w:r>
      <w:r w:rsidR="003E356C">
        <w:rPr>
          <w:rFonts w:ascii="Times New Roman" w:eastAsia="Times New Roman" w:hAnsi="Times New Roman" w:cs="Times New Roman"/>
          <w:color w:val="000000" w:themeColor="text1"/>
        </w:rPr>
        <w:t xml:space="preserve"> </w:t>
      </w:r>
      <w:r w:rsidRPr="00197553">
        <w:rPr>
          <w:rFonts w:ascii="Times New Roman" w:eastAsia="Times New Roman" w:hAnsi="Times New Roman" w:cs="Times New Roman"/>
          <w:b/>
          <w:color w:val="000000" w:themeColor="text1"/>
        </w:rPr>
        <w:t xml:space="preserve">The maximum additional profits </w:t>
      </w:r>
      <w:r w:rsidRPr="00197553">
        <w:rPr>
          <w:rFonts w:ascii="Times New Roman" w:eastAsia="Times New Roman" w:hAnsi="Times New Roman" w:cs="Times New Roman"/>
          <w:b/>
          <w:bCs/>
          <w:color w:val="000000" w:themeColor="text1"/>
        </w:rPr>
        <w:t xml:space="preserve">Watershed could earn when the assumptions were modified within the ranges described above was </w:t>
      </w:r>
      <w:r>
        <w:rPr>
          <w:rFonts w:ascii="Times New Roman" w:eastAsia="Times New Roman" w:hAnsi="Times New Roman" w:cs="Times New Roman"/>
          <w:b/>
          <w:color w:val="000000" w:themeColor="text1"/>
        </w:rPr>
        <w:t>$</w:t>
      </w:r>
      <w:r w:rsidRPr="00197553">
        <w:rPr>
          <w:rFonts w:ascii="Times New Roman" w:eastAsia="Times New Roman" w:hAnsi="Times New Roman" w:cs="Times New Roman"/>
          <w:b/>
          <w:color w:val="000000" w:themeColor="text1"/>
        </w:rPr>
        <w:t>5,180,843</w:t>
      </w:r>
      <w:r>
        <w:rPr>
          <w:rFonts w:ascii="Times New Roman" w:eastAsia="Times New Roman" w:hAnsi="Times New Roman" w:cs="Times New Roman"/>
          <w:b/>
          <w:color w:val="000000" w:themeColor="text1"/>
        </w:rPr>
        <w:t xml:space="preserve"> </w:t>
      </w:r>
      <w:r w:rsidRPr="00197553">
        <w:rPr>
          <w:rFonts w:ascii="Times New Roman" w:eastAsia="Times New Roman" w:hAnsi="Times New Roman" w:cs="Times New Roman"/>
          <w:color w:val="000000" w:themeColor="text1"/>
        </w:rPr>
        <w:t>if all the properties that are “more profitable” as a short-term rental are converted. The modified set of parameters associated with this minimum and maximum value are provided below (</w:t>
      </w:r>
      <w:r w:rsidR="005F3676">
        <w:rPr>
          <w:rFonts w:ascii="Times New Roman" w:eastAsia="Times New Roman" w:hAnsi="Times New Roman" w:cs="Times New Roman"/>
          <w:color w:val="000000" w:themeColor="text1"/>
        </w:rPr>
        <w:t>Figure 11).</w:t>
      </w:r>
      <w:r w:rsidRPr="00197553">
        <w:rPr>
          <w:rFonts w:ascii="Times New Roman" w:eastAsia="Times New Roman" w:hAnsi="Times New Roman" w:cs="Times New Roman"/>
          <w:color w:val="000000" w:themeColor="text1"/>
        </w:rPr>
        <w:t xml:space="preserve"> Overall, the parameter that affected profits most was </w:t>
      </w:r>
      <w:r w:rsidRPr="005A5AF3">
        <w:rPr>
          <w:rFonts w:ascii="Times New Roman" w:eastAsia="Times New Roman" w:hAnsi="Times New Roman" w:cs="Times New Roman"/>
          <w:b/>
          <w:bCs/>
          <w:color w:val="000000" w:themeColor="text1"/>
        </w:rPr>
        <w:t>Transaction Fees</w:t>
      </w:r>
      <w:r>
        <w:rPr>
          <w:rFonts w:ascii="Times New Roman" w:eastAsia="Times New Roman" w:hAnsi="Times New Roman" w:cs="Times New Roman"/>
          <w:color w:val="000000" w:themeColor="text1"/>
        </w:rPr>
        <w:t>.</w:t>
      </w:r>
    </w:p>
    <w:p w14:paraId="4E8911BB" w14:textId="77777777" w:rsidR="00197553" w:rsidRPr="00197553" w:rsidRDefault="00197553" w:rsidP="00197553">
      <w:pPr>
        <w:spacing w:after="0" w:line="240" w:lineRule="auto"/>
        <w:rPr>
          <w:rFonts w:ascii="Times New Roman" w:eastAsia="Times New Roman" w:hAnsi="Times New Roman" w:cs="Times New Roman"/>
        </w:rPr>
      </w:pPr>
    </w:p>
    <w:p w14:paraId="155FAD0F" w14:textId="77777777" w:rsidR="00197553" w:rsidRPr="00197553" w:rsidRDefault="00197553" w:rsidP="00197553">
      <w:pPr>
        <w:spacing w:after="0" w:line="240" w:lineRule="auto"/>
        <w:rPr>
          <w:rFonts w:ascii="Times New Roman" w:eastAsia="Times New Roman" w:hAnsi="Times New Roman" w:cs="Times New Roman"/>
        </w:rPr>
      </w:pPr>
    </w:p>
    <w:tbl>
      <w:tblPr>
        <w:tblStyle w:val="TableGrid"/>
        <w:tblW w:w="9378" w:type="dxa"/>
        <w:jc w:val="center"/>
        <w:tblLayout w:type="fixed"/>
        <w:tblLook w:val="04A0" w:firstRow="1" w:lastRow="0" w:firstColumn="1" w:lastColumn="0" w:noHBand="0" w:noVBand="1"/>
      </w:tblPr>
      <w:tblGrid>
        <w:gridCol w:w="4878"/>
        <w:gridCol w:w="2317"/>
        <w:gridCol w:w="2183"/>
      </w:tblGrid>
      <w:tr w:rsidR="00197553" w:rsidRPr="00197553" w14:paraId="773B1C18" w14:textId="77777777" w:rsidTr="00463D70">
        <w:trPr>
          <w:jc w:val="center"/>
        </w:trPr>
        <w:tc>
          <w:tcPr>
            <w:tcW w:w="4878" w:type="dxa"/>
            <w:shd w:val="clear" w:color="auto" w:fill="D9D9D9" w:themeFill="background1" w:themeFillShade="D9"/>
          </w:tcPr>
          <w:p w14:paraId="127EE1CF" w14:textId="77777777" w:rsidR="00197553" w:rsidRPr="00197553" w:rsidRDefault="00197553" w:rsidP="00837F45">
            <w:pPr>
              <w:jc w:val="center"/>
              <w:rPr>
                <w:rFonts w:ascii="Times New Roman" w:hAnsi="Times New Roman" w:cs="Times New Roman"/>
                <w:b/>
                <w:sz w:val="20"/>
                <w:szCs w:val="20"/>
              </w:rPr>
            </w:pPr>
            <w:r w:rsidRPr="00197553">
              <w:rPr>
                <w:rFonts w:ascii="Times New Roman" w:eastAsia="Times New Roman" w:hAnsi="Times New Roman" w:cs="Times New Roman"/>
                <w:b/>
                <w:sz w:val="20"/>
                <w:szCs w:val="20"/>
              </w:rPr>
              <w:t>Consideration</w:t>
            </w:r>
          </w:p>
        </w:tc>
        <w:tc>
          <w:tcPr>
            <w:tcW w:w="2317" w:type="dxa"/>
            <w:shd w:val="clear" w:color="auto" w:fill="D9D9D9" w:themeFill="background1" w:themeFillShade="D9"/>
          </w:tcPr>
          <w:p w14:paraId="07146B09" w14:textId="7F8D0E7F" w:rsidR="00197553" w:rsidRPr="00197553" w:rsidRDefault="00197553" w:rsidP="00197553">
            <w:pPr>
              <w:jc w:val="center"/>
              <w:rPr>
                <w:rFonts w:ascii="Times New Roman" w:eastAsia="Times New Roman" w:hAnsi="Times New Roman" w:cs="Times New Roman"/>
                <w:b/>
                <w:sz w:val="20"/>
                <w:szCs w:val="20"/>
              </w:rPr>
            </w:pPr>
            <w:r w:rsidRPr="00197553">
              <w:rPr>
                <w:rFonts w:ascii="Times New Roman" w:eastAsia="Times New Roman" w:hAnsi="Times New Roman" w:cs="Times New Roman"/>
                <w:b/>
                <w:sz w:val="20"/>
                <w:szCs w:val="20"/>
              </w:rPr>
              <w:t>Value in Assumption Set that led to Minimum Profits</w:t>
            </w:r>
          </w:p>
        </w:tc>
        <w:tc>
          <w:tcPr>
            <w:tcW w:w="2183" w:type="dxa"/>
            <w:shd w:val="clear" w:color="auto" w:fill="D9D9D9" w:themeFill="background1" w:themeFillShade="D9"/>
          </w:tcPr>
          <w:p w14:paraId="797ACDEE" w14:textId="35C2454C" w:rsidR="00197553" w:rsidRPr="00197553" w:rsidRDefault="00197553" w:rsidP="00197553">
            <w:pPr>
              <w:jc w:val="center"/>
              <w:rPr>
                <w:rFonts w:ascii="Times New Roman" w:eastAsia="Times New Roman" w:hAnsi="Times New Roman" w:cs="Times New Roman"/>
                <w:b/>
                <w:sz w:val="20"/>
                <w:szCs w:val="20"/>
              </w:rPr>
            </w:pPr>
            <w:r w:rsidRPr="00197553">
              <w:rPr>
                <w:rFonts w:ascii="Times New Roman" w:eastAsia="Times New Roman" w:hAnsi="Times New Roman" w:cs="Times New Roman"/>
                <w:b/>
                <w:sz w:val="20"/>
                <w:szCs w:val="20"/>
              </w:rPr>
              <w:t>Value in Assumption Set that led to Maximum Profits</w:t>
            </w:r>
          </w:p>
        </w:tc>
      </w:tr>
      <w:tr w:rsidR="00B65081" w:rsidRPr="00197553" w14:paraId="549FE483" w14:textId="77777777" w:rsidTr="005F3676">
        <w:trPr>
          <w:jc w:val="center"/>
        </w:trPr>
        <w:tc>
          <w:tcPr>
            <w:tcW w:w="4878" w:type="dxa"/>
          </w:tcPr>
          <w:p w14:paraId="31B1AFA5" w14:textId="4864718B" w:rsidR="00B65081" w:rsidRPr="00197553" w:rsidRDefault="00B65081" w:rsidP="00B65081">
            <w:pPr>
              <w:rPr>
                <w:rFonts w:ascii="Times New Roman" w:hAnsi="Times New Roman" w:cs="Times New Roman"/>
                <w:sz w:val="20"/>
                <w:szCs w:val="20"/>
              </w:rPr>
            </w:pPr>
            <w:r>
              <w:rPr>
                <w:rFonts w:ascii="Times New Roman" w:eastAsia="Times New Roman" w:hAnsi="Times New Roman" w:cs="Times New Roman"/>
                <w:sz w:val="20"/>
                <w:szCs w:val="20"/>
              </w:rPr>
              <w:t>Minimum profitability threshold per property</w:t>
            </w:r>
          </w:p>
        </w:tc>
        <w:tc>
          <w:tcPr>
            <w:tcW w:w="2317" w:type="dxa"/>
          </w:tcPr>
          <w:p w14:paraId="08AC0837"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$10,000</w:t>
            </w:r>
          </w:p>
        </w:tc>
        <w:tc>
          <w:tcPr>
            <w:tcW w:w="2183" w:type="dxa"/>
          </w:tcPr>
          <w:p w14:paraId="4AC3CD18"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$1,000</w:t>
            </w:r>
          </w:p>
        </w:tc>
      </w:tr>
      <w:tr w:rsidR="00B65081" w:rsidRPr="00197553" w14:paraId="40FB12C2" w14:textId="77777777" w:rsidTr="005F3676">
        <w:trPr>
          <w:jc w:val="center"/>
        </w:trPr>
        <w:tc>
          <w:tcPr>
            <w:tcW w:w="4878" w:type="dxa"/>
          </w:tcPr>
          <w:p w14:paraId="150E6AC8" w14:textId="18F50A3E" w:rsidR="00B65081" w:rsidRPr="00197553" w:rsidRDefault="00B65081" w:rsidP="00B65081">
            <w:pPr>
              <w:rPr>
                <w:rFonts w:ascii="Times New Roman" w:hAnsi="Times New Roman" w:cs="Times New Roman"/>
                <w:sz w:val="20"/>
                <w:szCs w:val="20"/>
              </w:rPr>
            </w:pPr>
            <w:r w:rsidRPr="00197553">
              <w:rPr>
                <w:rFonts w:ascii="Times New Roman" w:eastAsia="Times New Roman" w:hAnsi="Times New Roman" w:cs="Times New Roman"/>
                <w:sz w:val="20"/>
                <w:szCs w:val="20"/>
              </w:rPr>
              <w:t xml:space="preserve">Cost to convert property to short-term rental </w:t>
            </w:r>
          </w:p>
        </w:tc>
        <w:tc>
          <w:tcPr>
            <w:tcW w:w="2317" w:type="dxa"/>
          </w:tcPr>
          <w:p w14:paraId="6523316D"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$50,000</w:t>
            </w:r>
          </w:p>
        </w:tc>
        <w:tc>
          <w:tcPr>
            <w:tcW w:w="2183" w:type="dxa"/>
          </w:tcPr>
          <w:p w14:paraId="122C1A56"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$10,000</w:t>
            </w:r>
          </w:p>
        </w:tc>
      </w:tr>
      <w:tr w:rsidR="00B65081" w:rsidRPr="00197553" w14:paraId="58FC103C" w14:textId="77777777" w:rsidTr="005F3676">
        <w:trPr>
          <w:jc w:val="center"/>
        </w:trPr>
        <w:tc>
          <w:tcPr>
            <w:tcW w:w="4878" w:type="dxa"/>
          </w:tcPr>
          <w:p w14:paraId="7B0B7B2F" w14:textId="77777777" w:rsidR="00B65081" w:rsidRPr="00197553" w:rsidRDefault="00B65081" w:rsidP="00B65081">
            <w:pPr>
              <w:rPr>
                <w:rFonts w:ascii="Times New Roman" w:hAnsi="Times New Roman" w:cs="Times New Roman"/>
                <w:sz w:val="20"/>
                <w:szCs w:val="20"/>
              </w:rPr>
            </w:pPr>
            <w:r w:rsidRPr="00197553">
              <w:rPr>
                <w:rFonts w:ascii="Times New Roman" w:eastAsia="Times New Roman" w:hAnsi="Times New Roman" w:cs="Times New Roman"/>
                <w:sz w:val="20"/>
                <w:szCs w:val="20"/>
              </w:rPr>
              <w:t>Years to depreciate capital expenditures</w:t>
            </w:r>
          </w:p>
        </w:tc>
        <w:tc>
          <w:tcPr>
            <w:tcW w:w="2317" w:type="dxa"/>
          </w:tcPr>
          <w:p w14:paraId="0281AAB2"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10</w:t>
            </w:r>
          </w:p>
        </w:tc>
        <w:tc>
          <w:tcPr>
            <w:tcW w:w="2183" w:type="dxa"/>
          </w:tcPr>
          <w:p w14:paraId="437E2271"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1</w:t>
            </w:r>
          </w:p>
        </w:tc>
      </w:tr>
      <w:tr w:rsidR="00B65081" w:rsidRPr="00197553" w14:paraId="68C93A35" w14:textId="77777777" w:rsidTr="005F3676">
        <w:trPr>
          <w:jc w:val="center"/>
        </w:trPr>
        <w:tc>
          <w:tcPr>
            <w:tcW w:w="4878" w:type="dxa"/>
          </w:tcPr>
          <w:p w14:paraId="5907ADB4" w14:textId="424A87BA" w:rsidR="00B65081" w:rsidRPr="00197553" w:rsidRDefault="00B65081" w:rsidP="00B65081">
            <w:pPr>
              <w:rPr>
                <w:rFonts w:ascii="Times New Roman" w:hAnsi="Times New Roman" w:cs="Times New Roman"/>
                <w:sz w:val="20"/>
                <w:szCs w:val="20"/>
              </w:rPr>
            </w:pPr>
            <w:r w:rsidRPr="00197553">
              <w:rPr>
                <w:rFonts w:ascii="Times New Roman" w:eastAsia="Times New Roman" w:hAnsi="Times New Roman" w:cs="Times New Roman"/>
                <w:sz w:val="20"/>
                <w:szCs w:val="20"/>
              </w:rPr>
              <w:t>Yearly upkeep</w:t>
            </w:r>
            <w:r>
              <w:rPr>
                <w:rFonts w:ascii="Times New Roman" w:eastAsia="Times New Roman" w:hAnsi="Times New Roman" w:cs="Times New Roman"/>
                <w:sz w:val="20"/>
                <w:szCs w:val="20"/>
              </w:rPr>
              <w:t xml:space="preserve"> (repairs)</w:t>
            </w:r>
          </w:p>
        </w:tc>
        <w:tc>
          <w:tcPr>
            <w:tcW w:w="2317" w:type="dxa"/>
          </w:tcPr>
          <w:p w14:paraId="169FBF6A"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$1,200</w:t>
            </w:r>
          </w:p>
        </w:tc>
        <w:tc>
          <w:tcPr>
            <w:tcW w:w="2183" w:type="dxa"/>
          </w:tcPr>
          <w:p w14:paraId="097F0400"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$12,000</w:t>
            </w:r>
          </w:p>
        </w:tc>
      </w:tr>
      <w:tr w:rsidR="00B65081" w:rsidRPr="00197553" w14:paraId="30C1F18D" w14:textId="77777777" w:rsidTr="005F3676">
        <w:trPr>
          <w:jc w:val="center"/>
        </w:trPr>
        <w:tc>
          <w:tcPr>
            <w:tcW w:w="4878" w:type="dxa"/>
          </w:tcPr>
          <w:p w14:paraId="0ACAE4AA" w14:textId="77777777" w:rsidR="00B65081" w:rsidRPr="00197553" w:rsidRDefault="00B65081" w:rsidP="00B65081">
            <w:pPr>
              <w:rPr>
                <w:rFonts w:ascii="Times New Roman" w:hAnsi="Times New Roman" w:cs="Times New Roman"/>
                <w:sz w:val="20"/>
                <w:szCs w:val="20"/>
              </w:rPr>
            </w:pPr>
            <w:r w:rsidRPr="00197553">
              <w:rPr>
                <w:rFonts w:ascii="Times New Roman" w:eastAsia="Times New Roman" w:hAnsi="Times New Roman" w:cs="Times New Roman"/>
                <w:sz w:val="20"/>
                <w:szCs w:val="20"/>
              </w:rPr>
              <w:t>Service fees to short-term stay website (e.g. Airbnb)</w:t>
            </w:r>
          </w:p>
        </w:tc>
        <w:tc>
          <w:tcPr>
            <w:tcW w:w="2317" w:type="dxa"/>
          </w:tcPr>
          <w:p w14:paraId="24B30655"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30%</w:t>
            </w:r>
          </w:p>
        </w:tc>
        <w:tc>
          <w:tcPr>
            <w:tcW w:w="2183" w:type="dxa"/>
          </w:tcPr>
          <w:p w14:paraId="0306A3AE"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10%</w:t>
            </w:r>
          </w:p>
        </w:tc>
      </w:tr>
      <w:tr w:rsidR="00B65081" w:rsidRPr="00197553" w14:paraId="166EEE0B" w14:textId="77777777" w:rsidTr="005F3676">
        <w:trPr>
          <w:jc w:val="center"/>
        </w:trPr>
        <w:tc>
          <w:tcPr>
            <w:tcW w:w="4878" w:type="dxa"/>
          </w:tcPr>
          <w:p w14:paraId="1B5C6F91" w14:textId="77777777" w:rsidR="00B65081" w:rsidRPr="00197553" w:rsidRDefault="00B65081" w:rsidP="00B65081">
            <w:pPr>
              <w:rPr>
                <w:rFonts w:ascii="Times New Roman" w:hAnsi="Times New Roman" w:cs="Times New Roman"/>
                <w:sz w:val="20"/>
                <w:szCs w:val="20"/>
              </w:rPr>
            </w:pPr>
            <w:r w:rsidRPr="00197553">
              <w:rPr>
                <w:rFonts w:ascii="Times New Roman" w:eastAsia="Times New Roman" w:hAnsi="Times New Roman" w:cs="Times New Roman"/>
                <w:sz w:val="20"/>
                <w:szCs w:val="20"/>
              </w:rPr>
              <w:t>Regulatory fees (taxes and potential legal fees)</w:t>
            </w:r>
          </w:p>
        </w:tc>
        <w:tc>
          <w:tcPr>
            <w:tcW w:w="2317" w:type="dxa"/>
          </w:tcPr>
          <w:p w14:paraId="4430C0C7"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15%</w:t>
            </w:r>
          </w:p>
        </w:tc>
        <w:tc>
          <w:tcPr>
            <w:tcW w:w="2183" w:type="dxa"/>
          </w:tcPr>
          <w:p w14:paraId="1D60677D"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5%</w:t>
            </w:r>
          </w:p>
        </w:tc>
      </w:tr>
      <w:tr w:rsidR="00B65081" w:rsidRPr="00197553" w14:paraId="7760D447" w14:textId="77777777" w:rsidTr="005F3676">
        <w:trPr>
          <w:jc w:val="center"/>
        </w:trPr>
        <w:tc>
          <w:tcPr>
            <w:tcW w:w="4878" w:type="dxa"/>
          </w:tcPr>
          <w:p w14:paraId="38AEE859" w14:textId="77777777" w:rsidR="00B65081" w:rsidRPr="00197553" w:rsidRDefault="00B65081" w:rsidP="00B65081">
            <w:pPr>
              <w:rPr>
                <w:rFonts w:ascii="Times New Roman" w:hAnsi="Times New Roman" w:cs="Times New Roman"/>
                <w:sz w:val="20"/>
                <w:szCs w:val="20"/>
              </w:rPr>
            </w:pPr>
            <w:r w:rsidRPr="00197553">
              <w:rPr>
                <w:rFonts w:ascii="Times New Roman" w:eastAsia="Times New Roman" w:hAnsi="Times New Roman" w:cs="Times New Roman"/>
                <w:sz w:val="20"/>
                <w:szCs w:val="20"/>
              </w:rPr>
              <w:t>Hospitality charges (key service, cleaning, re-stocking)</w:t>
            </w:r>
          </w:p>
        </w:tc>
        <w:tc>
          <w:tcPr>
            <w:tcW w:w="2317" w:type="dxa"/>
          </w:tcPr>
          <w:p w14:paraId="29147BB2"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$200</w:t>
            </w:r>
          </w:p>
        </w:tc>
        <w:tc>
          <w:tcPr>
            <w:tcW w:w="2183" w:type="dxa"/>
          </w:tcPr>
          <w:p w14:paraId="11DA1B95"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$100</w:t>
            </w:r>
          </w:p>
        </w:tc>
      </w:tr>
      <w:tr w:rsidR="00B65081" w:rsidRPr="00197553" w14:paraId="566835B1" w14:textId="77777777" w:rsidTr="005F3676">
        <w:trPr>
          <w:jc w:val="center"/>
        </w:trPr>
        <w:tc>
          <w:tcPr>
            <w:tcW w:w="4878" w:type="dxa"/>
          </w:tcPr>
          <w:p w14:paraId="58BCADFD" w14:textId="77777777" w:rsidR="00B65081" w:rsidRPr="00197553" w:rsidRDefault="00B65081" w:rsidP="00B65081">
            <w:pPr>
              <w:rPr>
                <w:rFonts w:ascii="Times New Roman" w:hAnsi="Times New Roman" w:cs="Times New Roman"/>
                <w:sz w:val="20"/>
                <w:szCs w:val="20"/>
              </w:rPr>
            </w:pPr>
            <w:r w:rsidRPr="00197553">
              <w:rPr>
                <w:rFonts w:ascii="Times New Roman" w:eastAsia="Times New Roman" w:hAnsi="Times New Roman" w:cs="Times New Roman"/>
                <w:sz w:val="20"/>
                <w:szCs w:val="20"/>
              </w:rPr>
              <w:t>Typical stay duration (days)</w:t>
            </w:r>
          </w:p>
        </w:tc>
        <w:tc>
          <w:tcPr>
            <w:tcW w:w="2317" w:type="dxa"/>
          </w:tcPr>
          <w:p w14:paraId="596BA909"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2</w:t>
            </w:r>
          </w:p>
        </w:tc>
        <w:tc>
          <w:tcPr>
            <w:tcW w:w="2183" w:type="dxa"/>
          </w:tcPr>
          <w:p w14:paraId="1240AE37"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7</w:t>
            </w:r>
          </w:p>
        </w:tc>
      </w:tr>
      <w:tr w:rsidR="00B65081" w14:paraId="1FBF5033" w14:textId="77777777" w:rsidTr="005F3676">
        <w:trPr>
          <w:jc w:val="center"/>
        </w:trPr>
        <w:tc>
          <w:tcPr>
            <w:tcW w:w="4878" w:type="dxa"/>
          </w:tcPr>
          <w:p w14:paraId="76E0AC9A" w14:textId="77777777" w:rsidR="00B65081" w:rsidRPr="00197553" w:rsidRDefault="00B65081" w:rsidP="00B65081">
            <w:pPr>
              <w:rPr>
                <w:rFonts w:ascii="Times New Roman" w:hAnsi="Times New Roman" w:cs="Times New Roman"/>
                <w:sz w:val="20"/>
                <w:szCs w:val="20"/>
              </w:rPr>
            </w:pPr>
            <w:r w:rsidRPr="00197553">
              <w:rPr>
                <w:rFonts w:ascii="Times New Roman" w:eastAsia="Times New Roman" w:hAnsi="Times New Roman" w:cs="Times New Roman"/>
                <w:sz w:val="20"/>
                <w:szCs w:val="20"/>
              </w:rPr>
              <w:t>Monthly utilities</w:t>
            </w:r>
          </w:p>
        </w:tc>
        <w:tc>
          <w:tcPr>
            <w:tcW w:w="2317" w:type="dxa"/>
          </w:tcPr>
          <w:p w14:paraId="244A7FF7"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$400</w:t>
            </w:r>
          </w:p>
        </w:tc>
        <w:tc>
          <w:tcPr>
            <w:tcW w:w="2183" w:type="dxa"/>
          </w:tcPr>
          <w:p w14:paraId="591BEF7C" w14:textId="77777777" w:rsidR="00B65081" w:rsidRPr="00197553" w:rsidRDefault="00B65081" w:rsidP="00B65081">
            <w:pPr>
              <w:jc w:val="center"/>
              <w:rPr>
                <w:rFonts w:ascii="Times New Roman" w:hAnsi="Times New Roman" w:cs="Times New Roman"/>
                <w:sz w:val="20"/>
                <w:szCs w:val="20"/>
              </w:rPr>
            </w:pPr>
            <w:r w:rsidRPr="00197553">
              <w:rPr>
                <w:rFonts w:ascii="Times New Roman" w:hAnsi="Times New Roman" w:cs="Times New Roman"/>
                <w:sz w:val="20"/>
                <w:szCs w:val="20"/>
              </w:rPr>
              <w:t>$150</w:t>
            </w:r>
          </w:p>
        </w:tc>
      </w:tr>
    </w:tbl>
    <w:p w14:paraId="2D826782" w14:textId="64A43BD3" w:rsidR="00881CC0" w:rsidRDefault="003E356C" w:rsidP="00881CC0">
      <w:pPr>
        <w:jc w:val="center"/>
        <w:rPr>
          <w:rFonts w:ascii="Times New Roman" w:hAnsi="Times New Roman" w:cs="Times New Roman"/>
          <w:i/>
          <w:iCs/>
          <w:sz w:val="20"/>
          <w:szCs w:val="20"/>
        </w:rPr>
      </w:pPr>
      <w:r w:rsidRPr="00410093">
        <w:rPr>
          <w:rFonts w:ascii="Times New Roman" w:hAnsi="Times New Roman" w:cs="Times New Roman"/>
          <w:i/>
          <w:iCs/>
          <w:sz w:val="20"/>
          <w:szCs w:val="20"/>
        </w:rPr>
        <w:t xml:space="preserve">Figure </w:t>
      </w:r>
      <w:r>
        <w:rPr>
          <w:rFonts w:ascii="Times New Roman" w:hAnsi="Times New Roman" w:cs="Times New Roman"/>
          <w:i/>
          <w:iCs/>
          <w:sz w:val="20"/>
          <w:szCs w:val="20"/>
        </w:rPr>
        <w:t>11</w:t>
      </w:r>
      <w:r w:rsidRPr="00410093">
        <w:rPr>
          <w:rFonts w:ascii="Times New Roman" w:hAnsi="Times New Roman" w:cs="Times New Roman"/>
          <w:i/>
          <w:iCs/>
          <w:sz w:val="20"/>
          <w:szCs w:val="20"/>
        </w:rPr>
        <w:t xml:space="preserve">: </w:t>
      </w:r>
      <w:r w:rsidR="008E0AA0">
        <w:rPr>
          <w:rFonts w:ascii="Times New Roman" w:hAnsi="Times New Roman" w:cs="Times New Roman"/>
          <w:i/>
          <w:iCs/>
          <w:sz w:val="20"/>
          <w:szCs w:val="20"/>
        </w:rPr>
        <w:t>Risk Factor Directional Influence.</w:t>
      </w:r>
    </w:p>
    <w:p w14:paraId="629D84A3" w14:textId="77777777" w:rsidR="00881CC0" w:rsidRPr="00881CC0" w:rsidRDefault="00881CC0" w:rsidP="00881CC0">
      <w:pPr>
        <w:jc w:val="center"/>
        <w:rPr>
          <w:rFonts w:ascii="Times New Roman" w:hAnsi="Times New Roman" w:cs="Times New Roman"/>
          <w:i/>
          <w:iCs/>
          <w:sz w:val="6"/>
          <w:szCs w:val="6"/>
        </w:rPr>
      </w:pPr>
    </w:p>
    <w:p w14:paraId="08F312AC" w14:textId="4E0FE600" w:rsidR="00981B87" w:rsidRDefault="007D76BF" w:rsidP="000D4741">
      <w:pPr>
        <w:rPr>
          <w:rFonts w:ascii="Times New Roman" w:hAnsi="Times New Roman" w:cs="Times New Roman"/>
        </w:rPr>
      </w:pPr>
      <w:r>
        <w:rPr>
          <w:rFonts w:ascii="Times New Roman" w:hAnsi="Times New Roman" w:cs="Times New Roman"/>
        </w:rPr>
        <w:t>Based on additional research and current market conditions (in 2023)</w:t>
      </w:r>
      <w:r w:rsidR="001869B9">
        <w:rPr>
          <w:rFonts w:ascii="Times New Roman" w:hAnsi="Times New Roman" w:cs="Times New Roman"/>
        </w:rPr>
        <w:t xml:space="preserve">, </w:t>
      </w:r>
      <w:r w:rsidR="001869B9" w:rsidRPr="005A5AF3">
        <w:rPr>
          <w:rFonts w:ascii="Times New Roman" w:hAnsi="Times New Roman" w:cs="Times New Roman"/>
          <w:b/>
          <w:bCs/>
        </w:rPr>
        <w:t>I recommend the following values for each of the 9 risk parameters associated with this short-term rental conversion analysis.</w:t>
      </w:r>
    </w:p>
    <w:p w14:paraId="47E3D476" w14:textId="77777777" w:rsidR="00981B87" w:rsidRDefault="00981B87" w:rsidP="00981B87">
      <w:pPr>
        <w:spacing w:after="0" w:line="240" w:lineRule="auto"/>
        <w:rPr>
          <w:rFonts w:ascii="Times New Roman" w:eastAsia="Times New Roman" w:hAnsi="Times New Roman" w:cs="Times New Roman"/>
          <w:u w:val="single"/>
        </w:rPr>
      </w:pPr>
    </w:p>
    <w:tbl>
      <w:tblPr>
        <w:tblStyle w:val="TableGrid"/>
        <w:tblW w:w="9355" w:type="dxa"/>
        <w:jc w:val="center"/>
        <w:tblLayout w:type="fixed"/>
        <w:tblLook w:val="04A0" w:firstRow="1" w:lastRow="0" w:firstColumn="1" w:lastColumn="0" w:noHBand="0" w:noVBand="1"/>
      </w:tblPr>
      <w:tblGrid>
        <w:gridCol w:w="6295"/>
        <w:gridCol w:w="3060"/>
      </w:tblGrid>
      <w:tr w:rsidR="00981B87" w14:paraId="72982803" w14:textId="77777777" w:rsidTr="00463D70">
        <w:trPr>
          <w:jc w:val="center"/>
        </w:trPr>
        <w:tc>
          <w:tcPr>
            <w:tcW w:w="6295" w:type="dxa"/>
            <w:shd w:val="clear" w:color="auto" w:fill="D9D9D9" w:themeFill="background1" w:themeFillShade="D9"/>
          </w:tcPr>
          <w:p w14:paraId="0A5A8478" w14:textId="5B9C3D35" w:rsidR="00981B87" w:rsidRPr="00B65081" w:rsidRDefault="004E3300" w:rsidP="00837F45">
            <w:pPr>
              <w:jc w:val="center"/>
              <w:rPr>
                <w:rFonts w:ascii="Times New Roman" w:hAnsi="Times New Roman" w:cs="Times New Roman"/>
                <w:b/>
                <w:sz w:val="20"/>
                <w:szCs w:val="20"/>
              </w:rPr>
            </w:pPr>
            <w:r w:rsidRPr="00B65081">
              <w:rPr>
                <w:rFonts w:ascii="Times New Roman" w:eastAsia="Times New Roman" w:hAnsi="Times New Roman" w:cs="Times New Roman"/>
                <w:b/>
                <w:sz w:val="20"/>
                <w:szCs w:val="20"/>
              </w:rPr>
              <w:t xml:space="preserve">Recommended </w:t>
            </w:r>
            <w:r w:rsidR="00981B87" w:rsidRPr="00B65081">
              <w:rPr>
                <w:rFonts w:ascii="Times New Roman" w:eastAsia="Times New Roman" w:hAnsi="Times New Roman" w:cs="Times New Roman"/>
                <w:b/>
                <w:sz w:val="20"/>
                <w:szCs w:val="20"/>
              </w:rPr>
              <w:t>Consideration</w:t>
            </w:r>
          </w:p>
        </w:tc>
        <w:tc>
          <w:tcPr>
            <w:tcW w:w="3060" w:type="dxa"/>
            <w:shd w:val="clear" w:color="auto" w:fill="D9D9D9" w:themeFill="background1" w:themeFillShade="D9"/>
          </w:tcPr>
          <w:p w14:paraId="4D989BA7" w14:textId="77777777" w:rsidR="00981B87" w:rsidRPr="00B65081" w:rsidRDefault="00981B87" w:rsidP="00837F45">
            <w:pPr>
              <w:jc w:val="center"/>
              <w:rPr>
                <w:rFonts w:ascii="Times New Roman" w:eastAsia="Times New Roman" w:hAnsi="Times New Roman" w:cs="Times New Roman"/>
                <w:b/>
                <w:sz w:val="20"/>
                <w:szCs w:val="20"/>
              </w:rPr>
            </w:pPr>
            <w:r w:rsidRPr="00B65081">
              <w:rPr>
                <w:rFonts w:ascii="Times New Roman" w:eastAsia="Times New Roman" w:hAnsi="Times New Roman" w:cs="Times New Roman"/>
                <w:b/>
                <w:sz w:val="20"/>
                <w:szCs w:val="20"/>
              </w:rPr>
              <w:t>Recommended Values</w:t>
            </w:r>
          </w:p>
        </w:tc>
      </w:tr>
      <w:tr w:rsidR="00981B87" w14:paraId="6EA0249A" w14:textId="77777777" w:rsidTr="008E0AA0">
        <w:trPr>
          <w:jc w:val="center"/>
        </w:trPr>
        <w:tc>
          <w:tcPr>
            <w:tcW w:w="6295" w:type="dxa"/>
          </w:tcPr>
          <w:p w14:paraId="5243ECD5" w14:textId="011E7F6B" w:rsidR="00981B87" w:rsidRPr="00B65081" w:rsidRDefault="00B65081" w:rsidP="00837F45">
            <w:pPr>
              <w:rPr>
                <w:rFonts w:ascii="Times New Roman" w:hAnsi="Times New Roman" w:cs="Times New Roman"/>
                <w:sz w:val="20"/>
                <w:szCs w:val="20"/>
              </w:rPr>
            </w:pPr>
            <w:r w:rsidRPr="00B65081">
              <w:rPr>
                <w:rFonts w:ascii="Times New Roman" w:eastAsia="Times New Roman" w:hAnsi="Times New Roman" w:cs="Times New Roman"/>
                <w:sz w:val="20"/>
                <w:szCs w:val="20"/>
              </w:rPr>
              <w:t>Minimum profitability threshold per property</w:t>
            </w:r>
          </w:p>
        </w:tc>
        <w:tc>
          <w:tcPr>
            <w:tcW w:w="3060" w:type="dxa"/>
          </w:tcPr>
          <w:p w14:paraId="12E17708" w14:textId="77777777" w:rsidR="00981B87" w:rsidRPr="00B65081" w:rsidRDefault="00981B87" w:rsidP="00981B87">
            <w:pPr>
              <w:jc w:val="center"/>
              <w:rPr>
                <w:rFonts w:ascii="Times New Roman" w:hAnsi="Times New Roman" w:cs="Times New Roman"/>
                <w:sz w:val="20"/>
                <w:szCs w:val="20"/>
              </w:rPr>
            </w:pPr>
            <w:r w:rsidRPr="00B65081">
              <w:rPr>
                <w:rFonts w:ascii="Times New Roman" w:hAnsi="Times New Roman" w:cs="Times New Roman"/>
                <w:sz w:val="20"/>
                <w:szCs w:val="20"/>
              </w:rPr>
              <w:t>$5,500</w:t>
            </w:r>
          </w:p>
        </w:tc>
      </w:tr>
      <w:tr w:rsidR="00981B87" w14:paraId="42FCCB1B" w14:textId="77777777" w:rsidTr="008E0AA0">
        <w:trPr>
          <w:jc w:val="center"/>
        </w:trPr>
        <w:tc>
          <w:tcPr>
            <w:tcW w:w="6295" w:type="dxa"/>
          </w:tcPr>
          <w:p w14:paraId="10A918B7" w14:textId="1D291CD8" w:rsidR="00981B87" w:rsidRPr="00B65081" w:rsidRDefault="00981B87" w:rsidP="00837F45">
            <w:pPr>
              <w:rPr>
                <w:rFonts w:ascii="Times New Roman" w:hAnsi="Times New Roman" w:cs="Times New Roman"/>
                <w:sz w:val="20"/>
                <w:szCs w:val="20"/>
              </w:rPr>
            </w:pPr>
            <w:r w:rsidRPr="00B65081">
              <w:rPr>
                <w:rFonts w:ascii="Times New Roman" w:eastAsia="Times New Roman" w:hAnsi="Times New Roman" w:cs="Times New Roman"/>
                <w:sz w:val="20"/>
                <w:szCs w:val="20"/>
              </w:rPr>
              <w:t xml:space="preserve">Cost to convert property to short-term rental </w:t>
            </w:r>
          </w:p>
        </w:tc>
        <w:tc>
          <w:tcPr>
            <w:tcW w:w="3060" w:type="dxa"/>
          </w:tcPr>
          <w:p w14:paraId="4225E631" w14:textId="77777777" w:rsidR="00981B87" w:rsidRPr="00B65081" w:rsidRDefault="00981B87" w:rsidP="00981B87">
            <w:pPr>
              <w:jc w:val="center"/>
              <w:rPr>
                <w:rFonts w:ascii="Times New Roman" w:hAnsi="Times New Roman" w:cs="Times New Roman"/>
                <w:sz w:val="20"/>
                <w:szCs w:val="20"/>
              </w:rPr>
            </w:pPr>
            <w:r w:rsidRPr="00B65081">
              <w:rPr>
                <w:rFonts w:ascii="Times New Roman" w:hAnsi="Times New Roman" w:cs="Times New Roman"/>
                <w:sz w:val="20"/>
                <w:szCs w:val="20"/>
              </w:rPr>
              <w:t>$25,000</w:t>
            </w:r>
          </w:p>
        </w:tc>
      </w:tr>
      <w:tr w:rsidR="00981B87" w14:paraId="379D08FA" w14:textId="77777777" w:rsidTr="008E0AA0">
        <w:trPr>
          <w:jc w:val="center"/>
        </w:trPr>
        <w:tc>
          <w:tcPr>
            <w:tcW w:w="6295" w:type="dxa"/>
          </w:tcPr>
          <w:p w14:paraId="77089476" w14:textId="77777777" w:rsidR="00981B87" w:rsidRPr="00B65081" w:rsidRDefault="00981B87" w:rsidP="00837F45">
            <w:pPr>
              <w:rPr>
                <w:rFonts w:ascii="Times New Roman" w:hAnsi="Times New Roman" w:cs="Times New Roman"/>
                <w:sz w:val="20"/>
                <w:szCs w:val="20"/>
              </w:rPr>
            </w:pPr>
            <w:r w:rsidRPr="00B65081">
              <w:rPr>
                <w:rFonts w:ascii="Times New Roman" w:eastAsia="Times New Roman" w:hAnsi="Times New Roman" w:cs="Times New Roman"/>
                <w:sz w:val="20"/>
                <w:szCs w:val="20"/>
              </w:rPr>
              <w:t>Years to depreciate capital expenditures</w:t>
            </w:r>
          </w:p>
        </w:tc>
        <w:tc>
          <w:tcPr>
            <w:tcW w:w="3060" w:type="dxa"/>
          </w:tcPr>
          <w:p w14:paraId="1F3461EA" w14:textId="77777777" w:rsidR="00981B87" w:rsidRPr="00B65081" w:rsidRDefault="00981B87" w:rsidP="00981B87">
            <w:pPr>
              <w:jc w:val="center"/>
              <w:rPr>
                <w:rFonts w:ascii="Times New Roman" w:hAnsi="Times New Roman" w:cs="Times New Roman"/>
                <w:sz w:val="20"/>
                <w:szCs w:val="20"/>
              </w:rPr>
            </w:pPr>
            <w:r w:rsidRPr="00B65081">
              <w:rPr>
                <w:rFonts w:ascii="Times New Roman" w:hAnsi="Times New Roman" w:cs="Times New Roman"/>
                <w:sz w:val="20"/>
                <w:szCs w:val="20"/>
              </w:rPr>
              <w:t>5</w:t>
            </w:r>
          </w:p>
        </w:tc>
      </w:tr>
      <w:tr w:rsidR="00981B87" w14:paraId="686A774C" w14:textId="77777777" w:rsidTr="008E0AA0">
        <w:trPr>
          <w:jc w:val="center"/>
        </w:trPr>
        <w:tc>
          <w:tcPr>
            <w:tcW w:w="6295" w:type="dxa"/>
          </w:tcPr>
          <w:p w14:paraId="1E6E36CA" w14:textId="74DE9514" w:rsidR="00981B87" w:rsidRPr="00B65081" w:rsidRDefault="00981B87" w:rsidP="00837F45">
            <w:pPr>
              <w:rPr>
                <w:rFonts w:ascii="Times New Roman" w:hAnsi="Times New Roman" w:cs="Times New Roman"/>
                <w:sz w:val="20"/>
                <w:szCs w:val="20"/>
              </w:rPr>
            </w:pPr>
            <w:r w:rsidRPr="00B65081">
              <w:rPr>
                <w:rFonts w:ascii="Times New Roman" w:eastAsia="Times New Roman" w:hAnsi="Times New Roman" w:cs="Times New Roman"/>
                <w:sz w:val="20"/>
                <w:szCs w:val="20"/>
              </w:rPr>
              <w:t>Yearly upkeep</w:t>
            </w:r>
            <w:r w:rsidR="00B65081">
              <w:rPr>
                <w:rFonts w:ascii="Times New Roman" w:eastAsia="Times New Roman" w:hAnsi="Times New Roman" w:cs="Times New Roman"/>
                <w:sz w:val="20"/>
                <w:szCs w:val="20"/>
              </w:rPr>
              <w:t xml:space="preserve"> (repairs)</w:t>
            </w:r>
          </w:p>
        </w:tc>
        <w:tc>
          <w:tcPr>
            <w:tcW w:w="3060" w:type="dxa"/>
          </w:tcPr>
          <w:p w14:paraId="0538A04E" w14:textId="77777777" w:rsidR="00981B87" w:rsidRPr="00B65081" w:rsidRDefault="00981B87" w:rsidP="00981B87">
            <w:pPr>
              <w:jc w:val="center"/>
              <w:rPr>
                <w:rFonts w:ascii="Times New Roman" w:hAnsi="Times New Roman" w:cs="Times New Roman"/>
                <w:sz w:val="20"/>
                <w:szCs w:val="20"/>
              </w:rPr>
            </w:pPr>
            <w:r w:rsidRPr="00B65081">
              <w:rPr>
                <w:rFonts w:ascii="Times New Roman" w:hAnsi="Times New Roman" w:cs="Times New Roman"/>
                <w:sz w:val="20"/>
                <w:szCs w:val="20"/>
              </w:rPr>
              <w:t>$4,800</w:t>
            </w:r>
          </w:p>
        </w:tc>
      </w:tr>
      <w:tr w:rsidR="00981B87" w14:paraId="54E3FCCD" w14:textId="77777777" w:rsidTr="008E0AA0">
        <w:trPr>
          <w:jc w:val="center"/>
        </w:trPr>
        <w:tc>
          <w:tcPr>
            <w:tcW w:w="6295" w:type="dxa"/>
          </w:tcPr>
          <w:p w14:paraId="576F89D5" w14:textId="77777777" w:rsidR="00981B87" w:rsidRPr="00B65081" w:rsidRDefault="00981B87" w:rsidP="00837F45">
            <w:pPr>
              <w:rPr>
                <w:rFonts w:ascii="Times New Roman" w:hAnsi="Times New Roman" w:cs="Times New Roman"/>
                <w:sz w:val="20"/>
                <w:szCs w:val="20"/>
              </w:rPr>
            </w:pPr>
            <w:r w:rsidRPr="00B65081">
              <w:rPr>
                <w:rFonts w:ascii="Times New Roman" w:eastAsia="Times New Roman" w:hAnsi="Times New Roman" w:cs="Times New Roman"/>
                <w:sz w:val="20"/>
                <w:szCs w:val="20"/>
              </w:rPr>
              <w:t>Service fees to short-term stay website (e.g. Airbnb)</w:t>
            </w:r>
          </w:p>
        </w:tc>
        <w:tc>
          <w:tcPr>
            <w:tcW w:w="3060" w:type="dxa"/>
          </w:tcPr>
          <w:p w14:paraId="6D078771" w14:textId="77777777" w:rsidR="00981B87" w:rsidRPr="00B65081" w:rsidRDefault="00981B87" w:rsidP="00981B87">
            <w:pPr>
              <w:jc w:val="center"/>
              <w:rPr>
                <w:rFonts w:ascii="Times New Roman" w:hAnsi="Times New Roman" w:cs="Times New Roman"/>
                <w:sz w:val="20"/>
                <w:szCs w:val="20"/>
              </w:rPr>
            </w:pPr>
            <w:r w:rsidRPr="00B65081">
              <w:rPr>
                <w:rFonts w:ascii="Times New Roman" w:hAnsi="Times New Roman" w:cs="Times New Roman"/>
                <w:sz w:val="20"/>
                <w:szCs w:val="20"/>
              </w:rPr>
              <w:t>20%</w:t>
            </w:r>
          </w:p>
        </w:tc>
      </w:tr>
      <w:tr w:rsidR="00981B87" w14:paraId="481FF7A7" w14:textId="77777777" w:rsidTr="008E0AA0">
        <w:trPr>
          <w:jc w:val="center"/>
        </w:trPr>
        <w:tc>
          <w:tcPr>
            <w:tcW w:w="6295" w:type="dxa"/>
          </w:tcPr>
          <w:p w14:paraId="49661CF6" w14:textId="77777777" w:rsidR="00981B87" w:rsidRPr="00B65081" w:rsidRDefault="00981B87" w:rsidP="00837F45">
            <w:pPr>
              <w:rPr>
                <w:rFonts w:ascii="Times New Roman" w:hAnsi="Times New Roman" w:cs="Times New Roman"/>
                <w:sz w:val="20"/>
                <w:szCs w:val="20"/>
              </w:rPr>
            </w:pPr>
            <w:r w:rsidRPr="00B65081">
              <w:rPr>
                <w:rFonts w:ascii="Times New Roman" w:eastAsia="Times New Roman" w:hAnsi="Times New Roman" w:cs="Times New Roman"/>
                <w:sz w:val="20"/>
                <w:szCs w:val="20"/>
              </w:rPr>
              <w:t>Regulatory fees (taxes and potential legal fees)</w:t>
            </w:r>
          </w:p>
        </w:tc>
        <w:tc>
          <w:tcPr>
            <w:tcW w:w="3060" w:type="dxa"/>
          </w:tcPr>
          <w:p w14:paraId="6D71F70F" w14:textId="77777777" w:rsidR="00981B87" w:rsidRPr="00B65081" w:rsidRDefault="00981B87" w:rsidP="00981B87">
            <w:pPr>
              <w:jc w:val="center"/>
              <w:rPr>
                <w:rFonts w:ascii="Times New Roman" w:hAnsi="Times New Roman" w:cs="Times New Roman"/>
                <w:sz w:val="20"/>
                <w:szCs w:val="20"/>
              </w:rPr>
            </w:pPr>
            <w:r w:rsidRPr="00B65081">
              <w:rPr>
                <w:rFonts w:ascii="Times New Roman" w:hAnsi="Times New Roman" w:cs="Times New Roman"/>
                <w:sz w:val="20"/>
                <w:szCs w:val="20"/>
              </w:rPr>
              <w:t>10%</w:t>
            </w:r>
          </w:p>
        </w:tc>
      </w:tr>
      <w:tr w:rsidR="00981B87" w14:paraId="109E7AA5" w14:textId="77777777" w:rsidTr="008E0AA0">
        <w:trPr>
          <w:jc w:val="center"/>
        </w:trPr>
        <w:tc>
          <w:tcPr>
            <w:tcW w:w="6295" w:type="dxa"/>
          </w:tcPr>
          <w:p w14:paraId="0D6CAF97" w14:textId="77777777" w:rsidR="00981B87" w:rsidRPr="00B65081" w:rsidRDefault="00981B87" w:rsidP="00837F45">
            <w:pPr>
              <w:rPr>
                <w:rFonts w:ascii="Times New Roman" w:hAnsi="Times New Roman" w:cs="Times New Roman"/>
                <w:sz w:val="20"/>
                <w:szCs w:val="20"/>
              </w:rPr>
            </w:pPr>
            <w:r w:rsidRPr="00B65081">
              <w:rPr>
                <w:rFonts w:ascii="Times New Roman" w:eastAsia="Times New Roman" w:hAnsi="Times New Roman" w:cs="Times New Roman"/>
                <w:sz w:val="20"/>
                <w:szCs w:val="20"/>
              </w:rPr>
              <w:t>Hospitality charges (key service, cleaning, re-stocking)</w:t>
            </w:r>
          </w:p>
        </w:tc>
        <w:tc>
          <w:tcPr>
            <w:tcW w:w="3060" w:type="dxa"/>
          </w:tcPr>
          <w:p w14:paraId="1D98F93E" w14:textId="77777777" w:rsidR="00981B87" w:rsidRPr="00B65081" w:rsidRDefault="00981B87" w:rsidP="00981B87">
            <w:pPr>
              <w:jc w:val="center"/>
              <w:rPr>
                <w:rFonts w:ascii="Times New Roman" w:hAnsi="Times New Roman" w:cs="Times New Roman"/>
                <w:sz w:val="20"/>
                <w:szCs w:val="20"/>
              </w:rPr>
            </w:pPr>
            <w:r w:rsidRPr="00B65081">
              <w:rPr>
                <w:rFonts w:ascii="Times New Roman" w:hAnsi="Times New Roman" w:cs="Times New Roman"/>
                <w:sz w:val="20"/>
                <w:szCs w:val="20"/>
              </w:rPr>
              <w:t>$125</w:t>
            </w:r>
          </w:p>
        </w:tc>
      </w:tr>
      <w:tr w:rsidR="00981B87" w14:paraId="0C856F49" w14:textId="77777777" w:rsidTr="008E0AA0">
        <w:trPr>
          <w:jc w:val="center"/>
        </w:trPr>
        <w:tc>
          <w:tcPr>
            <w:tcW w:w="6295" w:type="dxa"/>
          </w:tcPr>
          <w:p w14:paraId="2AD3CB7B" w14:textId="77777777" w:rsidR="00981B87" w:rsidRPr="00B65081" w:rsidRDefault="00981B87" w:rsidP="00837F45">
            <w:pPr>
              <w:rPr>
                <w:rFonts w:ascii="Times New Roman" w:hAnsi="Times New Roman" w:cs="Times New Roman"/>
                <w:sz w:val="20"/>
                <w:szCs w:val="20"/>
              </w:rPr>
            </w:pPr>
            <w:r w:rsidRPr="00B65081">
              <w:rPr>
                <w:rFonts w:ascii="Times New Roman" w:eastAsia="Times New Roman" w:hAnsi="Times New Roman" w:cs="Times New Roman"/>
                <w:sz w:val="20"/>
                <w:szCs w:val="20"/>
              </w:rPr>
              <w:t>Typical stay duration (days)</w:t>
            </w:r>
          </w:p>
        </w:tc>
        <w:tc>
          <w:tcPr>
            <w:tcW w:w="3060" w:type="dxa"/>
          </w:tcPr>
          <w:p w14:paraId="1A3208B9" w14:textId="77777777" w:rsidR="00981B87" w:rsidRPr="00B65081" w:rsidRDefault="00981B87" w:rsidP="00981B87">
            <w:pPr>
              <w:jc w:val="center"/>
              <w:rPr>
                <w:rFonts w:ascii="Times New Roman" w:hAnsi="Times New Roman" w:cs="Times New Roman"/>
                <w:sz w:val="20"/>
                <w:szCs w:val="20"/>
              </w:rPr>
            </w:pPr>
            <w:r w:rsidRPr="00B65081">
              <w:rPr>
                <w:rFonts w:ascii="Times New Roman" w:hAnsi="Times New Roman" w:cs="Times New Roman"/>
                <w:sz w:val="20"/>
                <w:szCs w:val="20"/>
              </w:rPr>
              <w:t>3</w:t>
            </w:r>
          </w:p>
        </w:tc>
      </w:tr>
      <w:tr w:rsidR="00981B87" w14:paraId="5200D300" w14:textId="77777777" w:rsidTr="008E0AA0">
        <w:trPr>
          <w:jc w:val="center"/>
        </w:trPr>
        <w:tc>
          <w:tcPr>
            <w:tcW w:w="6295" w:type="dxa"/>
          </w:tcPr>
          <w:p w14:paraId="760B0155" w14:textId="77777777" w:rsidR="00981B87" w:rsidRPr="00B65081" w:rsidRDefault="00981B87" w:rsidP="00837F45">
            <w:pPr>
              <w:rPr>
                <w:rFonts w:ascii="Times New Roman" w:hAnsi="Times New Roman" w:cs="Times New Roman"/>
                <w:sz w:val="20"/>
                <w:szCs w:val="20"/>
              </w:rPr>
            </w:pPr>
            <w:r w:rsidRPr="00B65081">
              <w:rPr>
                <w:rFonts w:ascii="Times New Roman" w:eastAsia="Times New Roman" w:hAnsi="Times New Roman" w:cs="Times New Roman"/>
                <w:sz w:val="20"/>
                <w:szCs w:val="20"/>
              </w:rPr>
              <w:t>Monthly utilities</w:t>
            </w:r>
          </w:p>
        </w:tc>
        <w:tc>
          <w:tcPr>
            <w:tcW w:w="3060" w:type="dxa"/>
          </w:tcPr>
          <w:p w14:paraId="1F3F1477" w14:textId="77777777" w:rsidR="00981B87" w:rsidRPr="00B65081" w:rsidRDefault="00981B87" w:rsidP="00981B87">
            <w:pPr>
              <w:jc w:val="center"/>
              <w:rPr>
                <w:rFonts w:ascii="Times New Roman" w:hAnsi="Times New Roman" w:cs="Times New Roman"/>
                <w:sz w:val="20"/>
                <w:szCs w:val="20"/>
              </w:rPr>
            </w:pPr>
            <w:r w:rsidRPr="00B65081">
              <w:rPr>
                <w:rFonts w:ascii="Times New Roman" w:hAnsi="Times New Roman" w:cs="Times New Roman"/>
                <w:sz w:val="20"/>
                <w:szCs w:val="20"/>
              </w:rPr>
              <w:t>$250</w:t>
            </w:r>
          </w:p>
        </w:tc>
      </w:tr>
    </w:tbl>
    <w:p w14:paraId="191FD8F2" w14:textId="732C7CD1" w:rsidR="008E0AA0" w:rsidRPr="00410093" w:rsidRDefault="008E0AA0" w:rsidP="008E0AA0">
      <w:pPr>
        <w:jc w:val="center"/>
        <w:rPr>
          <w:rFonts w:ascii="Times New Roman" w:hAnsi="Times New Roman" w:cs="Times New Roman"/>
          <w:i/>
          <w:iCs/>
          <w:sz w:val="20"/>
          <w:szCs w:val="20"/>
        </w:rPr>
      </w:pPr>
      <w:r w:rsidRPr="00410093">
        <w:rPr>
          <w:rFonts w:ascii="Times New Roman" w:hAnsi="Times New Roman" w:cs="Times New Roman"/>
          <w:i/>
          <w:iCs/>
          <w:sz w:val="20"/>
          <w:szCs w:val="20"/>
        </w:rPr>
        <w:t xml:space="preserve">Figure </w:t>
      </w:r>
      <w:r>
        <w:rPr>
          <w:rFonts w:ascii="Times New Roman" w:hAnsi="Times New Roman" w:cs="Times New Roman"/>
          <w:i/>
          <w:iCs/>
          <w:sz w:val="20"/>
          <w:szCs w:val="20"/>
        </w:rPr>
        <w:t>12</w:t>
      </w:r>
      <w:r w:rsidRPr="00410093">
        <w:rPr>
          <w:rFonts w:ascii="Times New Roman" w:hAnsi="Times New Roman" w:cs="Times New Roman"/>
          <w:i/>
          <w:iCs/>
          <w:sz w:val="20"/>
          <w:szCs w:val="20"/>
        </w:rPr>
        <w:t xml:space="preserve">: </w:t>
      </w:r>
      <w:r w:rsidRPr="008E0AA0">
        <w:rPr>
          <w:rFonts w:ascii="Times New Roman" w:hAnsi="Times New Roman" w:cs="Times New Roman"/>
          <w:i/>
          <w:iCs/>
          <w:sz w:val="20"/>
          <w:szCs w:val="20"/>
        </w:rPr>
        <w:t>Recommended</w:t>
      </w:r>
      <w:r w:rsidR="00346273">
        <w:rPr>
          <w:rFonts w:ascii="Times New Roman" w:hAnsi="Times New Roman" w:cs="Times New Roman"/>
          <w:i/>
          <w:iCs/>
          <w:sz w:val="20"/>
          <w:szCs w:val="20"/>
        </w:rPr>
        <w:t xml:space="preserve"> Risk</w:t>
      </w:r>
      <w:r w:rsidRPr="008E0AA0">
        <w:rPr>
          <w:rFonts w:ascii="Times New Roman" w:hAnsi="Times New Roman" w:cs="Times New Roman"/>
          <w:i/>
          <w:iCs/>
          <w:sz w:val="20"/>
          <w:szCs w:val="20"/>
        </w:rPr>
        <w:t xml:space="preserve"> Parameter Value</w:t>
      </w:r>
      <w:r w:rsidR="00346273">
        <w:rPr>
          <w:rFonts w:ascii="Times New Roman" w:hAnsi="Times New Roman" w:cs="Times New Roman"/>
          <w:i/>
          <w:iCs/>
          <w:sz w:val="20"/>
          <w:szCs w:val="20"/>
        </w:rPr>
        <w:t>s</w:t>
      </w:r>
      <w:r>
        <w:rPr>
          <w:rFonts w:ascii="Times New Roman" w:hAnsi="Times New Roman" w:cs="Times New Roman"/>
          <w:i/>
          <w:iCs/>
          <w:sz w:val="20"/>
          <w:szCs w:val="20"/>
        </w:rPr>
        <w:t>.</w:t>
      </w:r>
    </w:p>
    <w:p w14:paraId="27F2FBAF" w14:textId="77777777" w:rsidR="00981B87" w:rsidRDefault="00981B87" w:rsidP="000D4741">
      <w:pPr>
        <w:rPr>
          <w:rFonts w:ascii="Times New Roman" w:hAnsi="Times New Roman" w:cs="Times New Roman"/>
        </w:rPr>
      </w:pPr>
    </w:p>
    <w:p w14:paraId="0C407E40" w14:textId="32E1D4EF" w:rsidR="00B65081" w:rsidRDefault="00722319" w:rsidP="000D4741">
      <w:pPr>
        <w:rPr>
          <w:rFonts w:ascii="Times New Roman" w:hAnsi="Times New Roman" w:cs="Times New Roman"/>
          <w:b/>
          <w:bCs/>
        </w:rPr>
      </w:pPr>
      <w:r>
        <w:rPr>
          <w:rFonts w:ascii="Times New Roman" w:hAnsi="Times New Roman" w:cs="Times New Roman"/>
          <w:b/>
          <w:bCs/>
        </w:rPr>
        <w:t>Conclusion</w:t>
      </w:r>
    </w:p>
    <w:p w14:paraId="058ABF65" w14:textId="6524F37A" w:rsidR="00722319" w:rsidRDefault="00DE7A7D" w:rsidP="000D4741">
      <w:pPr>
        <w:rPr>
          <w:rFonts w:ascii="Times New Roman" w:hAnsi="Times New Roman" w:cs="Times New Roman"/>
        </w:rPr>
      </w:pPr>
      <w:r>
        <w:rPr>
          <w:rFonts w:ascii="Times New Roman" w:hAnsi="Times New Roman" w:cs="Times New Roman"/>
        </w:rPr>
        <w:t xml:space="preserve">This analysis combined Watershed’s current long-term rental property details with </w:t>
      </w:r>
      <w:r w:rsidR="0090485E">
        <w:rPr>
          <w:rFonts w:ascii="Times New Roman" w:hAnsi="Times New Roman" w:cs="Times New Roman"/>
        </w:rPr>
        <w:t xml:space="preserve">third-party short-term rental property data of the same property types and zip codes </w:t>
      </w:r>
      <w:r w:rsidR="002F21A6">
        <w:rPr>
          <w:rFonts w:ascii="Times New Roman" w:hAnsi="Times New Roman" w:cs="Times New Roman"/>
        </w:rPr>
        <w:t xml:space="preserve">to forecast net changes to Watershed’s annual revenue, cash flow, and profits </w:t>
      </w:r>
      <w:r w:rsidR="00220930">
        <w:rPr>
          <w:rFonts w:ascii="Times New Roman" w:hAnsi="Times New Roman" w:cs="Times New Roman"/>
        </w:rPr>
        <w:t xml:space="preserve">for the conversion of long-term rentals to short-term rentals. </w:t>
      </w:r>
    </w:p>
    <w:p w14:paraId="13C990B5" w14:textId="64D2B2A9" w:rsidR="00220930" w:rsidRDefault="00F61E2D" w:rsidP="000D4741">
      <w:pPr>
        <w:rPr>
          <w:rFonts w:ascii="Times New Roman" w:hAnsi="Times New Roman" w:cs="Times New Roman"/>
        </w:rPr>
      </w:pPr>
      <w:r>
        <w:rPr>
          <w:rFonts w:ascii="Times New Roman" w:hAnsi="Times New Roman" w:cs="Times New Roman"/>
        </w:rPr>
        <w:t xml:space="preserve">After the correlation </w:t>
      </w:r>
      <w:r w:rsidR="00412B19">
        <w:rPr>
          <w:rFonts w:ascii="Times New Roman" w:hAnsi="Times New Roman" w:cs="Times New Roman"/>
        </w:rPr>
        <w:t xml:space="preserve">of short-term rental pricing and occupancy rates was established, the </w:t>
      </w:r>
      <w:r w:rsidR="006C41DD">
        <w:rPr>
          <w:rFonts w:ascii="Times New Roman" w:hAnsi="Times New Roman" w:cs="Times New Roman"/>
        </w:rPr>
        <w:t>coefficients</w:t>
      </w:r>
      <w:r w:rsidR="00412B19">
        <w:rPr>
          <w:rFonts w:ascii="Times New Roman" w:hAnsi="Times New Roman" w:cs="Times New Roman"/>
        </w:rPr>
        <w:t xml:space="preserve"> of the linear regression model were applied to derive optimal short-term nightly rental prices that would maximize annual revenue. </w:t>
      </w:r>
      <w:r w:rsidR="00B54ADC">
        <w:rPr>
          <w:rFonts w:ascii="Times New Roman" w:hAnsi="Times New Roman" w:cs="Times New Roman"/>
        </w:rPr>
        <w:t xml:space="preserve">These </w:t>
      </w:r>
      <w:r w:rsidR="00571C94">
        <w:rPr>
          <w:rFonts w:ascii="Times New Roman" w:hAnsi="Times New Roman" w:cs="Times New Roman"/>
        </w:rPr>
        <w:t xml:space="preserve">annual property revenues were tested among 9 variable risk factors </w:t>
      </w:r>
      <w:r w:rsidR="00D637C4">
        <w:rPr>
          <w:rFonts w:ascii="Times New Roman" w:hAnsi="Times New Roman" w:cs="Times New Roman"/>
        </w:rPr>
        <w:t xml:space="preserve">to achieve the most realistic yet conservative forecasts. </w:t>
      </w:r>
    </w:p>
    <w:p w14:paraId="5ACCBB11" w14:textId="35319242" w:rsidR="00437815" w:rsidRPr="00722319" w:rsidRDefault="00672B43" w:rsidP="000D4741">
      <w:pPr>
        <w:rPr>
          <w:rFonts w:ascii="Times New Roman" w:hAnsi="Times New Roman" w:cs="Times New Roman"/>
        </w:rPr>
      </w:pPr>
      <w:r>
        <w:rPr>
          <w:rFonts w:ascii="Times New Roman" w:hAnsi="Times New Roman" w:cs="Times New Roman"/>
        </w:rPr>
        <w:t xml:space="preserve">For Watershed’s current market locale of 14 cities, the most profitable 3 cities have been recommended </w:t>
      </w:r>
      <w:r w:rsidR="00F54FB0">
        <w:rPr>
          <w:rFonts w:ascii="Times New Roman" w:hAnsi="Times New Roman" w:cs="Times New Roman"/>
        </w:rPr>
        <w:t xml:space="preserve">to convert to short-term rental properties. This recommendation </w:t>
      </w:r>
      <w:r w:rsidR="00DD6C24">
        <w:rPr>
          <w:rFonts w:ascii="Times New Roman" w:hAnsi="Times New Roman" w:cs="Times New Roman"/>
        </w:rPr>
        <w:t>not only takes advantage of the most highly p</w:t>
      </w:r>
      <w:r w:rsidR="00716E13">
        <w:rPr>
          <w:rFonts w:ascii="Times New Roman" w:hAnsi="Times New Roman" w:cs="Times New Roman"/>
        </w:rPr>
        <w:t xml:space="preserve">rofitable short-term rental </w:t>
      </w:r>
      <w:r w:rsidR="00163C0C">
        <w:rPr>
          <w:rFonts w:ascii="Times New Roman" w:hAnsi="Times New Roman" w:cs="Times New Roman"/>
        </w:rPr>
        <w:t>regions</w:t>
      </w:r>
      <w:r w:rsidR="00716E13">
        <w:rPr>
          <w:rFonts w:ascii="Times New Roman" w:hAnsi="Times New Roman" w:cs="Times New Roman"/>
        </w:rPr>
        <w:t xml:space="preserve">, but also enables Watershed to </w:t>
      </w:r>
      <w:r w:rsidR="000A1DA1">
        <w:rPr>
          <w:rFonts w:ascii="Times New Roman" w:hAnsi="Times New Roman" w:cs="Times New Roman"/>
        </w:rPr>
        <w:t>optimize</w:t>
      </w:r>
      <w:r w:rsidR="00716E13">
        <w:rPr>
          <w:rFonts w:ascii="Times New Roman" w:hAnsi="Times New Roman" w:cs="Times New Roman"/>
        </w:rPr>
        <w:t xml:space="preserve"> its </w:t>
      </w:r>
      <w:r w:rsidR="00905A9C">
        <w:rPr>
          <w:rFonts w:ascii="Times New Roman" w:hAnsi="Times New Roman" w:cs="Times New Roman"/>
        </w:rPr>
        <w:t>conversions into the most profitable property types within these regions</w:t>
      </w:r>
      <w:r w:rsidR="00867A3A">
        <w:rPr>
          <w:rFonts w:ascii="Times New Roman" w:hAnsi="Times New Roman" w:cs="Times New Roman"/>
        </w:rPr>
        <w:t xml:space="preserve">. </w:t>
      </w:r>
      <w:r w:rsidR="006C41DD">
        <w:rPr>
          <w:rFonts w:ascii="Times New Roman" w:hAnsi="Times New Roman" w:cs="Times New Roman"/>
        </w:rPr>
        <w:t xml:space="preserve">These 3 cities also contain a total of 20 properties, which at $25,000 CAPEX per property, puts </w:t>
      </w:r>
      <w:r w:rsidR="00E87DC8">
        <w:rPr>
          <w:rFonts w:ascii="Times New Roman" w:hAnsi="Times New Roman" w:cs="Times New Roman"/>
        </w:rPr>
        <w:t xml:space="preserve">the total conversion cost right at the allotted $500,000 </w:t>
      </w:r>
      <w:r w:rsidR="00150553">
        <w:rPr>
          <w:rFonts w:ascii="Times New Roman" w:hAnsi="Times New Roman" w:cs="Times New Roman"/>
        </w:rPr>
        <w:t xml:space="preserve">Watershed is willing to spend for these conversions. </w:t>
      </w:r>
    </w:p>
    <w:sectPr w:rsidR="00437815" w:rsidRPr="00722319" w:rsidSect="00463D70">
      <w:pgSz w:w="12240" w:h="15840"/>
      <w:pgMar w:top="5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6FF4B" w14:textId="77777777" w:rsidR="005846AD" w:rsidRDefault="005846AD" w:rsidP="005846AD">
      <w:pPr>
        <w:spacing w:after="0" w:line="240" w:lineRule="auto"/>
      </w:pPr>
      <w:r>
        <w:separator/>
      </w:r>
    </w:p>
  </w:endnote>
  <w:endnote w:type="continuationSeparator" w:id="0">
    <w:p w14:paraId="32E4085F" w14:textId="77777777" w:rsidR="005846AD" w:rsidRDefault="005846AD" w:rsidP="00584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scadia Mono">
    <w:panose1 w:val="020B0609020000020004"/>
    <w:charset w:val="00"/>
    <w:family w:val="modern"/>
    <w:pitch w:val="fixed"/>
    <w:sig w:usb0="A1002AFF" w:usb1="C000F9FB" w:usb2="00040020" w:usb3="00000000" w:csb0="000001FF" w:csb1="00000000"/>
  </w:font>
  <w:font w:name="Helvetica">
    <w:panose1 w:val="020B0604020202020204"/>
    <w:charset w:val="00"/>
    <w:family w:val="swiss"/>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BA45D" w14:textId="77777777" w:rsidR="005846AD" w:rsidRDefault="005846AD" w:rsidP="005846AD">
      <w:pPr>
        <w:spacing w:after="0" w:line="240" w:lineRule="auto"/>
      </w:pPr>
      <w:r>
        <w:separator/>
      </w:r>
    </w:p>
  </w:footnote>
  <w:footnote w:type="continuationSeparator" w:id="0">
    <w:p w14:paraId="68F54BA1" w14:textId="77777777" w:rsidR="005846AD" w:rsidRDefault="005846AD" w:rsidP="00584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C8A"/>
    <w:multiLevelType w:val="hybridMultilevel"/>
    <w:tmpl w:val="48E26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DF4804"/>
    <w:multiLevelType w:val="multilevel"/>
    <w:tmpl w:val="3042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313046"/>
    <w:multiLevelType w:val="hybridMultilevel"/>
    <w:tmpl w:val="33DCF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656467">
    <w:abstractNumId w:val="1"/>
  </w:num>
  <w:num w:numId="2" w16cid:durableId="262034404">
    <w:abstractNumId w:val="0"/>
  </w:num>
  <w:num w:numId="3" w16cid:durableId="981809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97"/>
    <w:rsid w:val="000052FF"/>
    <w:rsid w:val="00012738"/>
    <w:rsid w:val="0002730F"/>
    <w:rsid w:val="00033093"/>
    <w:rsid w:val="00033D47"/>
    <w:rsid w:val="00036605"/>
    <w:rsid w:val="00085D55"/>
    <w:rsid w:val="000922BB"/>
    <w:rsid w:val="000954A3"/>
    <w:rsid w:val="000A1DA1"/>
    <w:rsid w:val="000A3E64"/>
    <w:rsid w:val="000A3F0C"/>
    <w:rsid w:val="000A43D2"/>
    <w:rsid w:val="000B162E"/>
    <w:rsid w:val="000B170B"/>
    <w:rsid w:val="000B2585"/>
    <w:rsid w:val="000B6803"/>
    <w:rsid w:val="000D4741"/>
    <w:rsid w:val="000E788C"/>
    <w:rsid w:val="000F6C40"/>
    <w:rsid w:val="000F6FA0"/>
    <w:rsid w:val="001115D3"/>
    <w:rsid w:val="0012163A"/>
    <w:rsid w:val="001442CB"/>
    <w:rsid w:val="00150553"/>
    <w:rsid w:val="0016173E"/>
    <w:rsid w:val="00163C0C"/>
    <w:rsid w:val="00166D3D"/>
    <w:rsid w:val="001814CE"/>
    <w:rsid w:val="00184C26"/>
    <w:rsid w:val="001869B9"/>
    <w:rsid w:val="00197553"/>
    <w:rsid w:val="001A0311"/>
    <w:rsid w:val="001A36E6"/>
    <w:rsid w:val="001B1000"/>
    <w:rsid w:val="001C2C54"/>
    <w:rsid w:val="001D0DB4"/>
    <w:rsid w:val="002020E8"/>
    <w:rsid w:val="00204E52"/>
    <w:rsid w:val="00204FA1"/>
    <w:rsid w:val="0020500D"/>
    <w:rsid w:val="002052B9"/>
    <w:rsid w:val="0021130F"/>
    <w:rsid w:val="00220930"/>
    <w:rsid w:val="00242120"/>
    <w:rsid w:val="00263228"/>
    <w:rsid w:val="00265F57"/>
    <w:rsid w:val="002758C2"/>
    <w:rsid w:val="00277F41"/>
    <w:rsid w:val="00283BCE"/>
    <w:rsid w:val="002A14CA"/>
    <w:rsid w:val="002B6183"/>
    <w:rsid w:val="002B6F18"/>
    <w:rsid w:val="002C4E64"/>
    <w:rsid w:val="002C5B55"/>
    <w:rsid w:val="002D15E8"/>
    <w:rsid w:val="002E0DAD"/>
    <w:rsid w:val="002E4070"/>
    <w:rsid w:val="002E5ECB"/>
    <w:rsid w:val="002F21A6"/>
    <w:rsid w:val="002F35DB"/>
    <w:rsid w:val="00307562"/>
    <w:rsid w:val="0032160E"/>
    <w:rsid w:val="003240D3"/>
    <w:rsid w:val="00326B50"/>
    <w:rsid w:val="00335BF3"/>
    <w:rsid w:val="00342B54"/>
    <w:rsid w:val="00346273"/>
    <w:rsid w:val="00370E97"/>
    <w:rsid w:val="00374B45"/>
    <w:rsid w:val="00374B7D"/>
    <w:rsid w:val="003916BB"/>
    <w:rsid w:val="003B65E9"/>
    <w:rsid w:val="003C10AC"/>
    <w:rsid w:val="003D58C0"/>
    <w:rsid w:val="003D5CE1"/>
    <w:rsid w:val="003E356C"/>
    <w:rsid w:val="003E5780"/>
    <w:rsid w:val="00405DC5"/>
    <w:rsid w:val="00406B1F"/>
    <w:rsid w:val="00410093"/>
    <w:rsid w:val="00412B19"/>
    <w:rsid w:val="00414383"/>
    <w:rsid w:val="00416726"/>
    <w:rsid w:val="004321F5"/>
    <w:rsid w:val="00433EDE"/>
    <w:rsid w:val="00437815"/>
    <w:rsid w:val="004438A3"/>
    <w:rsid w:val="004523FB"/>
    <w:rsid w:val="0046064D"/>
    <w:rsid w:val="00463D70"/>
    <w:rsid w:val="004753FF"/>
    <w:rsid w:val="00486B67"/>
    <w:rsid w:val="00486DA2"/>
    <w:rsid w:val="00487C4E"/>
    <w:rsid w:val="004A09D3"/>
    <w:rsid w:val="004A24A9"/>
    <w:rsid w:val="004B1CB7"/>
    <w:rsid w:val="004E0DF0"/>
    <w:rsid w:val="004E3300"/>
    <w:rsid w:val="004E4FCC"/>
    <w:rsid w:val="00507A18"/>
    <w:rsid w:val="00514D22"/>
    <w:rsid w:val="00517BF1"/>
    <w:rsid w:val="0052049A"/>
    <w:rsid w:val="005269B2"/>
    <w:rsid w:val="00535A7F"/>
    <w:rsid w:val="0054435E"/>
    <w:rsid w:val="00545DAF"/>
    <w:rsid w:val="00571C94"/>
    <w:rsid w:val="00575C73"/>
    <w:rsid w:val="00580832"/>
    <w:rsid w:val="00580AC8"/>
    <w:rsid w:val="005846AD"/>
    <w:rsid w:val="005929F8"/>
    <w:rsid w:val="005A5AF3"/>
    <w:rsid w:val="005B586D"/>
    <w:rsid w:val="005E3C84"/>
    <w:rsid w:val="005E4ADD"/>
    <w:rsid w:val="005F01B8"/>
    <w:rsid w:val="005F3676"/>
    <w:rsid w:val="005F567A"/>
    <w:rsid w:val="006068AE"/>
    <w:rsid w:val="00616D6B"/>
    <w:rsid w:val="006177CB"/>
    <w:rsid w:val="0062007F"/>
    <w:rsid w:val="006209F7"/>
    <w:rsid w:val="00624394"/>
    <w:rsid w:val="00626A58"/>
    <w:rsid w:val="00626E58"/>
    <w:rsid w:val="006417B6"/>
    <w:rsid w:val="00643884"/>
    <w:rsid w:val="00644CC3"/>
    <w:rsid w:val="0065143D"/>
    <w:rsid w:val="006557B5"/>
    <w:rsid w:val="00662AE9"/>
    <w:rsid w:val="00666730"/>
    <w:rsid w:val="00672B43"/>
    <w:rsid w:val="006753AB"/>
    <w:rsid w:val="006846FE"/>
    <w:rsid w:val="006B45DD"/>
    <w:rsid w:val="006B75C2"/>
    <w:rsid w:val="006C3BCD"/>
    <w:rsid w:val="006C41DD"/>
    <w:rsid w:val="00701824"/>
    <w:rsid w:val="00716E13"/>
    <w:rsid w:val="00722319"/>
    <w:rsid w:val="0072321D"/>
    <w:rsid w:val="00726CEE"/>
    <w:rsid w:val="0073153C"/>
    <w:rsid w:val="00734293"/>
    <w:rsid w:val="00734E55"/>
    <w:rsid w:val="00735F44"/>
    <w:rsid w:val="00744D36"/>
    <w:rsid w:val="00755A22"/>
    <w:rsid w:val="007563DB"/>
    <w:rsid w:val="00780A90"/>
    <w:rsid w:val="007834FE"/>
    <w:rsid w:val="00783A1B"/>
    <w:rsid w:val="00785487"/>
    <w:rsid w:val="00787282"/>
    <w:rsid w:val="007B0D9A"/>
    <w:rsid w:val="007D6C55"/>
    <w:rsid w:val="007D76BF"/>
    <w:rsid w:val="007E293C"/>
    <w:rsid w:val="007E4CCA"/>
    <w:rsid w:val="007E4E9E"/>
    <w:rsid w:val="0080617C"/>
    <w:rsid w:val="008410FA"/>
    <w:rsid w:val="00841103"/>
    <w:rsid w:val="0086328F"/>
    <w:rsid w:val="00867A3A"/>
    <w:rsid w:val="00881CC0"/>
    <w:rsid w:val="00884092"/>
    <w:rsid w:val="00892961"/>
    <w:rsid w:val="008D42E2"/>
    <w:rsid w:val="008E0AA0"/>
    <w:rsid w:val="008F1C82"/>
    <w:rsid w:val="008F4398"/>
    <w:rsid w:val="0090405E"/>
    <w:rsid w:val="00904193"/>
    <w:rsid w:val="0090485E"/>
    <w:rsid w:val="00905A9C"/>
    <w:rsid w:val="00923DC8"/>
    <w:rsid w:val="009335A3"/>
    <w:rsid w:val="00933629"/>
    <w:rsid w:val="0093408F"/>
    <w:rsid w:val="00952626"/>
    <w:rsid w:val="0095532B"/>
    <w:rsid w:val="00981B87"/>
    <w:rsid w:val="009A0357"/>
    <w:rsid w:val="009B5596"/>
    <w:rsid w:val="009D1FD4"/>
    <w:rsid w:val="009F729F"/>
    <w:rsid w:val="00A0092B"/>
    <w:rsid w:val="00A06293"/>
    <w:rsid w:val="00A1044C"/>
    <w:rsid w:val="00A241C7"/>
    <w:rsid w:val="00A25D0E"/>
    <w:rsid w:val="00A30919"/>
    <w:rsid w:val="00A31745"/>
    <w:rsid w:val="00A32BF1"/>
    <w:rsid w:val="00A34AAA"/>
    <w:rsid w:val="00A500C6"/>
    <w:rsid w:val="00AA4F79"/>
    <w:rsid w:val="00AB1207"/>
    <w:rsid w:val="00AB2E51"/>
    <w:rsid w:val="00AC0C4D"/>
    <w:rsid w:val="00AC1434"/>
    <w:rsid w:val="00AD39F9"/>
    <w:rsid w:val="00AE6068"/>
    <w:rsid w:val="00AF3405"/>
    <w:rsid w:val="00AF5F7D"/>
    <w:rsid w:val="00B06B96"/>
    <w:rsid w:val="00B20C35"/>
    <w:rsid w:val="00B42FB9"/>
    <w:rsid w:val="00B54807"/>
    <w:rsid w:val="00B54ADC"/>
    <w:rsid w:val="00B63837"/>
    <w:rsid w:val="00B64416"/>
    <w:rsid w:val="00B65081"/>
    <w:rsid w:val="00B656F8"/>
    <w:rsid w:val="00B93CB8"/>
    <w:rsid w:val="00BA1D2C"/>
    <w:rsid w:val="00BA569C"/>
    <w:rsid w:val="00BC44F3"/>
    <w:rsid w:val="00BC6631"/>
    <w:rsid w:val="00BD60E9"/>
    <w:rsid w:val="00BD6D61"/>
    <w:rsid w:val="00BE34EB"/>
    <w:rsid w:val="00BF5269"/>
    <w:rsid w:val="00C02A65"/>
    <w:rsid w:val="00C16538"/>
    <w:rsid w:val="00C21CC2"/>
    <w:rsid w:val="00C24861"/>
    <w:rsid w:val="00C327E4"/>
    <w:rsid w:val="00C40828"/>
    <w:rsid w:val="00C42451"/>
    <w:rsid w:val="00C4793B"/>
    <w:rsid w:val="00C47EF5"/>
    <w:rsid w:val="00C629B2"/>
    <w:rsid w:val="00C6683F"/>
    <w:rsid w:val="00C7219A"/>
    <w:rsid w:val="00C86142"/>
    <w:rsid w:val="00CB2C76"/>
    <w:rsid w:val="00CC6C1E"/>
    <w:rsid w:val="00CD2F70"/>
    <w:rsid w:val="00CD641E"/>
    <w:rsid w:val="00D05286"/>
    <w:rsid w:val="00D2681F"/>
    <w:rsid w:val="00D2777A"/>
    <w:rsid w:val="00D44D77"/>
    <w:rsid w:val="00D539A0"/>
    <w:rsid w:val="00D637C4"/>
    <w:rsid w:val="00D666A5"/>
    <w:rsid w:val="00D7159D"/>
    <w:rsid w:val="00DB55F4"/>
    <w:rsid w:val="00DC54A2"/>
    <w:rsid w:val="00DC55A1"/>
    <w:rsid w:val="00DC60BC"/>
    <w:rsid w:val="00DD6C24"/>
    <w:rsid w:val="00DE3B43"/>
    <w:rsid w:val="00DE7A7D"/>
    <w:rsid w:val="00E1509C"/>
    <w:rsid w:val="00E15F4C"/>
    <w:rsid w:val="00E20F18"/>
    <w:rsid w:val="00E30CD0"/>
    <w:rsid w:val="00E32DF6"/>
    <w:rsid w:val="00E33976"/>
    <w:rsid w:val="00E41F02"/>
    <w:rsid w:val="00E465C2"/>
    <w:rsid w:val="00E51092"/>
    <w:rsid w:val="00E527DD"/>
    <w:rsid w:val="00E57E1B"/>
    <w:rsid w:val="00E647BE"/>
    <w:rsid w:val="00E71968"/>
    <w:rsid w:val="00E7451A"/>
    <w:rsid w:val="00E81753"/>
    <w:rsid w:val="00E83302"/>
    <w:rsid w:val="00E87DC8"/>
    <w:rsid w:val="00EC2AD4"/>
    <w:rsid w:val="00EC4497"/>
    <w:rsid w:val="00EC6CC7"/>
    <w:rsid w:val="00EF6878"/>
    <w:rsid w:val="00F04645"/>
    <w:rsid w:val="00F057F8"/>
    <w:rsid w:val="00F06507"/>
    <w:rsid w:val="00F10DC0"/>
    <w:rsid w:val="00F134C4"/>
    <w:rsid w:val="00F1401A"/>
    <w:rsid w:val="00F24C30"/>
    <w:rsid w:val="00F50056"/>
    <w:rsid w:val="00F5260E"/>
    <w:rsid w:val="00F54FB0"/>
    <w:rsid w:val="00F61E2D"/>
    <w:rsid w:val="00F72953"/>
    <w:rsid w:val="00F80600"/>
    <w:rsid w:val="00F8253B"/>
    <w:rsid w:val="00F8385A"/>
    <w:rsid w:val="00FB0B4A"/>
    <w:rsid w:val="00FC2824"/>
    <w:rsid w:val="00FE0A8E"/>
    <w:rsid w:val="00FE5689"/>
    <w:rsid w:val="00FF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D7AC"/>
  <w15:chartTrackingRefBased/>
  <w15:docId w15:val="{4846A2F3-9FEB-4F32-B4B3-26700191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9D3"/>
    <w:rPr>
      <w:color w:val="808080"/>
    </w:rPr>
  </w:style>
  <w:style w:type="paragraph" w:styleId="ListParagraph">
    <w:name w:val="List Paragraph"/>
    <w:basedOn w:val="Normal"/>
    <w:uiPriority w:val="34"/>
    <w:qFormat/>
    <w:rsid w:val="000B162E"/>
    <w:pPr>
      <w:ind w:left="720"/>
      <w:contextualSpacing/>
    </w:pPr>
  </w:style>
  <w:style w:type="paragraph" w:styleId="Header">
    <w:name w:val="header"/>
    <w:basedOn w:val="Normal"/>
    <w:link w:val="HeaderChar"/>
    <w:uiPriority w:val="99"/>
    <w:unhideWhenUsed/>
    <w:rsid w:val="00584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6AD"/>
  </w:style>
  <w:style w:type="paragraph" w:styleId="Footer">
    <w:name w:val="footer"/>
    <w:basedOn w:val="Normal"/>
    <w:link w:val="FooterChar"/>
    <w:uiPriority w:val="99"/>
    <w:unhideWhenUsed/>
    <w:rsid w:val="00584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6AD"/>
  </w:style>
  <w:style w:type="character" w:styleId="Hyperlink">
    <w:name w:val="Hyperlink"/>
    <w:basedOn w:val="DefaultParagraphFont"/>
    <w:uiPriority w:val="99"/>
    <w:unhideWhenUsed/>
    <w:rsid w:val="00C42451"/>
    <w:rPr>
      <w:color w:val="0563C1" w:themeColor="hyperlink"/>
      <w:u w:val="single"/>
    </w:rPr>
  </w:style>
  <w:style w:type="character" w:styleId="UnresolvedMention">
    <w:name w:val="Unresolved Mention"/>
    <w:basedOn w:val="DefaultParagraphFont"/>
    <w:uiPriority w:val="99"/>
    <w:semiHidden/>
    <w:unhideWhenUsed/>
    <w:rsid w:val="00C42451"/>
    <w:rPr>
      <w:color w:val="605E5C"/>
      <w:shd w:val="clear" w:color="auto" w:fill="E1DFDD"/>
    </w:rPr>
  </w:style>
  <w:style w:type="character" w:styleId="FollowedHyperlink">
    <w:name w:val="FollowedHyperlink"/>
    <w:basedOn w:val="DefaultParagraphFont"/>
    <w:uiPriority w:val="99"/>
    <w:semiHidden/>
    <w:unhideWhenUsed/>
    <w:rsid w:val="00C424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8819">
      <w:bodyDiv w:val="1"/>
      <w:marLeft w:val="0"/>
      <w:marRight w:val="0"/>
      <w:marTop w:val="0"/>
      <w:marBottom w:val="0"/>
      <w:divBdr>
        <w:top w:val="none" w:sz="0" w:space="0" w:color="auto"/>
        <w:left w:val="none" w:sz="0" w:space="0" w:color="auto"/>
        <w:bottom w:val="none" w:sz="0" w:space="0" w:color="auto"/>
        <w:right w:val="none" w:sz="0" w:space="0" w:color="auto"/>
      </w:divBdr>
    </w:div>
    <w:div w:id="297303485">
      <w:bodyDiv w:val="1"/>
      <w:marLeft w:val="0"/>
      <w:marRight w:val="0"/>
      <w:marTop w:val="0"/>
      <w:marBottom w:val="0"/>
      <w:divBdr>
        <w:top w:val="none" w:sz="0" w:space="0" w:color="auto"/>
        <w:left w:val="none" w:sz="0" w:space="0" w:color="auto"/>
        <w:bottom w:val="none" w:sz="0" w:space="0" w:color="auto"/>
        <w:right w:val="none" w:sz="0" w:space="0" w:color="auto"/>
      </w:divBdr>
    </w:div>
    <w:div w:id="443230839">
      <w:bodyDiv w:val="1"/>
      <w:marLeft w:val="0"/>
      <w:marRight w:val="0"/>
      <w:marTop w:val="0"/>
      <w:marBottom w:val="0"/>
      <w:divBdr>
        <w:top w:val="none" w:sz="0" w:space="0" w:color="auto"/>
        <w:left w:val="none" w:sz="0" w:space="0" w:color="auto"/>
        <w:bottom w:val="none" w:sz="0" w:space="0" w:color="auto"/>
        <w:right w:val="none" w:sz="0" w:space="0" w:color="auto"/>
      </w:divBdr>
    </w:div>
    <w:div w:id="620385761">
      <w:bodyDiv w:val="1"/>
      <w:marLeft w:val="0"/>
      <w:marRight w:val="0"/>
      <w:marTop w:val="0"/>
      <w:marBottom w:val="0"/>
      <w:divBdr>
        <w:top w:val="none" w:sz="0" w:space="0" w:color="auto"/>
        <w:left w:val="none" w:sz="0" w:space="0" w:color="auto"/>
        <w:bottom w:val="none" w:sz="0" w:space="0" w:color="auto"/>
        <w:right w:val="none" w:sz="0" w:space="0" w:color="auto"/>
      </w:divBdr>
    </w:div>
    <w:div w:id="860506942">
      <w:bodyDiv w:val="1"/>
      <w:marLeft w:val="0"/>
      <w:marRight w:val="0"/>
      <w:marTop w:val="0"/>
      <w:marBottom w:val="0"/>
      <w:divBdr>
        <w:top w:val="none" w:sz="0" w:space="0" w:color="auto"/>
        <w:left w:val="none" w:sz="0" w:space="0" w:color="auto"/>
        <w:bottom w:val="none" w:sz="0" w:space="0" w:color="auto"/>
        <w:right w:val="none" w:sz="0" w:space="0" w:color="auto"/>
      </w:divBdr>
    </w:div>
    <w:div w:id="1090734755">
      <w:bodyDiv w:val="1"/>
      <w:marLeft w:val="0"/>
      <w:marRight w:val="0"/>
      <w:marTop w:val="0"/>
      <w:marBottom w:val="0"/>
      <w:divBdr>
        <w:top w:val="none" w:sz="0" w:space="0" w:color="auto"/>
        <w:left w:val="none" w:sz="0" w:space="0" w:color="auto"/>
        <w:bottom w:val="none" w:sz="0" w:space="0" w:color="auto"/>
        <w:right w:val="none" w:sz="0" w:space="0" w:color="auto"/>
      </w:divBdr>
      <w:divsChild>
        <w:div w:id="382872841">
          <w:marLeft w:val="0"/>
          <w:marRight w:val="0"/>
          <w:marTop w:val="0"/>
          <w:marBottom w:val="0"/>
          <w:divBdr>
            <w:top w:val="single" w:sz="6" w:space="4" w:color="auto"/>
            <w:left w:val="single" w:sz="6" w:space="4" w:color="auto"/>
            <w:bottom w:val="single" w:sz="6" w:space="4" w:color="auto"/>
            <w:right w:val="single" w:sz="6" w:space="4" w:color="auto"/>
          </w:divBdr>
          <w:divsChild>
            <w:div w:id="1633369707">
              <w:marLeft w:val="0"/>
              <w:marRight w:val="0"/>
              <w:marTop w:val="0"/>
              <w:marBottom w:val="0"/>
              <w:divBdr>
                <w:top w:val="none" w:sz="0" w:space="0" w:color="auto"/>
                <w:left w:val="none" w:sz="0" w:space="0" w:color="auto"/>
                <w:bottom w:val="none" w:sz="0" w:space="0" w:color="auto"/>
                <w:right w:val="none" w:sz="0" w:space="0" w:color="auto"/>
              </w:divBdr>
              <w:divsChild>
                <w:div w:id="1493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3478">
          <w:marLeft w:val="0"/>
          <w:marRight w:val="0"/>
          <w:marTop w:val="0"/>
          <w:marBottom w:val="0"/>
          <w:divBdr>
            <w:top w:val="single" w:sz="6" w:space="4" w:color="auto"/>
            <w:left w:val="single" w:sz="6" w:space="4" w:color="auto"/>
            <w:bottom w:val="single" w:sz="6" w:space="4" w:color="auto"/>
            <w:right w:val="single" w:sz="6" w:space="4" w:color="auto"/>
          </w:divBdr>
          <w:divsChild>
            <w:div w:id="836728335">
              <w:marLeft w:val="0"/>
              <w:marRight w:val="0"/>
              <w:marTop w:val="0"/>
              <w:marBottom w:val="0"/>
              <w:divBdr>
                <w:top w:val="none" w:sz="0" w:space="0" w:color="auto"/>
                <w:left w:val="none" w:sz="0" w:space="0" w:color="auto"/>
                <w:bottom w:val="none" w:sz="0" w:space="0" w:color="auto"/>
                <w:right w:val="none" w:sz="0" w:space="0" w:color="auto"/>
              </w:divBdr>
              <w:divsChild>
                <w:div w:id="357975166">
                  <w:marLeft w:val="0"/>
                  <w:marRight w:val="0"/>
                  <w:marTop w:val="0"/>
                  <w:marBottom w:val="0"/>
                  <w:divBdr>
                    <w:top w:val="none" w:sz="0" w:space="0" w:color="auto"/>
                    <w:left w:val="none" w:sz="0" w:space="0" w:color="auto"/>
                    <w:bottom w:val="none" w:sz="0" w:space="0" w:color="auto"/>
                    <w:right w:val="none" w:sz="0" w:space="0" w:color="auto"/>
                  </w:divBdr>
                  <w:divsChild>
                    <w:div w:id="680546026">
                      <w:marLeft w:val="0"/>
                      <w:marRight w:val="0"/>
                      <w:marTop w:val="0"/>
                      <w:marBottom w:val="0"/>
                      <w:divBdr>
                        <w:top w:val="single" w:sz="6" w:space="0" w:color="CFCFCF"/>
                        <w:left w:val="single" w:sz="6" w:space="0" w:color="CFCFCF"/>
                        <w:bottom w:val="single" w:sz="6" w:space="0" w:color="CFCFCF"/>
                        <w:right w:val="single" w:sz="6" w:space="0" w:color="CFCFCF"/>
                      </w:divBdr>
                      <w:divsChild>
                        <w:div w:id="1339652072">
                          <w:marLeft w:val="0"/>
                          <w:marRight w:val="0"/>
                          <w:marTop w:val="0"/>
                          <w:marBottom w:val="0"/>
                          <w:divBdr>
                            <w:top w:val="none" w:sz="0" w:space="0" w:color="auto"/>
                            <w:left w:val="none" w:sz="0" w:space="0" w:color="auto"/>
                            <w:bottom w:val="none" w:sz="0" w:space="0" w:color="auto"/>
                            <w:right w:val="none" w:sz="0" w:space="0" w:color="auto"/>
                          </w:divBdr>
                          <w:divsChild>
                            <w:div w:id="965084225">
                              <w:marLeft w:val="0"/>
                              <w:marRight w:val="0"/>
                              <w:marTop w:val="0"/>
                              <w:marBottom w:val="0"/>
                              <w:divBdr>
                                <w:top w:val="none" w:sz="0" w:space="0" w:color="auto"/>
                                <w:left w:val="none" w:sz="0" w:space="0" w:color="auto"/>
                                <w:bottom w:val="none" w:sz="0" w:space="0" w:color="auto"/>
                                <w:right w:val="none" w:sz="0" w:space="0" w:color="auto"/>
                              </w:divBdr>
                            </w:div>
                            <w:div w:id="407775707">
                              <w:marLeft w:val="0"/>
                              <w:marRight w:val="-450"/>
                              <w:marTop w:val="0"/>
                              <w:marBottom w:val="0"/>
                              <w:divBdr>
                                <w:top w:val="none" w:sz="0" w:space="0" w:color="auto"/>
                                <w:left w:val="none" w:sz="0" w:space="0" w:color="auto"/>
                                <w:bottom w:val="none" w:sz="0" w:space="0" w:color="auto"/>
                                <w:right w:val="none" w:sz="0" w:space="0" w:color="auto"/>
                              </w:divBdr>
                              <w:divsChild>
                                <w:div w:id="636835636">
                                  <w:marLeft w:val="0"/>
                                  <w:marRight w:val="0"/>
                                  <w:marTop w:val="0"/>
                                  <w:marBottom w:val="0"/>
                                  <w:divBdr>
                                    <w:top w:val="none" w:sz="0" w:space="0" w:color="auto"/>
                                    <w:left w:val="none" w:sz="0" w:space="0" w:color="auto"/>
                                    <w:bottom w:val="none" w:sz="0" w:space="0" w:color="auto"/>
                                    <w:right w:val="none" w:sz="0" w:space="0" w:color="auto"/>
                                  </w:divBdr>
                                  <w:divsChild>
                                    <w:div w:id="848174500">
                                      <w:marLeft w:val="0"/>
                                      <w:marRight w:val="0"/>
                                      <w:marTop w:val="0"/>
                                      <w:marBottom w:val="0"/>
                                      <w:divBdr>
                                        <w:top w:val="none" w:sz="0" w:space="0" w:color="auto"/>
                                        <w:left w:val="none" w:sz="0" w:space="0" w:color="auto"/>
                                        <w:bottom w:val="none" w:sz="0" w:space="0" w:color="auto"/>
                                        <w:right w:val="none" w:sz="0" w:space="0" w:color="auto"/>
                                      </w:divBdr>
                                      <w:divsChild>
                                        <w:div w:id="64183584">
                                          <w:marLeft w:val="0"/>
                                          <w:marRight w:val="0"/>
                                          <w:marTop w:val="0"/>
                                          <w:marBottom w:val="0"/>
                                          <w:divBdr>
                                            <w:top w:val="none" w:sz="0" w:space="0" w:color="auto"/>
                                            <w:left w:val="none" w:sz="0" w:space="0" w:color="auto"/>
                                            <w:bottom w:val="none" w:sz="0" w:space="0" w:color="auto"/>
                                            <w:right w:val="none" w:sz="0" w:space="0" w:color="auto"/>
                                          </w:divBdr>
                                          <w:divsChild>
                                            <w:div w:id="1148739491">
                                              <w:marLeft w:val="0"/>
                                              <w:marRight w:val="0"/>
                                              <w:marTop w:val="0"/>
                                              <w:marBottom w:val="0"/>
                                              <w:divBdr>
                                                <w:top w:val="none" w:sz="0" w:space="0" w:color="auto"/>
                                                <w:left w:val="none" w:sz="0" w:space="0" w:color="auto"/>
                                                <w:bottom w:val="none" w:sz="0" w:space="0" w:color="auto"/>
                                                <w:right w:val="none" w:sz="0" w:space="0" w:color="auto"/>
                                              </w:divBdr>
                                              <w:divsChild>
                                                <w:div w:id="8285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007303">
          <w:marLeft w:val="0"/>
          <w:marRight w:val="0"/>
          <w:marTop w:val="0"/>
          <w:marBottom w:val="0"/>
          <w:divBdr>
            <w:top w:val="single" w:sz="6" w:space="4" w:color="ABABAB"/>
            <w:left w:val="single" w:sz="6" w:space="4" w:color="ABABAB"/>
            <w:bottom w:val="single" w:sz="6" w:space="4" w:color="ABABAB"/>
            <w:right w:val="single" w:sz="6" w:space="4" w:color="ABABAB"/>
          </w:divBdr>
          <w:divsChild>
            <w:div w:id="1340540189">
              <w:marLeft w:val="0"/>
              <w:marRight w:val="0"/>
              <w:marTop w:val="0"/>
              <w:marBottom w:val="0"/>
              <w:divBdr>
                <w:top w:val="none" w:sz="0" w:space="0" w:color="auto"/>
                <w:left w:val="none" w:sz="0" w:space="0" w:color="auto"/>
                <w:bottom w:val="none" w:sz="0" w:space="0" w:color="auto"/>
                <w:right w:val="none" w:sz="0" w:space="0" w:color="auto"/>
              </w:divBdr>
              <w:divsChild>
                <w:div w:id="1044672505">
                  <w:marLeft w:val="0"/>
                  <w:marRight w:val="0"/>
                  <w:marTop w:val="0"/>
                  <w:marBottom w:val="0"/>
                  <w:divBdr>
                    <w:top w:val="none" w:sz="0" w:space="0" w:color="auto"/>
                    <w:left w:val="none" w:sz="0" w:space="0" w:color="auto"/>
                    <w:bottom w:val="none" w:sz="0" w:space="0" w:color="auto"/>
                    <w:right w:val="none" w:sz="0" w:space="0" w:color="auto"/>
                  </w:divBdr>
                  <w:divsChild>
                    <w:div w:id="1117262337">
                      <w:marLeft w:val="0"/>
                      <w:marRight w:val="0"/>
                      <w:marTop w:val="0"/>
                      <w:marBottom w:val="0"/>
                      <w:divBdr>
                        <w:top w:val="single" w:sz="6" w:space="0" w:color="CFCFCF"/>
                        <w:left w:val="single" w:sz="6" w:space="0" w:color="CFCFCF"/>
                        <w:bottom w:val="single" w:sz="6" w:space="0" w:color="CFCFCF"/>
                        <w:right w:val="single" w:sz="6" w:space="0" w:color="CFCFCF"/>
                      </w:divBdr>
                      <w:divsChild>
                        <w:div w:id="787167474">
                          <w:marLeft w:val="0"/>
                          <w:marRight w:val="0"/>
                          <w:marTop w:val="0"/>
                          <w:marBottom w:val="0"/>
                          <w:divBdr>
                            <w:top w:val="none" w:sz="0" w:space="0" w:color="auto"/>
                            <w:left w:val="none" w:sz="0" w:space="0" w:color="auto"/>
                            <w:bottom w:val="none" w:sz="0" w:space="0" w:color="auto"/>
                            <w:right w:val="none" w:sz="0" w:space="0" w:color="auto"/>
                          </w:divBdr>
                          <w:divsChild>
                            <w:div w:id="1113134029">
                              <w:marLeft w:val="0"/>
                              <w:marRight w:val="0"/>
                              <w:marTop w:val="0"/>
                              <w:marBottom w:val="0"/>
                              <w:divBdr>
                                <w:top w:val="none" w:sz="0" w:space="0" w:color="auto"/>
                                <w:left w:val="none" w:sz="0" w:space="0" w:color="auto"/>
                                <w:bottom w:val="none" w:sz="0" w:space="0" w:color="auto"/>
                                <w:right w:val="none" w:sz="0" w:space="0" w:color="auto"/>
                              </w:divBdr>
                            </w:div>
                            <w:div w:id="484780987">
                              <w:marLeft w:val="0"/>
                              <w:marRight w:val="-450"/>
                              <w:marTop w:val="0"/>
                              <w:marBottom w:val="0"/>
                              <w:divBdr>
                                <w:top w:val="none" w:sz="0" w:space="0" w:color="auto"/>
                                <w:left w:val="none" w:sz="0" w:space="0" w:color="auto"/>
                                <w:bottom w:val="none" w:sz="0" w:space="0" w:color="auto"/>
                                <w:right w:val="none" w:sz="0" w:space="0" w:color="auto"/>
                              </w:divBdr>
                              <w:divsChild>
                                <w:div w:id="1173644185">
                                  <w:marLeft w:val="0"/>
                                  <w:marRight w:val="0"/>
                                  <w:marTop w:val="0"/>
                                  <w:marBottom w:val="0"/>
                                  <w:divBdr>
                                    <w:top w:val="none" w:sz="0" w:space="0" w:color="auto"/>
                                    <w:left w:val="none" w:sz="0" w:space="0" w:color="auto"/>
                                    <w:bottom w:val="none" w:sz="0" w:space="0" w:color="auto"/>
                                    <w:right w:val="none" w:sz="0" w:space="0" w:color="auto"/>
                                  </w:divBdr>
                                  <w:divsChild>
                                    <w:div w:id="189294531">
                                      <w:marLeft w:val="0"/>
                                      <w:marRight w:val="0"/>
                                      <w:marTop w:val="0"/>
                                      <w:marBottom w:val="0"/>
                                      <w:divBdr>
                                        <w:top w:val="none" w:sz="0" w:space="0" w:color="auto"/>
                                        <w:left w:val="none" w:sz="0" w:space="0" w:color="auto"/>
                                        <w:bottom w:val="none" w:sz="0" w:space="0" w:color="auto"/>
                                        <w:right w:val="none" w:sz="0" w:space="0" w:color="auto"/>
                                      </w:divBdr>
                                      <w:divsChild>
                                        <w:div w:id="517737723">
                                          <w:marLeft w:val="0"/>
                                          <w:marRight w:val="0"/>
                                          <w:marTop w:val="0"/>
                                          <w:marBottom w:val="0"/>
                                          <w:divBdr>
                                            <w:top w:val="none" w:sz="0" w:space="0" w:color="auto"/>
                                            <w:left w:val="none" w:sz="0" w:space="0" w:color="auto"/>
                                            <w:bottom w:val="none" w:sz="0" w:space="0" w:color="auto"/>
                                            <w:right w:val="none" w:sz="0" w:space="0" w:color="auto"/>
                                          </w:divBdr>
                                          <w:divsChild>
                                            <w:div w:id="1795560223">
                                              <w:marLeft w:val="0"/>
                                              <w:marRight w:val="0"/>
                                              <w:marTop w:val="0"/>
                                              <w:marBottom w:val="0"/>
                                              <w:divBdr>
                                                <w:top w:val="none" w:sz="0" w:space="0" w:color="auto"/>
                                                <w:left w:val="none" w:sz="0" w:space="0" w:color="auto"/>
                                                <w:bottom w:val="none" w:sz="0" w:space="0" w:color="auto"/>
                                                <w:right w:val="none" w:sz="0" w:space="0" w:color="auto"/>
                                              </w:divBdr>
                                              <w:divsChild>
                                                <w:div w:id="10203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9958380">
          <w:marLeft w:val="0"/>
          <w:marRight w:val="0"/>
          <w:marTop w:val="0"/>
          <w:marBottom w:val="0"/>
          <w:divBdr>
            <w:top w:val="single" w:sz="6" w:space="4" w:color="auto"/>
            <w:left w:val="single" w:sz="6" w:space="4" w:color="auto"/>
            <w:bottom w:val="single" w:sz="6" w:space="4" w:color="auto"/>
            <w:right w:val="single" w:sz="6" w:space="4" w:color="auto"/>
          </w:divBdr>
          <w:divsChild>
            <w:div w:id="1283682643">
              <w:marLeft w:val="0"/>
              <w:marRight w:val="0"/>
              <w:marTop w:val="0"/>
              <w:marBottom w:val="0"/>
              <w:divBdr>
                <w:top w:val="none" w:sz="0" w:space="0" w:color="auto"/>
                <w:left w:val="none" w:sz="0" w:space="0" w:color="auto"/>
                <w:bottom w:val="none" w:sz="0" w:space="0" w:color="auto"/>
                <w:right w:val="none" w:sz="0" w:space="0" w:color="auto"/>
              </w:divBdr>
              <w:divsChild>
                <w:div w:id="46420099">
                  <w:marLeft w:val="0"/>
                  <w:marRight w:val="0"/>
                  <w:marTop w:val="0"/>
                  <w:marBottom w:val="0"/>
                  <w:divBdr>
                    <w:top w:val="none" w:sz="0" w:space="0" w:color="auto"/>
                    <w:left w:val="none" w:sz="0" w:space="0" w:color="auto"/>
                    <w:bottom w:val="none" w:sz="0" w:space="0" w:color="auto"/>
                    <w:right w:val="none" w:sz="0" w:space="0" w:color="auto"/>
                  </w:divBdr>
                  <w:divsChild>
                    <w:div w:id="1405762574">
                      <w:marLeft w:val="0"/>
                      <w:marRight w:val="0"/>
                      <w:marTop w:val="0"/>
                      <w:marBottom w:val="0"/>
                      <w:divBdr>
                        <w:top w:val="single" w:sz="6" w:space="0" w:color="CFCFCF"/>
                        <w:left w:val="single" w:sz="6" w:space="0" w:color="CFCFCF"/>
                        <w:bottom w:val="single" w:sz="6" w:space="0" w:color="CFCFCF"/>
                        <w:right w:val="single" w:sz="6" w:space="0" w:color="CFCFCF"/>
                      </w:divBdr>
                      <w:divsChild>
                        <w:div w:id="1410229017">
                          <w:marLeft w:val="0"/>
                          <w:marRight w:val="0"/>
                          <w:marTop w:val="0"/>
                          <w:marBottom w:val="0"/>
                          <w:divBdr>
                            <w:top w:val="none" w:sz="0" w:space="0" w:color="auto"/>
                            <w:left w:val="none" w:sz="0" w:space="0" w:color="auto"/>
                            <w:bottom w:val="none" w:sz="0" w:space="0" w:color="auto"/>
                            <w:right w:val="none" w:sz="0" w:space="0" w:color="auto"/>
                          </w:divBdr>
                          <w:divsChild>
                            <w:div w:id="52895751">
                              <w:marLeft w:val="0"/>
                              <w:marRight w:val="0"/>
                              <w:marTop w:val="0"/>
                              <w:marBottom w:val="0"/>
                              <w:divBdr>
                                <w:top w:val="none" w:sz="0" w:space="0" w:color="auto"/>
                                <w:left w:val="none" w:sz="0" w:space="0" w:color="auto"/>
                                <w:bottom w:val="none" w:sz="0" w:space="0" w:color="auto"/>
                                <w:right w:val="none" w:sz="0" w:space="0" w:color="auto"/>
                              </w:divBdr>
                            </w:div>
                            <w:div w:id="449325965">
                              <w:marLeft w:val="0"/>
                              <w:marRight w:val="-450"/>
                              <w:marTop w:val="0"/>
                              <w:marBottom w:val="0"/>
                              <w:divBdr>
                                <w:top w:val="none" w:sz="0" w:space="0" w:color="auto"/>
                                <w:left w:val="none" w:sz="0" w:space="0" w:color="auto"/>
                                <w:bottom w:val="none" w:sz="0" w:space="0" w:color="auto"/>
                                <w:right w:val="none" w:sz="0" w:space="0" w:color="auto"/>
                              </w:divBdr>
                              <w:divsChild>
                                <w:div w:id="1798983236">
                                  <w:marLeft w:val="0"/>
                                  <w:marRight w:val="0"/>
                                  <w:marTop w:val="0"/>
                                  <w:marBottom w:val="0"/>
                                  <w:divBdr>
                                    <w:top w:val="none" w:sz="0" w:space="0" w:color="auto"/>
                                    <w:left w:val="none" w:sz="0" w:space="0" w:color="auto"/>
                                    <w:bottom w:val="none" w:sz="0" w:space="0" w:color="auto"/>
                                    <w:right w:val="none" w:sz="0" w:space="0" w:color="auto"/>
                                  </w:divBdr>
                                  <w:divsChild>
                                    <w:div w:id="1541014100">
                                      <w:marLeft w:val="0"/>
                                      <w:marRight w:val="0"/>
                                      <w:marTop w:val="0"/>
                                      <w:marBottom w:val="0"/>
                                      <w:divBdr>
                                        <w:top w:val="none" w:sz="0" w:space="0" w:color="auto"/>
                                        <w:left w:val="none" w:sz="0" w:space="0" w:color="auto"/>
                                        <w:bottom w:val="none" w:sz="0" w:space="0" w:color="auto"/>
                                        <w:right w:val="none" w:sz="0" w:space="0" w:color="auto"/>
                                      </w:divBdr>
                                      <w:divsChild>
                                        <w:div w:id="1693803412">
                                          <w:marLeft w:val="0"/>
                                          <w:marRight w:val="0"/>
                                          <w:marTop w:val="0"/>
                                          <w:marBottom w:val="0"/>
                                          <w:divBdr>
                                            <w:top w:val="none" w:sz="0" w:space="0" w:color="auto"/>
                                            <w:left w:val="none" w:sz="0" w:space="0" w:color="auto"/>
                                            <w:bottom w:val="none" w:sz="0" w:space="0" w:color="auto"/>
                                            <w:right w:val="none" w:sz="0" w:space="0" w:color="auto"/>
                                          </w:divBdr>
                                          <w:divsChild>
                                            <w:div w:id="1885830212">
                                              <w:marLeft w:val="0"/>
                                              <w:marRight w:val="0"/>
                                              <w:marTop w:val="0"/>
                                              <w:marBottom w:val="0"/>
                                              <w:divBdr>
                                                <w:top w:val="none" w:sz="0" w:space="0" w:color="auto"/>
                                                <w:left w:val="none" w:sz="0" w:space="0" w:color="auto"/>
                                                <w:bottom w:val="none" w:sz="0" w:space="0" w:color="auto"/>
                                                <w:right w:val="none" w:sz="0" w:space="0" w:color="auto"/>
                                              </w:divBdr>
                                              <w:divsChild>
                                                <w:div w:id="7567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2119194">
      <w:bodyDiv w:val="1"/>
      <w:marLeft w:val="0"/>
      <w:marRight w:val="0"/>
      <w:marTop w:val="0"/>
      <w:marBottom w:val="0"/>
      <w:divBdr>
        <w:top w:val="none" w:sz="0" w:space="0" w:color="auto"/>
        <w:left w:val="none" w:sz="0" w:space="0" w:color="auto"/>
        <w:bottom w:val="none" w:sz="0" w:space="0" w:color="auto"/>
        <w:right w:val="none" w:sz="0" w:space="0" w:color="auto"/>
      </w:divBdr>
    </w:div>
    <w:div w:id="1382362729">
      <w:bodyDiv w:val="1"/>
      <w:marLeft w:val="0"/>
      <w:marRight w:val="0"/>
      <w:marTop w:val="0"/>
      <w:marBottom w:val="0"/>
      <w:divBdr>
        <w:top w:val="none" w:sz="0" w:space="0" w:color="auto"/>
        <w:left w:val="none" w:sz="0" w:space="0" w:color="auto"/>
        <w:bottom w:val="none" w:sz="0" w:space="0" w:color="auto"/>
        <w:right w:val="none" w:sz="0" w:space="0" w:color="auto"/>
      </w:divBdr>
    </w:div>
    <w:div w:id="206046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blic.tableau.com/app/profile/michael2144/viz/WatershedDashboard2/Dashboard2?publish=y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11</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McGee</dc:creator>
  <cp:keywords/>
  <dc:description/>
  <cp:lastModifiedBy>Michael McGee</cp:lastModifiedBy>
  <cp:revision>301</cp:revision>
  <cp:lastPrinted>2023-06-16T11:24:00Z</cp:lastPrinted>
  <dcterms:created xsi:type="dcterms:W3CDTF">2023-06-14T19:07:00Z</dcterms:created>
  <dcterms:modified xsi:type="dcterms:W3CDTF">2023-06-20T11:06:00Z</dcterms:modified>
</cp:coreProperties>
</file>