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3)</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4501_386185362">
            <w:r>
              <w:rPr>
                <w:rStyle w:val="IndexLink"/>
              </w:rPr>
              <w:t>Executive Summary</w:t>
              <w:tab/>
              <w:t>7</w:t>
            </w:r>
          </w:hyperlink>
        </w:p>
        <w:p>
          <w:pPr>
            <w:pStyle w:val="TOC1"/>
            <w:tabs>
              <w:tab w:val="clear" w:pos="9026"/>
              <w:tab w:val="right" w:pos="9025" w:leader="dot"/>
            </w:tabs>
            <w:rPr/>
          </w:pPr>
          <w:hyperlink w:anchor="__RefHeading___Toc4503_386185362">
            <w:r>
              <w:rPr>
                <w:rStyle w:val="IndexLink"/>
              </w:rPr>
              <w:t>1. Introduction and Methodology</w:t>
              <w:tab/>
              <w:t>10</w:t>
            </w:r>
          </w:hyperlink>
        </w:p>
        <w:p>
          <w:pPr>
            <w:pStyle w:val="TOC2"/>
            <w:tabs>
              <w:tab w:val="clear" w:pos="8743"/>
              <w:tab w:val="right" w:pos="9025" w:leader="dot"/>
            </w:tabs>
            <w:rPr/>
          </w:pPr>
          <w:hyperlink w:anchor="__RefHeading___Toc4505_386185362">
            <w:r>
              <w:rPr>
                <w:rStyle w:val="IndexLink"/>
              </w:rPr>
              <w:t>1.1 Purpose and Scope</w:t>
              <w:tab/>
              <w:t>10</w:t>
            </w:r>
          </w:hyperlink>
        </w:p>
        <w:p>
          <w:pPr>
            <w:pStyle w:val="TOC2"/>
            <w:tabs>
              <w:tab w:val="clear" w:pos="8743"/>
              <w:tab w:val="right" w:pos="9025" w:leader="dot"/>
            </w:tabs>
            <w:rPr/>
          </w:pPr>
          <w:hyperlink w:anchor="__RefHeading___Toc4507_386185362">
            <w:r>
              <w:rPr>
                <w:rStyle w:val="IndexLink"/>
              </w:rPr>
              <w:t>1.2 Evidence Base</w:t>
              <w:tab/>
              <w:t>10</w:t>
            </w:r>
          </w:hyperlink>
        </w:p>
        <w:p>
          <w:pPr>
            <w:pStyle w:val="TOC2"/>
            <w:tabs>
              <w:tab w:val="clear" w:pos="8743"/>
              <w:tab w:val="right" w:pos="9025" w:leader="dot"/>
            </w:tabs>
            <w:rPr/>
          </w:pPr>
          <w:hyperlink w:anchor="__RefHeading___Toc4509_386185362">
            <w:r>
              <w:rPr>
                <w:rStyle w:val="IndexLink"/>
              </w:rPr>
              <w:t>1.3 Readiness Framework</w:t>
              <w:tab/>
              <w:t>11</w:t>
            </w:r>
          </w:hyperlink>
        </w:p>
        <w:p>
          <w:pPr>
            <w:pStyle w:val="TOC2"/>
            <w:tabs>
              <w:tab w:val="clear" w:pos="8743"/>
              <w:tab w:val="right" w:pos="9025" w:leader="dot"/>
            </w:tabs>
            <w:rPr/>
          </w:pPr>
          <w:hyperlink w:anchor="__RefHeading___Toc4511_386185362">
            <w:r>
              <w:rPr>
                <w:rStyle w:val="IndexLink"/>
              </w:rPr>
              <w:t>1.4 Limitations</w:t>
              <w:tab/>
              <w:t>12</w:t>
            </w:r>
          </w:hyperlink>
        </w:p>
        <w:p>
          <w:pPr>
            <w:pStyle w:val="TOC1"/>
            <w:tabs>
              <w:tab w:val="clear" w:pos="9026"/>
              <w:tab w:val="right" w:pos="9025" w:leader="dot"/>
            </w:tabs>
            <w:rPr/>
          </w:pPr>
          <w:hyperlink w:anchor="__RefHeading___Toc4513_386185362">
            <w:r>
              <w:rPr>
                <w:rStyle w:val="IndexLink"/>
              </w:rPr>
              <w:t>2. Priority Value Chains and Value Chain Nodes</w:t>
              <w:tab/>
              <w:t>13</w:t>
            </w:r>
          </w:hyperlink>
        </w:p>
        <w:p>
          <w:pPr>
            <w:pStyle w:val="TOC2"/>
            <w:tabs>
              <w:tab w:val="clear" w:pos="8743"/>
              <w:tab w:val="right" w:pos="9025" w:leader="dot"/>
            </w:tabs>
            <w:rPr/>
          </w:pPr>
          <w:hyperlink w:anchor="__RefHeading___Toc4515_386185362">
            <w:r>
              <w:rPr>
                <w:rStyle w:val="IndexLink"/>
              </w:rPr>
              <w:t>2.1 The Eight Value Chains</w:t>
              <w:tab/>
              <w:t>13</w:t>
            </w:r>
          </w:hyperlink>
        </w:p>
        <w:p>
          <w:pPr>
            <w:pStyle w:val="TOC2"/>
            <w:tabs>
              <w:tab w:val="clear" w:pos="8743"/>
              <w:tab w:val="right" w:pos="9025" w:leader="dot"/>
            </w:tabs>
            <w:rPr/>
          </w:pPr>
          <w:hyperlink w:anchor="__RefHeading___Toc4517_386185362">
            <w:r>
              <w:rPr>
                <w:rStyle w:val="IndexLink"/>
              </w:rPr>
              <w:t>2.2 Value Chain Nodes</w:t>
              <w:tab/>
              <w:t>14</w:t>
            </w:r>
          </w:hyperlink>
        </w:p>
        <w:p>
          <w:pPr>
            <w:pStyle w:val="TOC1"/>
            <w:tabs>
              <w:tab w:val="clear" w:pos="9026"/>
              <w:tab w:val="right" w:pos="9025" w:leader="dot"/>
            </w:tabs>
            <w:rPr/>
          </w:pPr>
          <w:hyperlink w:anchor="__RefHeading___Toc4519_386185362">
            <w:r>
              <w:rPr>
                <w:rStyle w:val="IndexLink"/>
              </w:rPr>
              <w:t>3. MSME Business Models</w:t>
              <w:tab/>
              <w:t>16</w:t>
            </w:r>
          </w:hyperlink>
        </w:p>
        <w:p>
          <w:pPr>
            <w:pStyle w:val="TOC2"/>
            <w:tabs>
              <w:tab w:val="clear" w:pos="8743"/>
              <w:tab w:val="right" w:pos="9025" w:leader="dot"/>
            </w:tabs>
            <w:rPr/>
          </w:pPr>
          <w:hyperlink w:anchor="__RefHeading___Toc4521_386185362">
            <w:r>
              <w:rPr>
                <w:rStyle w:val="IndexLink"/>
              </w:rPr>
              <w:t>3.1 Common Features</w:t>
              <w:tab/>
              <w:t>16</w:t>
            </w:r>
          </w:hyperlink>
        </w:p>
        <w:p>
          <w:pPr>
            <w:pStyle w:val="TOC2"/>
            <w:tabs>
              <w:tab w:val="clear" w:pos="8743"/>
              <w:tab w:val="right" w:pos="9025" w:leader="dot"/>
            </w:tabs>
            <w:rPr/>
          </w:pPr>
          <w:hyperlink w:anchor="__RefHeading___Toc4523_386185362">
            <w:r>
              <w:rPr>
                <w:rStyle w:val="IndexLink"/>
              </w:rPr>
              <w:t>3.2 Business Models by Value Chain</w:t>
              <w:tab/>
              <w:t>16</w:t>
            </w:r>
          </w:hyperlink>
        </w:p>
        <w:p>
          <w:pPr>
            <w:pStyle w:val="TOC1"/>
            <w:tabs>
              <w:tab w:val="clear" w:pos="9026"/>
              <w:tab w:val="right" w:pos="9025" w:leader="dot"/>
            </w:tabs>
            <w:rPr/>
          </w:pPr>
          <w:hyperlink w:anchor="__RefHeading___Toc4525_386185362">
            <w:r>
              <w:rPr>
                <w:rStyle w:val="IndexLink"/>
              </w:rPr>
              <w:t>4. Financial Practices, Record-Keeping and Informality</w:t>
              <w:tab/>
              <w:t>18</w:t>
            </w:r>
          </w:hyperlink>
        </w:p>
        <w:p>
          <w:pPr>
            <w:pStyle w:val="TOC2"/>
            <w:tabs>
              <w:tab w:val="clear" w:pos="8743"/>
              <w:tab w:val="right" w:pos="9025" w:leader="dot"/>
            </w:tabs>
            <w:rPr/>
          </w:pPr>
          <w:hyperlink w:anchor="__RefHeading___Toc4527_386185362">
            <w:r>
              <w:rPr>
                <w:rStyle w:val="IndexLink"/>
              </w:rPr>
              <w:t>4.1 Financial Practices</w:t>
              <w:tab/>
              <w:t>18</w:t>
            </w:r>
          </w:hyperlink>
        </w:p>
        <w:p>
          <w:pPr>
            <w:pStyle w:val="TOC2"/>
            <w:tabs>
              <w:tab w:val="clear" w:pos="8743"/>
              <w:tab w:val="right" w:pos="9025" w:leader="dot"/>
            </w:tabs>
            <w:rPr/>
          </w:pPr>
          <w:hyperlink w:anchor="__RefHeading___Toc4529_386185362">
            <w:r>
              <w:rPr>
                <w:rStyle w:val="IndexLink"/>
              </w:rPr>
              <w:t>4.2 Record-Keeping</w:t>
              <w:tab/>
              <w:t>18</w:t>
            </w:r>
          </w:hyperlink>
        </w:p>
        <w:p>
          <w:pPr>
            <w:pStyle w:val="TOC2"/>
            <w:tabs>
              <w:tab w:val="clear" w:pos="8743"/>
              <w:tab w:val="right" w:pos="9025" w:leader="dot"/>
            </w:tabs>
            <w:rPr/>
          </w:pPr>
          <w:hyperlink w:anchor="__RefHeading___Toc4531_386185362">
            <w:r>
              <w:rPr>
                <w:rStyle w:val="IndexLink"/>
              </w:rPr>
              <w:t>4.3 Informality and its Cost</w:t>
              <w:tab/>
              <w:t>18</w:t>
            </w:r>
          </w:hyperlink>
        </w:p>
        <w:p>
          <w:pPr>
            <w:pStyle w:val="TOC2"/>
            <w:tabs>
              <w:tab w:val="clear" w:pos="8743"/>
              <w:tab w:val="right" w:pos="9025" w:leader="dot"/>
            </w:tabs>
            <w:rPr/>
          </w:pPr>
          <w:hyperlink w:anchor="__RefHeading___Toc4533_386185362">
            <w:r>
              <w:rPr>
                <w:rStyle w:val="IndexLink"/>
              </w:rPr>
              <w:t>4.4 Readiness by Value Chain</w:t>
              <w:tab/>
              <w:t>19</w:t>
            </w:r>
          </w:hyperlink>
        </w:p>
        <w:p>
          <w:pPr>
            <w:pStyle w:val="TOC1"/>
            <w:tabs>
              <w:tab w:val="clear" w:pos="9026"/>
              <w:tab w:val="right" w:pos="9025" w:leader="dot"/>
            </w:tabs>
            <w:rPr/>
          </w:pPr>
          <w:hyperlink w:anchor="__RefHeading___Toc4535_386185362">
            <w:r>
              <w:rPr>
                <w:rStyle w:val="IndexLink"/>
              </w:rPr>
              <w:t>5. Variation by Gender, Age and Value Chain Node</w:t>
              <w:tab/>
              <w:t>20</w:t>
            </w:r>
          </w:hyperlink>
        </w:p>
        <w:p>
          <w:pPr>
            <w:pStyle w:val="TOC2"/>
            <w:tabs>
              <w:tab w:val="clear" w:pos="8743"/>
              <w:tab w:val="right" w:pos="9025" w:leader="dot"/>
            </w:tabs>
            <w:rPr/>
          </w:pPr>
          <w:hyperlink w:anchor="__RefHeading___Toc4537_386185362">
            <w:r>
              <w:rPr>
                <w:rStyle w:val="IndexLink"/>
              </w:rPr>
              <w:t>5.1 What the Evidence Can and Cannot Say</w:t>
              <w:tab/>
              <w:t>20</w:t>
            </w:r>
          </w:hyperlink>
        </w:p>
        <w:p>
          <w:pPr>
            <w:pStyle w:val="TOC2"/>
            <w:tabs>
              <w:tab w:val="clear" w:pos="8743"/>
              <w:tab w:val="right" w:pos="9025" w:leader="dot"/>
            </w:tabs>
            <w:rPr/>
          </w:pPr>
          <w:hyperlink w:anchor="__RefHeading___Toc4539_386185362">
            <w:r>
              <w:rPr>
                <w:rStyle w:val="IndexLink"/>
              </w:rPr>
              <w:t>5.2 Gender</w:t>
              <w:tab/>
              <w:t>20</w:t>
            </w:r>
          </w:hyperlink>
        </w:p>
        <w:p>
          <w:pPr>
            <w:pStyle w:val="TOC2"/>
            <w:tabs>
              <w:tab w:val="clear" w:pos="8743"/>
              <w:tab w:val="right" w:pos="9025" w:leader="dot"/>
            </w:tabs>
            <w:rPr/>
          </w:pPr>
          <w:hyperlink w:anchor="__RefHeading___Toc4541_386185362">
            <w:r>
              <w:rPr>
                <w:rStyle w:val="IndexLink"/>
              </w:rPr>
              <w:t>5.3 Age</w:t>
              <w:tab/>
              <w:t>21</w:t>
            </w:r>
          </w:hyperlink>
        </w:p>
        <w:p>
          <w:pPr>
            <w:pStyle w:val="TOC2"/>
            <w:tabs>
              <w:tab w:val="clear" w:pos="8743"/>
              <w:tab w:val="right" w:pos="9025" w:leader="dot"/>
            </w:tabs>
            <w:rPr/>
          </w:pPr>
          <w:hyperlink w:anchor="__RefHeading___Toc4543_386185362">
            <w:r>
              <w:rPr>
                <w:rStyle w:val="IndexLink"/>
              </w:rPr>
              <w:t>5.4 Value Chain Node</w:t>
              <w:tab/>
              <w:t>21</w:t>
            </w:r>
          </w:hyperlink>
        </w:p>
        <w:p>
          <w:pPr>
            <w:pStyle w:val="TOC1"/>
            <w:tabs>
              <w:tab w:val="clear" w:pos="9026"/>
              <w:tab w:val="right" w:pos="9025" w:leader="dot"/>
            </w:tabs>
            <w:rPr/>
          </w:pPr>
          <w:hyperlink w:anchor="__RefHeading___Toc4545_386185362">
            <w:r>
              <w:rPr>
                <w:rStyle w:val="IndexLink"/>
              </w:rPr>
              <w:t>6. Capacity-Building Needs</w:t>
              <w:tab/>
              <w:t>22</w:t>
            </w:r>
          </w:hyperlink>
        </w:p>
        <w:p>
          <w:pPr>
            <w:pStyle w:val="TOC2"/>
            <w:tabs>
              <w:tab w:val="clear" w:pos="8743"/>
              <w:tab w:val="right" w:pos="9025" w:leader="dot"/>
            </w:tabs>
            <w:rPr/>
          </w:pPr>
          <w:hyperlink w:anchor="__RefHeading___Toc4547_386185362">
            <w:r>
              <w:rPr>
                <w:rStyle w:val="IndexLink"/>
              </w:rPr>
              <w:t>6.1 MSMEs</w:t>
              <w:tab/>
              <w:t>22</w:t>
            </w:r>
          </w:hyperlink>
        </w:p>
        <w:p>
          <w:pPr>
            <w:pStyle w:val="TOC2"/>
            <w:tabs>
              <w:tab w:val="clear" w:pos="8743"/>
              <w:tab w:val="right" w:pos="9025" w:leader="dot"/>
            </w:tabs>
            <w:rPr/>
          </w:pPr>
          <w:hyperlink w:anchor="__RefHeading___Toc4549_386185362">
            <w:r>
              <w:rPr>
                <w:rStyle w:val="IndexLink"/>
              </w:rPr>
              <w:t>6.2 Business Support Organisations</w:t>
              <w:tab/>
              <w:t>25</w:t>
            </w:r>
          </w:hyperlink>
        </w:p>
        <w:p>
          <w:pPr>
            <w:pStyle w:val="TOC2"/>
            <w:tabs>
              <w:tab w:val="clear" w:pos="8743"/>
              <w:tab w:val="right" w:pos="9025" w:leader="dot"/>
            </w:tabs>
            <w:rPr/>
          </w:pPr>
          <w:hyperlink w:anchor="__RefHeading___Toc4551_386185362">
            <w:r>
              <w:rPr>
                <w:rStyle w:val="IndexLink"/>
              </w:rPr>
              <w:t>6.3 Financial Institutions</w:t>
              <w:tab/>
              <w:t>29</w:t>
            </w:r>
          </w:hyperlink>
        </w:p>
        <w:p>
          <w:pPr>
            <w:pStyle w:val="TOC2"/>
            <w:tabs>
              <w:tab w:val="clear" w:pos="8743"/>
              <w:tab w:val="right" w:pos="9025" w:leader="dot"/>
            </w:tabs>
            <w:rPr/>
          </w:pPr>
          <w:hyperlink w:anchor="__RefHeading___Toc4553_386185362">
            <w:r>
              <w:rPr>
                <w:rStyle w:val="IndexLink"/>
              </w:rPr>
              <w:t>6.4 Tourism MSME Needs, Interventions and Support BSOs by Country</w:t>
              <w:tab/>
              <w:t>30</w:t>
            </w:r>
          </w:hyperlink>
        </w:p>
        <w:p>
          <w:pPr>
            <w:pStyle w:val="TOC1"/>
            <w:tabs>
              <w:tab w:val="clear" w:pos="9026"/>
              <w:tab w:val="right" w:pos="9025" w:leader="dot"/>
            </w:tabs>
            <w:rPr/>
          </w:pPr>
          <w:hyperlink w:anchor="__RefHeading___Toc4555_386185362">
            <w:r>
              <w:rPr>
                <w:rStyle w:val="IndexLink"/>
              </w:rPr>
              <w:t>7. Enabling Environment</w:t>
              <w:tab/>
              <w:t>39</w:t>
            </w:r>
          </w:hyperlink>
        </w:p>
        <w:p>
          <w:pPr>
            <w:pStyle w:val="TOC2"/>
            <w:tabs>
              <w:tab w:val="clear" w:pos="8743"/>
              <w:tab w:val="right" w:pos="9025" w:leader="dot"/>
            </w:tabs>
            <w:rPr/>
          </w:pPr>
          <w:hyperlink w:anchor="__RefHeading___Toc4557_386185362">
            <w:r>
              <w:rPr>
                <w:rStyle w:val="IndexLink"/>
              </w:rPr>
              <w:t>7.1 National and Regional Regulatory Frameworks</w:t>
              <w:tab/>
              <w:t>39</w:t>
            </w:r>
          </w:hyperlink>
        </w:p>
        <w:p>
          <w:pPr>
            <w:pStyle w:val="TOC2"/>
            <w:tabs>
              <w:tab w:val="clear" w:pos="8743"/>
              <w:tab w:val="right" w:pos="9025" w:leader="dot"/>
            </w:tabs>
            <w:rPr/>
          </w:pPr>
          <w:hyperlink w:anchor="__RefHeading___Toc4559_386185362">
            <w:r>
              <w:rPr>
                <w:rStyle w:val="IndexLink"/>
              </w:rPr>
              <w:t>7.2 Market Access and Linkages with Larger Operators</w:t>
              <w:tab/>
              <w:t>43</w:t>
            </w:r>
          </w:hyperlink>
        </w:p>
        <w:p>
          <w:pPr>
            <w:pStyle w:val="TOC2"/>
            <w:tabs>
              <w:tab w:val="clear" w:pos="8743"/>
              <w:tab w:val="right" w:pos="9025" w:leader="dot"/>
            </w:tabs>
            <w:rPr/>
          </w:pPr>
          <w:hyperlink w:anchor="__RefHeading___Toc4561_386185362">
            <w:r>
              <w:rPr>
                <w:rStyle w:val="IndexLink"/>
              </w:rPr>
              <w:t>7.3 Business Development Services</w:t>
              <w:tab/>
              <w:t>45</w:t>
            </w:r>
          </w:hyperlink>
        </w:p>
        <w:p>
          <w:pPr>
            <w:pStyle w:val="TOC2"/>
            <w:tabs>
              <w:tab w:val="clear" w:pos="8743"/>
              <w:tab w:val="right" w:pos="9025" w:leader="dot"/>
            </w:tabs>
            <w:rPr/>
          </w:pPr>
          <w:hyperlink w:anchor="__RefHeading___Toc4563_386185362">
            <w:r>
              <w:rPr>
                <w:rStyle w:val="IndexLink"/>
              </w:rPr>
              <w:t>7.4 Policy Conditions</w:t>
              <w:tab/>
              <w:t>47</w:t>
            </w:r>
          </w:hyperlink>
        </w:p>
        <w:p>
          <w:pPr>
            <w:pStyle w:val="TOC1"/>
            <w:tabs>
              <w:tab w:val="clear" w:pos="9026"/>
              <w:tab w:val="right" w:pos="9025" w:leader="dot"/>
            </w:tabs>
            <w:rPr/>
          </w:pPr>
          <w:hyperlink w:anchor="__RefHeading___Toc4565_386185362">
            <w:r>
              <w:rPr>
                <w:rStyle w:val="IndexLink"/>
              </w:rPr>
              <w:t>8. Readiness for Financial Products</w:t>
              <w:tab/>
              <w:t>49</w:t>
            </w:r>
          </w:hyperlink>
        </w:p>
        <w:p>
          <w:pPr>
            <w:pStyle w:val="TOC2"/>
            <w:tabs>
              <w:tab w:val="clear" w:pos="8743"/>
              <w:tab w:val="right" w:pos="9025" w:leader="dot"/>
            </w:tabs>
            <w:rPr/>
          </w:pPr>
          <w:hyperlink w:anchor="__RefHeading___Toc4567_386185362">
            <w:r>
              <w:rPr>
                <w:rStyle w:val="IndexLink"/>
              </w:rPr>
              <w:t>8.1 The Effect of Seasonality on Debt</w:t>
              <w:tab/>
              <w:t>49</w:t>
            </w:r>
          </w:hyperlink>
        </w:p>
        <w:p>
          <w:pPr>
            <w:pStyle w:val="TOC2"/>
            <w:tabs>
              <w:tab w:val="clear" w:pos="8743"/>
              <w:tab w:val="right" w:pos="9025" w:leader="dot"/>
            </w:tabs>
            <w:rPr/>
          </w:pPr>
          <w:hyperlink w:anchor="__RefHeading___Toc4569_386185362">
            <w:r>
              <w:rPr>
                <w:rStyle w:val="IndexLink"/>
              </w:rPr>
              <w:t>8.2 MSME Readiness by Product</w:t>
              <w:tab/>
              <w:t>49</w:t>
            </w:r>
          </w:hyperlink>
        </w:p>
        <w:p>
          <w:pPr>
            <w:pStyle w:val="TOC2"/>
            <w:tabs>
              <w:tab w:val="clear" w:pos="8743"/>
              <w:tab w:val="right" w:pos="9025" w:leader="dot"/>
            </w:tabs>
            <w:rPr/>
          </w:pPr>
          <w:hyperlink w:anchor="__RefHeading___Toc4571_386185362">
            <w:r>
              <w:rPr>
                <w:rStyle w:val="IndexLink"/>
              </w:rPr>
              <w:t>8.3 Financial Institution Readiness by Product</w:t>
              <w:tab/>
              <w:t>50</w:t>
            </w:r>
          </w:hyperlink>
        </w:p>
        <w:p>
          <w:pPr>
            <w:pStyle w:val="TOC1"/>
            <w:tabs>
              <w:tab w:val="clear" w:pos="9026"/>
              <w:tab w:val="right" w:pos="9025" w:leader="dot"/>
            </w:tabs>
            <w:rPr/>
          </w:pPr>
          <w:hyperlink w:anchor="__RefHeading___Toc4573_386185362">
            <w:r>
              <w:rPr>
                <w:rStyle w:val="IndexLink"/>
              </w:rPr>
              <w:t>9. Scalable Women- and Youth-Led Models</w:t>
              <w:tab/>
              <w:t>52</w:t>
            </w:r>
          </w:hyperlink>
        </w:p>
        <w:p>
          <w:pPr>
            <w:pStyle w:val="TOC1"/>
            <w:tabs>
              <w:tab w:val="clear" w:pos="9026"/>
              <w:tab w:val="right" w:pos="9025" w:leader="dot"/>
            </w:tabs>
            <w:rPr/>
          </w:pPr>
          <w:hyperlink w:anchor="__RefHeading___Toc4575_386185362">
            <w:r>
              <w:rPr>
                <w:rStyle w:val="IndexLink"/>
              </w:rPr>
              <w:t>10. Recommended Capacity-Building Interventions</w:t>
              <w:tab/>
              <w:t>54</w:t>
            </w:r>
          </w:hyperlink>
        </w:p>
        <w:p>
          <w:pPr>
            <w:pStyle w:val="TOC2"/>
            <w:tabs>
              <w:tab w:val="clear" w:pos="8743"/>
              <w:tab w:val="right" w:pos="9025" w:leader="dot"/>
            </w:tabs>
            <w:rPr/>
          </w:pPr>
          <w:hyperlink w:anchor="__RefHeading___Toc4577_386185362">
            <w:r>
              <w:rPr>
                <w:rStyle w:val="IndexLink"/>
              </w:rPr>
              <w:t>10.1 A Tiered Readiness Pathway</w:t>
              <w:tab/>
              <w:t>54</w:t>
            </w:r>
          </w:hyperlink>
        </w:p>
        <w:p>
          <w:pPr>
            <w:pStyle w:val="TOC2"/>
            <w:tabs>
              <w:tab w:val="clear" w:pos="8743"/>
              <w:tab w:val="right" w:pos="9025" w:leader="dot"/>
            </w:tabs>
            <w:rPr/>
          </w:pPr>
          <w:hyperlink w:anchor="__RefHeading___Toc4579_386185362">
            <w:r>
              <w:rPr>
                <w:rStyle w:val="IndexLink"/>
              </w:rPr>
              <w:t>10.2 Gender-Transformative Approaches</w:t>
              <w:tab/>
              <w:t>54</w:t>
            </w:r>
          </w:hyperlink>
        </w:p>
        <w:p>
          <w:pPr>
            <w:pStyle w:val="TOC2"/>
            <w:tabs>
              <w:tab w:val="clear" w:pos="8743"/>
              <w:tab w:val="right" w:pos="9025" w:leader="dot"/>
            </w:tabs>
            <w:rPr/>
          </w:pPr>
          <w:hyperlink w:anchor="__RefHeading___Toc4581_386185362">
            <w:r>
              <w:rPr>
                <w:rStyle w:val="IndexLink"/>
              </w:rPr>
              <w:t>10.3 Youth-Focused Incubation</w:t>
              <w:tab/>
              <w:t>55</w:t>
            </w:r>
          </w:hyperlink>
        </w:p>
        <w:p>
          <w:pPr>
            <w:pStyle w:val="TOC2"/>
            <w:tabs>
              <w:tab w:val="clear" w:pos="8743"/>
              <w:tab w:val="right" w:pos="9025" w:leader="dot"/>
            </w:tabs>
            <w:rPr/>
          </w:pPr>
          <w:hyperlink w:anchor="__RefHeading___Toc4583_386185362">
            <w:r>
              <w:rPr>
                <w:rStyle w:val="IndexLink"/>
              </w:rPr>
              <w:t>10.4 Blended Support Packages</w:t>
              <w:tab/>
              <w:t>55</w:t>
            </w:r>
          </w:hyperlink>
        </w:p>
        <w:p>
          <w:pPr>
            <w:pStyle w:val="TOC2"/>
            <w:tabs>
              <w:tab w:val="clear" w:pos="8743"/>
              <w:tab w:val="right" w:pos="9025" w:leader="dot"/>
            </w:tabs>
            <w:rPr/>
          </w:pPr>
          <w:hyperlink w:anchor="__RefHeading___Toc4585_386185362">
            <w:r>
              <w:rPr>
                <w:rStyle w:val="IndexLink"/>
              </w:rPr>
              <w:t>10.5 BSO Strengthening</w:t>
              <w:tab/>
              <w:t>55</w:t>
            </w:r>
          </w:hyperlink>
        </w:p>
        <w:p>
          <w:pPr>
            <w:pStyle w:val="TOC2"/>
            <w:tabs>
              <w:tab w:val="clear" w:pos="8743"/>
              <w:tab w:val="right" w:pos="9025" w:leader="dot"/>
            </w:tabs>
            <w:rPr/>
          </w:pPr>
          <w:hyperlink w:anchor="__RefHeading___Toc4587_386185362">
            <w:r>
              <w:rPr>
                <w:rStyle w:val="IndexLink"/>
              </w:rPr>
              <w:t>10.6 Financial Institution Strengthening</w:t>
              <w:tab/>
              <w:t>57</w:t>
            </w:r>
          </w:hyperlink>
        </w:p>
        <w:p>
          <w:pPr>
            <w:pStyle w:val="TOC2"/>
            <w:tabs>
              <w:tab w:val="clear" w:pos="8743"/>
              <w:tab w:val="right" w:pos="9025" w:leader="dot"/>
            </w:tabs>
            <w:rPr/>
          </w:pPr>
          <w:hyperlink w:anchor="__RefHeading___Toc4589_386185362">
            <w:r>
              <w:rPr>
                <w:rStyle w:val="IndexLink"/>
              </w:rPr>
              <w:t>10.7 Enabling Environment and Market Linkage Actions</w:t>
              <w:tab/>
              <w:t>57</w:t>
            </w:r>
          </w:hyperlink>
        </w:p>
        <w:p>
          <w:pPr>
            <w:pStyle w:val="TOC2"/>
            <w:tabs>
              <w:tab w:val="clear" w:pos="8743"/>
              <w:tab w:val="right" w:pos="9025" w:leader="dot"/>
            </w:tabs>
            <w:rPr/>
          </w:pPr>
          <w:hyperlink w:anchor="__RefHeading___Toc4591_386185362">
            <w:r>
              <w:rPr>
                <w:rStyle w:val="IndexLink"/>
              </w:rPr>
              <w:t>10.8 Pathways to Financing</w:t>
              <w:tab/>
              <w:t>58</w:t>
            </w:r>
          </w:hyperlink>
        </w:p>
        <w:p>
          <w:pPr>
            <w:pStyle w:val="TOC2"/>
            <w:tabs>
              <w:tab w:val="clear" w:pos="8743"/>
              <w:tab w:val="right" w:pos="9025" w:leader="dot"/>
            </w:tabs>
            <w:rPr/>
          </w:pPr>
          <w:hyperlink w:anchor="__RefHeading___Toc4593_386185362">
            <w:r>
              <w:rPr>
                <w:rStyle w:val="IndexLink"/>
              </w:rPr>
              <w:t>10.9 Priorities and Next Steps</w:t>
              <w:tab/>
              <w:t>58</w:t>
            </w:r>
          </w:hyperlink>
        </w:p>
        <w:p>
          <w:pPr>
            <w:pStyle w:val="TOC1"/>
            <w:tabs>
              <w:tab w:val="clear" w:pos="9026"/>
              <w:tab w:val="right" w:pos="9025" w:leader="dot"/>
            </w:tabs>
            <w:rPr/>
          </w:pPr>
          <w:hyperlink w:anchor="__RefHeading___Toc4595_386185362">
            <w:r>
              <w:rPr>
                <w:rStyle w:val="IndexLink"/>
              </w:rPr>
              <w:t>Annex A: Evidence Map</w:t>
              <w:tab/>
              <w:t>59</w:t>
            </w:r>
          </w:hyperlink>
        </w:p>
        <w:p>
          <w:pPr>
            <w:pStyle w:val="TOC1"/>
            <w:tabs>
              <w:tab w:val="clear" w:pos="9026"/>
              <w:tab w:val="right" w:pos="9025" w:leader="dot"/>
            </w:tabs>
            <w:rPr/>
          </w:pPr>
          <w:hyperlink w:anchor="__RefHeading___Toc4597_386185362">
            <w:r>
              <w:rPr>
                <w:rStyle w:val="IndexLink"/>
              </w:rPr>
              <w:t>Annex B: Closing the Gender and Age Data Gap</w:t>
              <w:tab/>
              <w:t>60</w:t>
            </w:r>
          </w:hyperlink>
        </w:p>
        <w:p>
          <w:pPr>
            <w:pStyle w:val="TOC1"/>
            <w:tabs>
              <w:tab w:val="clear" w:pos="9026"/>
              <w:tab w:val="right" w:pos="9025" w:leader="dot"/>
            </w:tabs>
            <w:rPr/>
          </w:pPr>
          <w:hyperlink w:anchor="__RefHeading___Toc4599_386185362">
            <w:r>
              <w:rPr>
                <w:rStyle w:val="IndexLink"/>
              </w:rPr>
              <w:t>References</w:t>
              <w:tab/>
              <w:t>61</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Acronym</w:t>
            </w:r>
          </w:p>
        </w:tc>
        <w:tc>
          <w:tcPr>
            <w:tcW w:w="7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Meaning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AFAWA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Affirmative Finance Action for Women in Africa (AfDB)</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Alliance for Financial Inclusion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African Guarantee Fund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AIPEX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Agência de Investimento Privado e Promoção das Exportações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B-READY</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Ready (World Bank successor to Doing Business)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Development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development services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BEDIA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 Development and Investment Authority (now part of BITC)</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Exporters and Manufacturers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Intellectual Property Authority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BITC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Investment and Trade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BNPC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BOBS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Confederation of Commerce, Industry and Manpower (now Business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BOCOBONET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Community Based Organisations Network</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Regulatory Review Agency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support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Tourism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Balcão Único do Empreendedor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BWP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pula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Communal Areas Management Programme for Indigenous Resources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CBNRM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natural resource management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CCFN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Fund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CCIA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Câmara de Comércio e Indústria de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CDE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Centre for the Development of Enterprise (ACP-EU)</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Entrepreneurial Development Agency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Citizens Economic Empowerment Commission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Credit Guarantee Scheme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Companies and Intellectual Property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COMESA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Common Market for Eastern and Southern Africa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Doing Business (World Bank report series, 2004-2020)</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Bank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DMC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management company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ECGC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Credit Guarantee Company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EIF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Environmental Investment Fund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FENATA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Federation of Namibian Tourism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Fundo de Garantia de Crédito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GIZ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Deutsche Gesellschaft für Internationale Zusammenarbeit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Association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and Tourism Association of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ICT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communications technology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IDBZ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Infrastructure Development Bank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Instituto Nacional de Apoio às Micro, Pequenas e Médias Empresas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IRDNC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Rural Development and Nature Conservation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Organization for Standardization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JV</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Joint venture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TFCA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Kavango Zambezi Transfrontier Conservation Area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Enterprise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Ministério do Turismo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 small and medium-sized enterprise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NACSO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Namibian Association of CBNRM Support Organisations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NCCI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Chamber of Commerce and Industry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in employment, education or training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Investment Promotion and Development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NNF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Nature Foundation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Tourism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NUST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University of Science and Technology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OSISC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One Stop Investment Services Centre (ZIDA,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PSDP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Private Sector Development Programme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R-NBT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nature-based tourism</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Rural District Council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Southern African Development Community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and Medium Enterprises Development Corporation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medium and micro enterprise (term used in Botswana; equivalent to MSME)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Simplified Trade Regime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 and Safari Association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Business Council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Council of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UNAM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University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VSLA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Village savings and loan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in Business Association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YDF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Development Fund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Credit Guarantee Scheme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ZCSMBA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Chamber of Small and Medium Business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ZEEX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Entrepreneurship Exchange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Investment and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Revenue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ZMW</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Zambian kwacha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Tourism Authority</w:t>
            </w:r>
          </w:p>
        </w:tc>
      </w:tr>
    </w:tbl>
    <w:p>
      <w:pPr>
        <w:pStyle w:val="Heading1"/>
        <w:rPr/>
      </w:pPr>
      <w:r>
        <w:br w:type="page"/>
      </w:r>
      <w:bookmarkStart w:id="0" w:name="__RefHeading___Toc4501_386185362"/>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A needs and capacity survey carried out in Botswana for the EU-funded Private Sector Development Programme found many of the same gaps more than a decade ago, which shows how persistent they are. It adds quality assurance and standards, productivity, market intelligence, negotiation and collective advocacy to the MSME list, and organisational systems, coordination between BSOs and impact monitoring to the BSO list. Chapter 6 also sets out ten roles that BSOs play along the readiness pathway, from diagnosis and training to finance brokerage and advocacy. It then applies these needs to tourism MSMEs in each Partner State. Angola needs readiness first (formalisation, basic business skills and Angolan guiding and logistics capacity in Cuando and Cubango). Botswana needs supplier development, standards and contract finance around the Kasane and Maun anchors. Namibia needs lodge-linked goods made to specification and a pathway from conservancy benefit to enterprise. Zambia needs smallholder aggregation, certification and youth enterprise in Livingstone. Zimbabwe needs tax clearance, irrigated produce supply and record-keeping around Victoria Falls and Hwange. Each country's needs are matched to interventions and to a lead BSO (INAPEM, LEA, NIPDB, ZDA and CEEC, and SMEDCO) and its partners.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4503_386185362"/>
      <w:bookmarkEnd w:id="1"/>
      <w:r>
        <w:rPr/>
        <w:t>1. Introduction and Methodology</w:t>
      </w:r>
    </w:p>
    <w:p>
      <w:pPr>
        <w:pStyle w:val="Heading2"/>
        <w:rPr/>
      </w:pPr>
      <w:bookmarkStart w:id="2" w:name="__RefHeading___Toc4505_386185362"/>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4507_386185362"/>
      <w:bookmarkEnd w:id="3"/>
      <w:r>
        <w:rPr/>
        <w:t>1.2 Evidence Base</w:t>
      </w:r>
    </w:p>
    <w:p>
      <w:pPr>
        <w:pStyle w:val="Normal"/>
        <w:jc w:val="both"/>
        <w:rPr/>
      </w:pPr>
      <w:r>
        <w:rPr/>
        <w:t>The assessment draws on five sources of evidence, graded by confidence:</w:t>
      </w:r>
    </w:p>
    <w:p>
      <w:pPr>
        <w:pStyle w:val="Normal"/>
        <w:keepNext w:val="true"/>
        <w:spacing w:before="160" w:after="80"/>
        <w:rPr/>
      </w:pPr>
      <w:r>
        <w:rPr>
          <w:b/>
          <w:bCs/>
          <w:color w:val="1F5135"/>
          <w:sz w:val="20"/>
          <w:szCs w:val="20"/>
        </w:rPr>
        <w:t xml:space="preserve">Table 1: </w:t>
      </w:r>
      <w:r>
        <w:rPr>
          <w:i/>
          <w:iCs/>
          <w:sz w:val="20"/>
          <w:szCs w:val="20"/>
        </w:rPr>
        <w:t>Evidence sources and how they are used</w:t>
      </w:r>
    </w:p>
    <w:tbl>
      <w:tblPr>
        <w:tblW w:w="9026" w:type="dxa"/>
        <w:jc w:val="left"/>
        <w:tblInd w:w="0" w:type="dxa"/>
        <w:tblLayout w:type="fixed"/>
        <w:tblCellMar>
          <w:top w:w="60" w:type="dxa"/>
          <w:left w:w="100" w:type="dxa"/>
          <w:bottom w:w="60" w:type="dxa"/>
          <w:right w:w="100" w:type="dxa"/>
        </w:tblCellMar>
      </w:tblPr>
      <w:tblGrid>
        <w:gridCol w:w="2298"/>
        <w:gridCol w:w="3300"/>
        <w:gridCol w:w="3428"/>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Source</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Content used</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Confidence and limits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 (SIGMA International for GIZ, draft, September 2026), via the priority value chain extract</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chains, buyer and enterprise evidence, MSME survey (71 respondents), destination and corridor findings, conditions for supplier development</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Primary evidence. Draft and preliminary; some findings rest on single interviews; Namibia (7 of 71 survey responses) and Angola (no survey responses) are thinly covered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Financial Landscape Analysis (October 2026)</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actors, products, guarantee schemes, BSOs and institutional ratings by country</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Desk review; ratings indicative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PSDP needs and capacity survey (CDE and EU, c. 2013), Section 2 of the PSDP description of the action</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Prioritised capacity-building needs of SMMEs and of ten SMME support institutions; cross-cutting needs; lessons on BSO coordination and the roles of the trade support network</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only, more than a decade old and not specific to tourism; several institutions have since been renamed or merged; used to corroborate and extend the capacity-building needs in Chapter 6</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Doing Business 2020 economy profiles for the five states, with later reform evidence and the first Business Ready (B-READY) findings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Overall and topic rankings for business regulation; reforms since 2019</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Comparable across countries but dated (May 2019), measured in the largest business city and for a standard limited company, and discontinued in 2021; used to indicate relative regulatory burden</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Secondary national, sector and company data (FinScope MSME surveys, World Bank, AFI and UN Women studies, census labour data, operator reports, academic studies, agency and press reports)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age, informality and record-keeping patterns; tourism demand; anchor procurement; BSO programmes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specific to KAZA in most cases; operator figures are self-reported; each figure is attributed to its source</w:t>
            </w:r>
          </w:p>
        </w:tc>
      </w:tr>
    </w:tbl>
    <w:p>
      <w:pPr>
        <w:pStyle w:val="Normal"/>
        <w:spacing w:before="0" w:after="120"/>
        <w:rPr/>
      </w:pPr>
      <w:r>
        <w:rPr/>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4509_386185362"/>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keepNext w:val="true"/>
        <w:spacing w:before="160" w:after="80"/>
        <w:rPr/>
      </w:pPr>
      <w:r>
        <w:rPr>
          <w:b/>
          <w:bCs/>
          <w:color w:val="1F5135"/>
          <w:sz w:val="20"/>
          <w:szCs w:val="20"/>
        </w:rPr>
        <w:t xml:space="preserve">Table 2: </w:t>
      </w:r>
      <w:r>
        <w:rPr>
          <w:i/>
          <w:iCs/>
          <w:sz w:val="20"/>
          <w:szCs w:val="20"/>
        </w:rPr>
        <w:t>Investment readiness dimensions</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Dimension</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assessed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Clarity of the product and customer, revenue model, margins, scalability and resilience to seasonality and shocks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Existence of a credible buyer, repeat orders or contracts, ability to meet quality, volume and reliability standards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Separation of business and household money, savings, use of formal and informal finance, pricing and costing, working-capital management</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Sales, cost and cash records; bank or mobile-money trail; ability to produce management accounts or financial statements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 and compliance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registration, tax clearance and VAT status, licences, insurance and certification required by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Management and governance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or group capacity to plan, manage staff and suppliers; for cooperatives and community enterprises, governance and benefit-sharing rules</w:t>
            </w:r>
          </w:p>
        </w:tc>
      </w:tr>
    </w:tbl>
    <w:p>
      <w:pPr>
        <w:pStyle w:val="Normal"/>
        <w:spacing w:before="0" w:after="120"/>
        <w:rPr/>
      </w:pPr>
      <w:r>
        <w:rPr/>
      </w:r>
    </w:p>
    <w:p>
      <w:pPr>
        <w:pStyle w:val="Normal"/>
        <w:jc w:val="both"/>
        <w:rPr/>
      </w:pPr>
      <w:r>
        <w:rPr/>
        <w:t>These dimensions combine into four readiness tiers, used throughout the report:</w:t>
      </w:r>
    </w:p>
    <w:p>
      <w:pPr>
        <w:pStyle w:val="Normal"/>
        <w:keepNext w:val="true"/>
        <w:spacing w:before="160" w:after="80"/>
        <w:rPr/>
      </w:pPr>
      <w:r>
        <w:rPr>
          <w:b/>
          <w:bCs/>
          <w:color w:val="1F5135"/>
          <w:sz w:val="20"/>
          <w:szCs w:val="20"/>
        </w:rPr>
        <w:t xml:space="preserve">Table 3: </w:t>
      </w:r>
      <w:r>
        <w:rPr>
          <w:i/>
          <w:iCs/>
          <w:sz w:val="20"/>
          <w:szCs w:val="20"/>
        </w:rPr>
        <w:t>Readiness tiers</w:t>
      </w:r>
    </w:p>
    <w:tbl>
      <w:tblPr>
        <w:tblW w:w="9026" w:type="dxa"/>
        <w:jc w:val="left"/>
        <w:tblInd w:w="0" w:type="dxa"/>
        <w:tblLayout w:type="fixed"/>
        <w:tblCellMar>
          <w:top w:w="60" w:type="dxa"/>
          <w:left w:w="100" w:type="dxa"/>
          <w:bottom w:w="60" w:type="dxa"/>
          <w:right w:w="100" w:type="dxa"/>
        </w:tblCellMar>
      </w:tblPr>
      <w:tblGrid>
        <w:gridCol w:w="2100"/>
        <w:gridCol w:w="3726"/>
        <w:gridCol w:w="32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37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profile</w:t>
            </w:r>
          </w:p>
        </w:tc>
        <w:tc>
          <w:tcPr>
            <w:tcW w:w="32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Appropriate finance</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Individual or group income activity; no registration; no records; sells informally or through a hub; often a savings-group member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grants, in-kind support</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Operating micro-enterprise; informal or partly registered; basic or no records; irregular sales to tourists or lodges</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small asset loans, matching grants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tax-compliant or close to it; simple records; repeat orders or a contract with an anchor buyer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finance, asset finance and leasing, guaranteed bank loans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 management accounts; diversified buyers; growth plan; governance in place</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guaranteed lending, quasi-equity, revenue-based finance, equity for a few</w:t>
            </w:r>
          </w:p>
        </w:tc>
      </w:tr>
    </w:tbl>
    <w:p>
      <w:pPr>
        <w:pStyle w:val="Normal"/>
        <w:spacing w:before="0" w:after="120"/>
        <w:rPr/>
      </w:pPr>
      <w:r>
        <w:rPr/>
      </w:r>
    </w:p>
    <w:p>
      <w:pPr>
        <w:pStyle w:val="Heading2"/>
        <w:rPr/>
      </w:pPr>
      <w:bookmarkStart w:id="5" w:name="__RefHeading___Toc4511_386185362"/>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4513_386185362"/>
      <w:bookmarkEnd w:id="6"/>
      <w:r>
        <w:rPr/>
        <w:t>2. Priority Value Chains and Value Chain Nodes</w:t>
      </w:r>
    </w:p>
    <w:p>
      <w:pPr>
        <w:pStyle w:val="Heading2"/>
        <w:rPr/>
      </w:pPr>
      <w:bookmarkStart w:id="7" w:name="__RefHeading___Toc4515_386185362"/>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4517_386185362"/>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keepNext w:val="true"/>
        <w:spacing w:before="160" w:after="80"/>
        <w:rPr/>
      </w:pPr>
      <w:r>
        <w:rPr>
          <w:b/>
          <w:bCs/>
          <w:color w:val="1F5135"/>
          <w:sz w:val="20"/>
          <w:szCs w:val="20"/>
        </w:rPr>
        <w:t xml:space="preserve">Table 4: </w:t>
      </w:r>
      <w:r>
        <w:rPr>
          <w:i/>
          <w:iCs/>
          <w:sz w:val="20"/>
          <w:szCs w:val="20"/>
        </w:rPr>
        <w:t>Value chain nodes used in this assessment</w:t>
      </w:r>
    </w:p>
    <w:tbl>
      <w:tblPr>
        <w:tblW w:w="9026" w:type="dxa"/>
        <w:jc w:val="left"/>
        <w:tblInd w:w="0" w:type="dxa"/>
        <w:tblLayout w:type="fixed"/>
        <w:tblCellMar>
          <w:top w:w="60" w:type="dxa"/>
          <w:left w:w="100" w:type="dxa"/>
          <w:bottom w:w="60" w:type="dxa"/>
          <w:right w:w="100" w:type="dxa"/>
        </w:tblCellMar>
      </w:tblPr>
      <w:tblGrid>
        <w:gridCol w:w="2100"/>
        <w:gridCol w:w="3626"/>
        <w:gridCol w:w="33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Description</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Examples in KAZA</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Grows, harvests or makes a product; usually individual or household</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gardeners, beekeepers, forest-product harvesters, artisans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Collects, processes, packages or adds value for several producers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produce cooperatives, oil-pressing cooperatives, recycling workshops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regularly to lodges, hotels, DMCs or retailers against orders or contracts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suppliers, décor and furniture makers, building-material and cleaning suppliers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experiences or services to visitors or operators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mokoro polers, transfer operators, cultural-tour operators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Owned by a conservancy, trust, CBO or CAMPFIRE ward; benefit-sharing obligations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campsites, JV lodge partners, community craft markets</w:t>
            </w:r>
          </w:p>
        </w:tc>
      </w:tr>
    </w:tbl>
    <w:p>
      <w:pPr>
        <w:pStyle w:val="Normal"/>
        <w:spacing w:before="0" w:after="120"/>
        <w:rPr/>
      </w:pPr>
      <w:r>
        <w:rPr/>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4519_386185362"/>
      <w:bookmarkEnd w:id="9"/>
      <w:r>
        <w:rPr/>
        <w:t>3. MSME Business Models</w:t>
      </w:r>
    </w:p>
    <w:p>
      <w:pPr>
        <w:pStyle w:val="Heading2"/>
        <w:rPr/>
      </w:pPr>
      <w:bookmarkStart w:id="10" w:name="__RefHeading___Toc4521_386185362"/>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4523_386185362"/>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4525_386185362"/>
      <w:bookmarkEnd w:id="12"/>
      <w:r>
        <w:rPr/>
        <w:t>4. Financial Practices, Record-Keeping and Informality</w:t>
      </w:r>
    </w:p>
    <w:p>
      <w:pPr>
        <w:pStyle w:val="Heading2"/>
        <w:rPr/>
      </w:pPr>
      <w:bookmarkStart w:id="13" w:name="__RefHeading___Toc4527_386185362"/>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4529_386185362"/>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4531_386185362"/>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4533_386185362"/>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keepNext w:val="true"/>
        <w:spacing w:before="160" w:after="80"/>
        <w:rPr/>
      </w:pPr>
      <w:r>
        <w:rPr>
          <w:b/>
          <w:bCs/>
          <w:color w:val="1F5135"/>
          <w:sz w:val="20"/>
          <w:szCs w:val="20"/>
        </w:rPr>
        <w:t xml:space="preserve">Table 5: </w:t>
      </w:r>
      <w:r>
        <w:rPr>
          <w:i/>
          <w:iCs/>
          <w:sz w:val="20"/>
          <w:szCs w:val="20"/>
        </w:rPr>
        <w:t>Indicative readiness of the typical MSME by value chain</w:t>
      </w:r>
    </w:p>
    <w:tbl>
      <w:tblPr>
        <w:tblW w:w="9026" w:type="dxa"/>
        <w:jc w:val="left"/>
        <w:tblInd w:w="0" w:type="dxa"/>
        <w:tblLayout w:type="fixed"/>
        <w:tblCellMar>
          <w:top w:w="60" w:type="dxa"/>
          <w:left w:w="100" w:type="dxa"/>
          <w:bottom w:w="60" w:type="dxa"/>
          <w:right w:w="100" w:type="dxa"/>
        </w:tblCellMar>
      </w:tblPr>
      <w:tblGrid>
        <w:gridCol w:w="1625"/>
        <w:gridCol w:w="1051"/>
        <w:gridCol w:w="1099"/>
        <w:gridCol w:w="1100"/>
        <w:gridCol w:w="1050"/>
        <w:gridCol w:w="1100"/>
        <w:gridCol w:w="1102"/>
        <w:gridCol w:w="898"/>
      </w:tblGrid>
      <w:tr>
        <w:trPr>
          <w:tblHeader w:val="true"/>
        </w:trPr>
        <w:tc>
          <w:tcPr>
            <w:tcW w:w="1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10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Business model</w:t>
            </w:r>
          </w:p>
        </w:tc>
        <w:tc>
          <w:tcPr>
            <w:tcW w:w="10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Market linkage</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Financial practices</w:t>
            </w:r>
          </w:p>
        </w:tc>
        <w:tc>
          <w:tcPr>
            <w:tcW w:w="105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Records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Formality</w:t>
            </w:r>
          </w:p>
        </w:tc>
        <w:tc>
          <w:tcPr>
            <w:tcW w:w="1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Mgmt and governance</w:t>
            </w:r>
          </w:p>
        </w:tc>
        <w:tc>
          <w:tcPr>
            <w:tcW w:w="8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 supply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culture</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r>
        <w:br w:type="page"/>
      </w:r>
    </w:p>
    <w:p>
      <w:pPr>
        <w:pStyle w:val="Heading1"/>
        <w:spacing w:before="0" w:after="240"/>
        <w:rPr/>
      </w:pPr>
      <w:bookmarkStart w:id="17" w:name="__RefHeading___Toc4535_386185362"/>
      <w:bookmarkEnd w:id="17"/>
      <w:r>
        <w:rPr/>
        <w:t>5. Variation by Gender, Age and Value Chain Node</w:t>
      </w:r>
    </w:p>
    <w:p>
      <w:pPr>
        <w:pStyle w:val="Heading2"/>
        <w:rPr/>
      </w:pPr>
      <w:bookmarkStart w:id="18" w:name="__RefHeading___Toc4537_386185362"/>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4539_386185362"/>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4541_386185362"/>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4543_386185362"/>
      <w:bookmarkEnd w:id="21"/>
      <w:r>
        <w:rPr/>
        <w:t>5.4 Value Chain Node</w:t>
      </w:r>
    </w:p>
    <w:p>
      <w:pPr>
        <w:pStyle w:val="Normal"/>
        <w:jc w:val="both"/>
        <w:rPr/>
      </w:pPr>
      <w:r>
        <w:rPr/>
        <w:t>Node is the strongest predictor of readiness in the evidence. Readiness and finance needs vary by node as follows.</w:t>
      </w:r>
    </w:p>
    <w:p>
      <w:pPr>
        <w:pStyle w:val="Normal"/>
        <w:keepNext w:val="true"/>
        <w:spacing w:before="160" w:after="80"/>
        <w:rPr/>
      </w:pPr>
      <w:r>
        <w:rPr>
          <w:b/>
          <w:bCs/>
          <w:color w:val="1F5135"/>
          <w:sz w:val="20"/>
          <w:szCs w:val="20"/>
        </w:rPr>
        <w:t xml:space="preserve">Table 6: </w:t>
      </w:r>
      <w:r>
        <w:rPr>
          <w:i/>
          <w:iCs/>
          <w:sz w:val="20"/>
          <w:szCs w:val="20"/>
        </w:rPr>
        <w:t>Readiness and finance needs by value chain node</w:t>
      </w:r>
    </w:p>
    <w:tbl>
      <w:tblPr>
        <w:tblW w:w="9026" w:type="dxa"/>
        <w:jc w:val="left"/>
        <w:tblInd w:w="0" w:type="dxa"/>
        <w:tblLayout w:type="fixed"/>
        <w:tblCellMar>
          <w:top w:w="60" w:type="dxa"/>
          <w:left w:w="100" w:type="dxa"/>
          <w:bottom w:w="60" w:type="dxa"/>
          <w:right w:w="100" w:type="dxa"/>
        </w:tblCellMar>
      </w:tblPr>
      <w:tblGrid>
        <w:gridCol w:w="1698"/>
        <w:gridCol w:w="902"/>
        <w:gridCol w:w="2098"/>
        <w:gridCol w:w="2102"/>
        <w:gridCol w:w="2226"/>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9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c>
          <w:tcPr>
            <w:tcW w:w="20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Binding constraint</w:t>
            </w:r>
          </w:p>
        </w:tc>
        <w:tc>
          <w:tcPr>
            <w:tcW w:w="2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need</w:t>
            </w:r>
          </w:p>
        </w:tc>
        <w:tc>
          <w:tcPr>
            <w:tcW w:w="22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gender and age profile (indicative)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Scale, quality, inputs, distance to market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Inputs, small tools, irrigation; savings-group credit</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older producers prominent in food and crafts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working capital, certification, equipment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working capital, certification grants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cooperatives (e.g. forest products); mixed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volume, tax compliance, working capital between delivery and payment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often male-owned and older (inferred)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and quality, equipment, visibility, seasonality</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 licensing and insurance costs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prominent in guiding; transport more often male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tenure, leadership</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revolving funds, blended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governance; women and youth often under-represented in leadership</w:t>
            </w:r>
          </w:p>
        </w:tc>
      </w:tr>
    </w:tbl>
    <w:p>
      <w:pPr>
        <w:pStyle w:val="Normal"/>
        <w:spacing w:before="0" w:after="120"/>
        <w:rPr/>
      </w:pPr>
      <w:r>
        <w:rPr/>
      </w:r>
      <w:r>
        <w:br w:type="page"/>
      </w:r>
    </w:p>
    <w:p>
      <w:pPr>
        <w:pStyle w:val="Heading1"/>
        <w:spacing w:before="0" w:after="240"/>
        <w:rPr/>
      </w:pPr>
      <w:bookmarkStart w:id="22" w:name="__RefHeading___Toc4545_386185362"/>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 Sections 6.1 to 6.3 set out the needs that apply across KAZA; Section 6.4 applies them to tourism MSMEs in each Partner State, with the recommended interventions and the support BSOs in each country.</w:t>
      </w:r>
    </w:p>
    <w:p>
      <w:pPr>
        <w:pStyle w:val="Normal"/>
        <w:jc w:val="both"/>
        <w:rPr/>
      </w:pPr>
      <w:r>
        <w:rPr/>
        <w:t>The chapter also draws on the needs and capacity survey of SMMEs (small, medium and micro enterprises, the term used for MSMEs in Botswana) and of SMME support institutions that was carried out in Botswana to design the EU-funded Private Sector Development Programme (PSDP), implemented with the Centre for the Development of Enterprise (CDE) (PSDP survey). The survey is more than a decade old, covers Botswana only and spans manufacturing (including agro-industries), tourism, construction and ICT rather than R-NBT alone. Its findings are used here because they closely match the gaps identified in this assessment, which suggests that these needs are persistent rather than new, and because it sets out needs and priorities institution by institution.</w:t>
      </w:r>
    </w:p>
    <w:p>
      <w:pPr>
        <w:pStyle w:val="Heading2"/>
        <w:rPr/>
      </w:pPr>
      <w:bookmarkStart w:id="23" w:name="__RefHeading___Toc4547_386185362"/>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 managing the supply chain and export quality where products cross borders or are exported (PSDP survey).</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 export packaging, marketing and branding (PSDP survey).</w:t>
      </w:r>
    </w:p>
    <w:p>
      <w:pPr>
        <w:pStyle w:val="ListParagraph"/>
        <w:numPr>
          <w:ilvl w:val="0"/>
          <w:numId w:val="44"/>
        </w:numPr>
        <w:rPr/>
      </w:pPr>
      <w:r>
        <w:rPr>
          <w:b/>
          <w:bCs/>
        </w:rPr>
        <w:t>Quality assurance, standards and productivity:</w:t>
      </w:r>
      <w:r>
        <w:rPr/>
        <w:t xml:space="preserve"> using quality-assurance schemes and certification to national standards or ISO; on-the-job training so that owners can keep training staff in productivity and quality improvement; workplace productivity methods such as </w:t>
      </w:r>
      <w:r>
        <w:rPr>
          <w:i/>
          <w:iCs/>
        </w:rPr>
        <w:t>kaizen</w:t>
      </w:r>
      <w:r>
        <w:rPr/>
        <w:t xml:space="preserve"> (PSDP survey).</w:t>
      </w:r>
    </w:p>
    <w:p>
      <w:pPr>
        <w:pStyle w:val="ListParagraph"/>
        <w:numPr>
          <w:ilvl w:val="0"/>
          <w:numId w:val="45"/>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6"/>
        </w:numPr>
        <w:rPr/>
      </w:pPr>
      <w:r>
        <w:rPr>
          <w:b/>
          <w:bCs/>
        </w:rPr>
        <w:t>Financial management:</w:t>
      </w:r>
      <w:r>
        <w:rPr/>
        <w:t xml:space="preserve"> separating business and household money, simple bookkeeping, budgeting, cost analysis and pricing, cash-flow planning across the season, using mobile money to build a trail.</w:t>
      </w:r>
    </w:p>
    <w:p>
      <w:pPr>
        <w:pStyle w:val="ListParagraph"/>
        <w:numPr>
          <w:ilvl w:val="0"/>
          <w:numId w:val="47"/>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8"/>
        </w:numPr>
        <w:rPr/>
      </w:pPr>
      <w:r>
        <w:rPr>
          <w:b/>
          <w:bCs/>
        </w:rPr>
        <w:t>Contracting and negotiation:</w:t>
      </w:r>
      <w:r>
        <w:rPr/>
        <w:t xml:space="preserve"> understanding and negotiating supply agreements, payment terms and delivery obligations, which matters more where courts are slow to enforce contracts (Section 7.1); general negotiating skills for dealing with buyers and lenders (PSDP survey).</w:t>
      </w:r>
    </w:p>
    <w:p>
      <w:pPr>
        <w:pStyle w:val="ListParagraph"/>
        <w:numPr>
          <w:ilvl w:val="0"/>
          <w:numId w:val="49"/>
        </w:numPr>
        <w:rPr/>
      </w:pPr>
      <w:r>
        <w:rPr>
          <w:b/>
          <w:bCs/>
        </w:rPr>
        <w:t>Market intelligence and partnerships:</w:t>
      </w:r>
      <w:r>
        <w:rPr/>
        <w:t xml:space="preserve"> identifying and using opportunities created by regional and international trade agreements; entering and maintaining strategic partnerships with larger and foreign firms; learning to compete with imports and with firms in other countries (PSDP survey).</w:t>
      </w:r>
    </w:p>
    <w:p>
      <w:pPr>
        <w:pStyle w:val="ListParagraph"/>
        <w:numPr>
          <w:ilvl w:val="0"/>
          <w:numId w:val="50"/>
        </w:numPr>
        <w:rPr/>
      </w:pPr>
      <w:r>
        <w:rPr>
          <w:b/>
          <w:bCs/>
        </w:rPr>
        <w:t>Marketing and visibility:</w:t>
      </w:r>
      <w:r>
        <w:rPr/>
        <w:t xml:space="preserve"> digital listing, trade shows and operator familiarisation (MD p. 75); e-business tools and links to export-oriented web platforms that improve bargaining power (PSDP survey).</w:t>
      </w:r>
    </w:p>
    <w:p>
      <w:pPr>
        <w:pStyle w:val="ListParagraph"/>
        <w:numPr>
          <w:ilvl w:val="0"/>
          <w:numId w:val="51"/>
        </w:numPr>
        <w:rPr/>
      </w:pPr>
      <w:r>
        <w:rPr>
          <w:b/>
          <w:bCs/>
        </w:rPr>
        <w:t>Technical and service skills:</w:t>
      </w:r>
      <w:r>
        <w:rPr/>
        <w:t xml:space="preserve"> guiding quality (MD p. 84), hospitality, vehicle and boat maintenance, recycling technology.</w:t>
      </w:r>
    </w:p>
    <w:p>
      <w:pPr>
        <w:pStyle w:val="ListParagraph"/>
        <w:numPr>
          <w:ilvl w:val="0"/>
          <w:numId w:val="52"/>
        </w:numPr>
        <w:rPr/>
      </w:pPr>
      <w:r>
        <w:rPr>
          <w:b/>
          <w:bCs/>
        </w:rPr>
        <w:t>Investment readiness:</w:t>
      </w:r>
      <w:r>
        <w:rPr/>
        <w:t xml:space="preserve"> preparing a business plan, project proposal and loan application; identifying and accessing national, regional and international financing schemes; understanding product terms and negotiating with lenders; and business stewardship, meaning the disciplined use of credit once it is received (PSDP survey).</w:t>
      </w:r>
    </w:p>
    <w:p>
      <w:pPr>
        <w:pStyle w:val="ListParagraph"/>
        <w:numPr>
          <w:ilvl w:val="0"/>
          <w:numId w:val="53"/>
        </w:numPr>
        <w:rPr/>
      </w:pPr>
      <w:r>
        <w:rPr>
          <w:b/>
          <w:bCs/>
        </w:rPr>
        <w:t>Voice and advocacy:</w:t>
      </w:r>
      <w:r>
        <w:rPr/>
        <w:t xml:space="preserve"> recognising unfair business practices by dominant players, such as late payment or exclusion from procurement, and raising them through associations rather than individually (PSDP survey).</w:t>
      </w:r>
    </w:p>
    <w:p>
      <w:pPr>
        <w:pStyle w:val="Heading3"/>
        <w:rPr/>
      </w:pPr>
      <w:r>
        <w:rPr/>
        <w:t>Evidence from the Botswana PSDP needs and capacity survey</w:t>
      </w:r>
    </w:p>
    <w:p>
      <w:pPr>
        <w:pStyle w:val="Normal"/>
        <w:jc w:val="both"/>
        <w:rPr/>
      </w:pPr>
      <w:r>
        <w:rPr/>
        <w:t>The PSDP survey ranked SMME capacity-building needs under five types of intervention: technical assistance, mentoring and coaching, on-the-job training, workshops and seminars, and benchmarking or learning visits. Priorities are ranked within each type, with 1 the highest. The table lists every need the survey identified and shows how each applies to the R-NBT value chains.</w:t>
      </w:r>
    </w:p>
    <w:p>
      <w:pPr>
        <w:pStyle w:val="Normal"/>
        <w:keepNext w:val="true"/>
        <w:spacing w:before="160" w:after="80"/>
        <w:rPr/>
      </w:pPr>
      <w:r>
        <w:rPr>
          <w:b/>
          <w:bCs/>
          <w:color w:val="1F5135"/>
          <w:sz w:val="20"/>
          <w:szCs w:val="20"/>
        </w:rPr>
        <w:t xml:space="preserve">Table 7: </w:t>
      </w:r>
      <w:r>
        <w:rPr>
          <w:i/>
          <w:iCs/>
          <w:sz w:val="20"/>
          <w:szCs w:val="20"/>
        </w:rPr>
        <w:t>Prioritised SMME capacity-building needs from the Botswana PSDP survey and their relevance to R-NBT</w:t>
      </w:r>
    </w:p>
    <w:tbl>
      <w:tblPr>
        <w:tblW w:w="9026" w:type="dxa"/>
        <w:jc w:val="left"/>
        <w:tblInd w:w="0" w:type="dxa"/>
        <w:tblLayout w:type="fixed"/>
        <w:tblCellMar>
          <w:top w:w="60" w:type="dxa"/>
          <w:left w:w="100" w:type="dxa"/>
          <w:bottom w:w="60" w:type="dxa"/>
          <w:right w:w="100" w:type="dxa"/>
        </w:tblCellMar>
      </w:tblPr>
      <w:tblGrid>
        <w:gridCol w:w="1500"/>
        <w:gridCol w:w="3500"/>
        <w:gridCol w:w="900"/>
        <w:gridCol w:w="3125"/>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Intervention type</w:t>
            </w:r>
          </w:p>
        </w:tc>
        <w:tc>
          <w:tcPr>
            <w:tcW w:w="3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SMME capacity-building need</w:t>
            </w:r>
          </w:p>
        </w:tc>
        <w:tc>
          <w:tcPr>
            <w:tcW w:w="9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31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Relevance to KAZA R-NBT value chains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use market opportunities created by regional and international trade agreements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supply to lodges, including under the COMESA Simplified Trade Regime (Section 7.1); export orders for crafts and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Advisory services on export value chain management: supply chain management, export quality management and packaging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for anchor lodges (quality, volume, packaging); export readiness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Sustainable, adapted e-business solutions and market intelligence to improve bargaining power, for example links to export-oriented websites such as BEMA's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Online visibility and booking for guiding and activities; online sales and curated retail for crafts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access regional and international financing schemes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grants, grant-to-loan facilities and DFI or donor windows (Section 10.8)</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unfair business practices by dominant players and advocate for their removal</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terms and procurement practices of anchor buyers (Section 7.2); local procurement and reservation rules (Section 7.1)</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to enter into and maintain regional and international strategic partnerships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Long-term supply agreements and joint ventures with anchor operators and DMCs, including across borders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on how to compete effectively locally, regionally and internationally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competing with imports; crafts competing with generic curios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on quality-assurance schemes, for example ISO certification</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safety and product certification; tourism grading; certification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Train SMMEs through on-the-job training and in how to keep training their staff in productivity and quality improvement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 quality in guiding and hospitality; consistent finishing in lodge-linked goods; reliable delivery in food supply</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Budgeting and cost analysis; effective operations and manufacturing; how to access development finance (in Botswana, CEDA) and how to manage it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Costing against imports; seasonal cash-flow planning; use of concessional citizen finance (CEDA, YDF, CEEC, SMEDCO)</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Competitiveness, for example export packaging, export marketing and branding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nature-positive products; product storytelling linked to the destination</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quality and supply chain management; project proposal development to support credit applications; effective negotiating; business stewardship, including the use of business credit, advocacy and lobbying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and Tier 3 investment readiness: loan applications, negotiation with buyers and lenders, credit discipline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and learning visits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visits to learn regional and international best practice in SMME competitiveness and productivity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Peer exchange between KAZA destinations and with established supplier and conservancy enterprise programmes</w:t>
            </w:r>
          </w:p>
        </w:tc>
      </w:tr>
    </w:tbl>
    <w:p>
      <w:pPr>
        <w:pStyle w:val="Normal"/>
        <w:spacing w:before="0" w:after="120"/>
        <w:rPr/>
      </w:pPr>
      <w:r>
        <w:rPr/>
      </w:r>
    </w:p>
    <w:p>
      <w:pPr>
        <w:pStyle w:val="Normal"/>
        <w:jc w:val="both"/>
        <w:rPr/>
      </w:pPr>
      <w:r>
        <w:rPr>
          <w:b/>
          <w:bCs/>
        </w:rPr>
        <w:t>What the survey adds.</w:t>
      </w:r>
      <w:r>
        <w:rPr/>
        <w:t xml:space="preserve"> Three points stand out. First, the core needs it identified in Botswana a decade ago (supply chain and quality management, costing, credit applications and access to development finance) are the same as those identified in this assessment, which suggests that general SMME programmes have not closed them. Second, it adds needs that are less prominent in the R-NBT evidence used elsewhere in this assessment: quality assurance and standards, productivity improvement, market intelligence on trade agreements, strategic partnerships, negotiation and collective advocacy, all of which matter for MSMEs that supply anchor lodges or sell across borders. Third, it shows that MSMEs need a mix of delivery modes. The PSDP design concluded that capacity building should go beyond formal training and workshops to include mentoring, exchange visits, technical studies and reviews, coaching and on-the-job training (PSDP survey, Section 3.1). This mix is built into the tiered pathway in Section 10.1.</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keepNext w:val="true"/>
        <w:spacing w:before="160" w:after="80"/>
        <w:rPr/>
      </w:pPr>
      <w:r>
        <w:rPr>
          <w:b/>
          <w:bCs/>
          <w:color w:val="1F5135"/>
          <w:sz w:val="20"/>
          <w:szCs w:val="20"/>
        </w:rPr>
        <w:t xml:space="preserve">Table 8: </w:t>
      </w:r>
      <w:r>
        <w:rPr>
          <w:i/>
          <w:iCs/>
          <w:sz w:val="20"/>
          <w:szCs w:val="20"/>
        </w:rPr>
        <w:t>MSME capacity gaps and recommended interventions by value chain</w:t>
      </w:r>
    </w:p>
    <w:tbl>
      <w:tblPr>
        <w:tblW w:w="9026" w:type="dxa"/>
        <w:jc w:val="left"/>
        <w:tblInd w:w="0" w:type="dxa"/>
        <w:tblLayout w:type="fixed"/>
        <w:tblCellMar>
          <w:top w:w="60" w:type="dxa"/>
          <w:left w:w="100" w:type="dxa"/>
          <w:bottom w:w="60" w:type="dxa"/>
          <w:right w:w="100" w:type="dxa"/>
        </w:tblCellMar>
      </w:tblPr>
      <w:tblGrid>
        <w:gridCol w:w="1500"/>
        <w:gridCol w:w="2599"/>
        <w:gridCol w:w="2727"/>
        <w:gridCol w:w="2199"/>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25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2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delivery partners (indicative)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agricultural supply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consistent quality and volume; food safety and packaging; VAT and tax clearance; cash flow between delivery and payment</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lodge supply agreements; contract-backed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lodges, LEA, SMEDCO, CEEC, agricultural extension, conservancies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to lodge specifications; consistency and finishing; costing against imports; working capital for materials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tooling and equipment finance; order-backed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NIPDB, LEA, ZimTrade, ZDA, training institutions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differentiation; buyer relationships; pricing; export compliance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buyer brokerage and curated retail; e-commerce listing; finance only after orders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BTO, NTB, ZimTrade, tourism associations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seasonal cash flow</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lease-to-own equipment; digital marketing; seasonal or revenue-linked repayment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associations, training institutions, DMCs, youth funds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insurance; vehicle maintenance; sub-hire contracts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Compliance support through one-stop centres; asset finance with seasonal schedules; sub-hire contract templates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 CIPA, ZDA, banks' asset-finance units, DMCs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recycling and cleaning</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 service contracts; equipment; health and safety</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youth incubation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authorities, anchor lodges, NGOs, incubators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governance; export readiness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processing equipment; governance support; export order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CBNRM NGOs, CEEC, ZDA, export promotion bodies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service standards; tenure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grading and service training; blended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NTB, Zimbabwe Tourism Authority, NACSO, CAMPFIRE Association</w:t>
            </w:r>
          </w:p>
        </w:tc>
      </w:tr>
    </w:tbl>
    <w:p>
      <w:pPr>
        <w:pStyle w:val="Normal"/>
        <w:spacing w:before="0" w:after="120"/>
        <w:rPr/>
      </w:pPr>
      <w:r>
        <w:rPr/>
      </w:r>
    </w:p>
    <w:p>
      <w:pPr>
        <w:pStyle w:val="Heading2"/>
        <w:rPr/>
      </w:pPr>
      <w:bookmarkStart w:id="24" w:name="__RefHeading___Toc4549_386185362"/>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4"/>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5"/>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6"/>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7"/>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8"/>
        </w:numPr>
        <w:rPr/>
      </w:pPr>
      <w:r>
        <w:rPr>
          <w:b/>
          <w:bCs/>
        </w:rPr>
        <w:t>No diagnostic or tracking tools.</w:t>
      </w:r>
      <w:r>
        <w:rPr/>
        <w:t xml:space="preserve"> BSOs lack a common readiness diagnostic and do not track MSMEs' progress from tier to tier.</w:t>
      </w:r>
    </w:p>
    <w:p>
      <w:pPr>
        <w:pStyle w:val="ListParagraph"/>
        <w:numPr>
          <w:ilvl w:val="0"/>
          <w:numId w:val="59"/>
        </w:numPr>
        <w:rPr/>
      </w:pPr>
      <w:r>
        <w:rPr>
          <w:b/>
          <w:bCs/>
        </w:rPr>
        <w:t>Gender and youth capacity.</w:t>
      </w:r>
      <w:r>
        <w:rPr/>
        <w:t xml:space="preserve"> Few BSOs have staff or methods for gender-transformative or youth-specific support.</w:t>
      </w:r>
    </w:p>
    <w:p>
      <w:pPr>
        <w:pStyle w:val="ListParagraph"/>
        <w:numPr>
          <w:ilvl w:val="0"/>
          <w:numId w:val="60"/>
        </w:numPr>
        <w:rPr/>
      </w:pPr>
      <w:r>
        <w:rPr>
          <w:b/>
          <w:bCs/>
        </w:rPr>
        <w:t>Funding.</w:t>
      </w:r>
      <w:r>
        <w:rPr/>
        <w:t xml:space="preserve"> The 2025 wind-down of USAID programmes removed grant and technical-assistance funding for many community enterprise programmes (Financial Landscape Analysis). Public BSOs also face shrinking government budgets; the PSDP survey already found that Botswana's productivity centre and training authority needed new ways to serve SMMEs and community organisations as public funding declined (PSDP survey).</w:t>
      </w:r>
    </w:p>
    <w:p>
      <w:pPr>
        <w:pStyle w:val="ListParagraph"/>
        <w:numPr>
          <w:ilvl w:val="0"/>
          <w:numId w:val="61"/>
        </w:numPr>
        <w:rPr/>
      </w:pPr>
      <w:r>
        <w:rPr>
          <w:b/>
          <w:bCs/>
        </w:rPr>
        <w:t>Weak coordination and overlapping mandates.</w:t>
      </w:r>
      <w:r>
        <w:rPr/>
        <w:t xml:space="preserve"> The PSDP design found limited communication and coordination among BDS providers, limited capacity in intermediary organisations, overlapping activities among private-sector associations, and a lack of knowledge, among SMMEs and BSOs alike, of the services each institution offers. It described Botswana's trade support network as broad, with capacity that varied greatly, mandates that often overlapped and weak coordination that led to an ineffective and inefficient use of resources (PSDP survey, Sections 3.1 and 10). The BSO profiles in Section 7.3 suggest that the same holds across KAZA.</w:t>
      </w:r>
    </w:p>
    <w:p>
      <w:pPr>
        <w:pStyle w:val="ListParagraph"/>
        <w:numPr>
          <w:ilvl w:val="0"/>
          <w:numId w:val="62"/>
        </w:numPr>
        <w:rPr/>
      </w:pPr>
      <w:r>
        <w:rPr>
          <w:b/>
          <w:bCs/>
        </w:rPr>
        <w:t>Weak organisational systems.</w:t>
      </w:r>
      <w:r>
        <w:rPr/>
        <w:t xml:space="preserve"> Several BSOs lack strategic plans, performance management systems and ways to assess and report the impact of their services to members and funders (PSDP survey). Without these, BSOs cannot show which services move MSMEs towards finance.</w:t>
      </w:r>
    </w:p>
    <w:p>
      <w:pPr>
        <w:pStyle w:val="Heading3"/>
        <w:rPr/>
      </w:pPr>
      <w:r>
        <w:rPr/>
        <w:t>Institution-level needs identified in the PSDP survey</w:t>
      </w:r>
    </w:p>
    <w:p>
      <w:pPr>
        <w:pStyle w:val="Normal"/>
        <w:jc w:val="both"/>
        <w:rPr/>
      </w:pPr>
      <w:r>
        <w:rPr/>
        <w:t>The PSDP survey set out prioritised capacity-building needs for ten Botswana institutions that support SMMEs, including LEA, CEDA and HATAB, which are profiled in Section 7.3. Several institutions have since been renamed or merged: BOCCIM is now Business Botswana, BEDIA was merged into the Botswana Investment and Trade Centre (BITC), and the Ministry of Trade and Industry is now the Ministry of Trade and Entrepreneurship. The needs are summarised below with their implications for R-NBT. Priorities are ranked within each institution, with 1 the highest.</w:t>
      </w:r>
    </w:p>
    <w:p>
      <w:pPr>
        <w:pStyle w:val="Normal"/>
        <w:keepNext w:val="true"/>
        <w:spacing w:before="160" w:after="80"/>
        <w:rPr/>
      </w:pPr>
      <w:r>
        <w:rPr>
          <w:b/>
          <w:bCs/>
          <w:color w:val="1F5135"/>
          <w:sz w:val="20"/>
          <w:szCs w:val="20"/>
        </w:rPr>
        <w:t xml:space="preserve">Table 9: </w:t>
      </w:r>
      <w:r>
        <w:rPr>
          <w:i/>
          <w:iCs/>
          <w:sz w:val="20"/>
          <w:szCs w:val="20"/>
        </w:rPr>
        <w:t>Prioritised capacity-building needs of SMME support institutions in Botswana (PSDP survey) and their implications for R-NBT</w:t>
      </w:r>
    </w:p>
    <w:tbl>
      <w:tblPr>
        <w:tblW w:w="9026" w:type="dxa"/>
        <w:jc w:val="left"/>
        <w:tblInd w:w="0" w:type="dxa"/>
        <w:tblLayout w:type="fixed"/>
        <w:tblCellMar>
          <w:top w:w="60" w:type="dxa"/>
          <w:left w:w="100" w:type="dxa"/>
          <w:bottom w:w="60" w:type="dxa"/>
          <w:right w:w="100" w:type="dxa"/>
        </w:tblCellMar>
      </w:tblPr>
      <w:tblGrid>
        <w:gridCol w:w="1698"/>
        <w:gridCol w:w="4300"/>
        <w:gridCol w:w="3028"/>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Institution and role</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Capacity-building needs (priority)</w:t>
            </w:r>
          </w:p>
        </w:tc>
        <w:tc>
          <w:tcPr>
            <w:tcW w:w="3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Implication for KAZA R-NBT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 (now Business Botswana): apex private-sector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Capacity to implement the Private Sector Development Strategy (1); sector desks that deal directly with sectors and strengthen priority sectors (1); capacity of the Women in Business Association under BOCCIM to represent its members effectively (1); capacity to act as the apex body for the private sector (1); coaching of staff in research and economic policy analysis on internal and international trade, project management, sector coordination and SMME development (2); a mechanism to assess and report the impact of services to members, with staff trained to use it (2); training of members to engage government and development partners on technical issues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or KAZA sector desk could carry MSME supplier issues into public-private dialogue. Strengthening WIBA is a direct route to women-led MSMEs. Impact reporting would support tier tracking (Section 10.1)</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 exporters' and manufacturers'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 to build a trade and export database (1); secondment of retired experts to work on specialist projects (2); lobbying and negotiation to reduce the cost of manufacturing and exporting (3); marketing of its services to exporters and manufacturers who are not members (4); an agreement with BOCCIM to transfer exporter and manufacturer members to BEMA, sharing subscription fees (5)</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and market data for lodge-linked goods, crafts and nature-positive products. Retired-expert secondments are a low-cost mentoring model</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hospitality and tourism industry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strategic plan to deal with its human and financial constraints (1); a performance management system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is the association closest to anchor lodges, but its own capacity limits its ability to run supplier development; organisational strengthening should come first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 (BOTA): training regulator</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do more for community-based organisations within its budget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affordable training for community trusts and CBO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(NDB): development finance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memorandum of understanding with LEA and CDE to strengthen the capacity of its SMME clients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 early model of the BSO-financier referral agreements recommended in Section 10.5</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Ministry of Trade and Industry (MTI): policy lead</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manage the Private Sector Development Strategy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Policy coordination of MSME support, including tourism supplier development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 (BOBS): standards and testing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Strategic alliances with already decentralised organisations so that its services reach the rest of the country without opening offices countrywide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testing and certification for suppliers in Kasane and Maun through LEA or other decentralised partners. The survey also noted delays and high costs in quality and standards testing</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 (BNPC): productivity services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 xml:space="preserve">Synergies between the Private Sector Development Strategy and the Economic Diversification Drive in building private-sector capacity (1); renewal in the face of dwindling government funding so that it can keep supporting SMMEs (2); extension of the BNPC-Japanese productivity programme, which carries out </w:t>
            </w:r>
            <w:r>
              <w:rPr>
                <w:i/>
                <w:iCs/>
                <w:sz w:val="18"/>
                <w:szCs w:val="18"/>
              </w:rPr>
              <w:t>kaizen</w:t>
            </w:r>
            <w:r>
              <w:rPr>
                <w:sz w:val="18"/>
                <w:szCs w:val="18"/>
              </w:rPr>
              <w:t xml:space="preserve"> and other productivity interventions at company level, to selected SMMEs (3)</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Company-level productivity and quality coaching for lodge suppliers and tourism service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citizen enterprise finance with mentoring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negotiate and deepen its relationship with LEA for the benefit of their shared SMME clients (1); coaching of CEDA's mentors in effective mentoring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Addresses the gap noted above that mentoring tends to follow a loan rather than prepare an MSME for one; an LEA-CEDA pipeline would link BDS to finance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lead public BSO for SMMEs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pilot project with CDE on the accreditation (training certification) of its services (1); building the capacity of LEA consultants accredited by BOTA and BOBS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supplier-development advisers for the KAZA hubs. LEA is the lead BSO proposed for Botswana (Section 10.5)</w:t>
            </w:r>
          </w:p>
        </w:tc>
      </w:tr>
    </w:tbl>
    <w:p>
      <w:pPr>
        <w:pStyle w:val="Normal"/>
        <w:spacing w:before="0" w:after="120"/>
        <w:rPr/>
      </w:pPr>
      <w:r>
        <w:rPr/>
      </w:r>
    </w:p>
    <w:p>
      <w:pPr>
        <w:pStyle w:val="Normal"/>
        <w:jc w:val="both"/>
        <w:rPr/>
      </w:pPr>
      <w:r>
        <w:rPr/>
        <w:t xml:space="preserve">The survey also identified </w:t>
      </w:r>
      <w:r>
        <w:rPr>
          <w:b/>
          <w:bCs/>
        </w:rPr>
        <w:t>cross-cutting needs</w:t>
      </w:r>
      <w:r>
        <w:rPr/>
        <w:t xml:space="preserve"> for all SMME support institutions: training in effective dissemination of information to SMMEs; web-based performance monitoring systems for all support institutions; and, in a joint concept paper by CDE, BOCCIM, BEMA and BEDIA, trade information, trade finance, quality management, trade promotion and national branding, enterprise development, export packaging and institutional strengthening (PSDP survey). These needs apply equally to the BSOs in the other four KAZA states. The PSDP design also valued the participation of CEDA, BEDIA and LEA because their programmes cover the whole country and the whole private sector (PSDP survey, Section 11), which supports this assessment's recommendation to work through existing BSOs with national reach rather than create new ones.</w:t>
      </w:r>
    </w:p>
    <w:p>
      <w:pPr>
        <w:pStyle w:val="Heading3"/>
        <w:rPr/>
      </w:pPr>
      <w:r>
        <w:rPr/>
        <w:t>Roles of BSOs in building investment readiness</w:t>
      </w:r>
    </w:p>
    <w:p>
      <w:pPr>
        <w:pStyle w:val="Normal"/>
        <w:jc w:val="both"/>
        <w:rPr/>
      </w:pPr>
      <w:r>
        <w:rPr/>
        <w:t>The PSDP design grouped Botswana's trade support network by function: market promotion and access; quality control, standards and production; trade policy research; technology transfer; financing; and entrepreneurial development (PSDP survey, Section 10). Applied to the readiness pathway in this assessment, BSOs have ten distinct roles. No single BSO can play all of them, so each country needs a lead BSO that coordinates the others and refers MSMEs between them (Section 10.5).</w:t>
      </w:r>
    </w:p>
    <w:p>
      <w:pPr>
        <w:pStyle w:val="Normal"/>
        <w:keepNext w:val="true"/>
        <w:spacing w:before="160" w:after="80"/>
        <w:rPr/>
      </w:pPr>
      <w:r>
        <w:rPr>
          <w:b/>
          <w:bCs/>
          <w:color w:val="1F5135"/>
          <w:sz w:val="20"/>
          <w:szCs w:val="20"/>
        </w:rPr>
        <w:t xml:space="preserve">Table 10: </w:t>
      </w:r>
      <w:r>
        <w:rPr>
          <w:i/>
          <w:iCs/>
          <w:sz w:val="20"/>
          <w:szCs w:val="20"/>
        </w:rPr>
        <w:t>Roles of BSOs in building MSME investment readiness</w:t>
      </w:r>
    </w:p>
    <w:tbl>
      <w:tblPr>
        <w:tblW w:w="9026" w:type="dxa"/>
        <w:jc w:val="left"/>
        <w:tblInd w:w="0" w:type="dxa"/>
        <w:tblLayout w:type="fixed"/>
        <w:tblCellMar>
          <w:top w:w="60" w:type="dxa"/>
          <w:left w:w="100" w:type="dxa"/>
          <w:bottom w:w="60" w:type="dxa"/>
          <w:right w:w="100" w:type="dxa"/>
        </w:tblCellMar>
      </w:tblPr>
      <w:tblGrid>
        <w:gridCol w:w="1798"/>
        <w:gridCol w:w="3102"/>
        <w:gridCol w:w="3025"/>
        <w:gridCol w:w="1100"/>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Role</w:t>
            </w:r>
          </w:p>
        </w:tc>
        <w:tc>
          <w:tcPr>
            <w:tcW w:w="3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it involves</w:t>
            </w:r>
          </w:p>
        </w:tc>
        <w:tc>
          <w:tcPr>
            <w:tcW w:w="3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BSOs best placed (examples)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Diagnosis and tracking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Applying a common readiness diagnostic, placing MSMEs in a tier and tracking their progress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INAPEM, LEA, NIPDB, ZDA, SMEDCO</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skills and on-the-job training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budgeting, costing and pricing, operations, productivity and quality, delivered on site as well as in workshops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training institutions; productivity centres such as BNPC; CBNRM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Accompanying MSMEs after training on quality, competitiveness, partnerships and growth</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and LEA mentors; retired-expert schemes;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quality and certification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Testing, product certification, food safety and tourism grading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bureaux such as BOBS; BTO, NTB and ZTA for grading</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support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Taking MSMEs through registration, tax clearance and licensing when a contract requires it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 BIPA, ZIDA, BUE; INAPEM certification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 and supplier development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supplier expos, product development to buyer specifications, export promotion and market information</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programmes such as Wilderness-LEA; ZimTrade; ZDA; NIPDB; exporters' associations such as BEMA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readiness and brokerage</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proposals and loan packaging; referral to lenders; post-finance monitoring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LEA-CEDA, ZDA-CEEC, SMEDCO and its Zimbabwe Stock Exchange partnership, NIPDB High Potential Pool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Representation and advocacy</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Raising MSME issues with government and anchor buyers, such as payment terms, unfair practices and the cost of compliance</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Chambers and apex bodies such as Business Botswana; HATAB, TBCZ, TCZ, FENATA; WIBA; NACSO; CAMPFIRE Association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coordination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Publishing which BSO offers which service; referral between BSOs; monitoring and reporting impact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and apex bodies; the KAZA Secretariat at regional level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and youth inclusion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and youth programmes, women's leadership in associations and cooperatives, disaggregated client data</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 youth and women's finance institutions; the UNDP youth MSME programme in Zambia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bl>
    <w:p>
      <w:pPr>
        <w:pStyle w:val="Normal"/>
        <w:spacing w:before="0" w:after="120"/>
        <w:rPr/>
      </w:pPr>
      <w:r>
        <w:rPr/>
      </w:r>
    </w:p>
    <w:p>
      <w:pPr>
        <w:pStyle w:val="Heading2"/>
        <w:rPr/>
      </w:pPr>
      <w:bookmarkStart w:id="25" w:name="__RefHeading___Toc4551_386185362"/>
      <w:bookmarkEnd w:id="25"/>
      <w:r>
        <w:rPr/>
        <w:t>6.3 Financial Institutions</w:t>
      </w:r>
    </w:p>
    <w:p>
      <w:pPr>
        <w:pStyle w:val="ListParagraph"/>
        <w:numPr>
          <w:ilvl w:val="0"/>
          <w:numId w:val="63"/>
        </w:numPr>
        <w:rPr/>
      </w:pPr>
      <w:r>
        <w:rPr>
          <w:b/>
          <w:bCs/>
        </w:rPr>
        <w:t>Seasonal cash-flow lending:</w:t>
      </w:r>
      <w:r>
        <w:rPr/>
        <w:t xml:space="preserve"> structuring repayment around tourism and agricultural seasons rather than monthly amortisation.</w:t>
      </w:r>
    </w:p>
    <w:p>
      <w:pPr>
        <w:pStyle w:val="ListParagraph"/>
        <w:numPr>
          <w:ilvl w:val="0"/>
          <w:numId w:val="64"/>
        </w:numPr>
        <w:rPr/>
      </w:pPr>
      <w:r>
        <w:rPr>
          <w:b/>
          <w:bCs/>
        </w:rPr>
        <w:t>Sector knowledge:</w:t>
      </w:r>
      <w:r>
        <w:rPr/>
        <w:t xml:space="preserve"> understanding R-NBT business models, anchor-buyer contracts, concessions and JV arrangements.</w:t>
      </w:r>
    </w:p>
    <w:p>
      <w:pPr>
        <w:pStyle w:val="ListParagraph"/>
        <w:numPr>
          <w:ilvl w:val="0"/>
          <w:numId w:val="65"/>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6"/>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7"/>
        </w:numPr>
        <w:rPr/>
      </w:pPr>
      <w:r>
        <w:rPr>
          <w:b/>
          <w:bCs/>
        </w:rPr>
        <w:t>Guarantee use:</w:t>
      </w:r>
      <w:r>
        <w:rPr/>
        <w:t xml:space="preserve"> many banks under-use existing credit guarantee schemes; staff need to understand when and how to use them.</w:t>
      </w:r>
    </w:p>
    <w:p>
      <w:pPr>
        <w:pStyle w:val="ListParagraph"/>
        <w:numPr>
          <w:ilvl w:val="0"/>
          <w:numId w:val="68"/>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9"/>
        </w:numPr>
        <w:rPr/>
      </w:pPr>
      <w:r>
        <w:rPr>
          <w:b/>
          <w:bCs/>
        </w:rPr>
        <w:t>Regenerative screening:</w:t>
      </w:r>
      <w:r>
        <w:rPr/>
        <w:t xml:space="preserve"> applying simple environmental and social criteria consistent with a KAZA R-NBT eligibility framework.</w:t>
      </w:r>
    </w:p>
    <w:p>
      <w:pPr>
        <w:pStyle w:val="Normal"/>
        <w:keepNext w:val="true"/>
        <w:spacing w:before="160" w:after="80"/>
        <w:rPr/>
      </w:pPr>
      <w:r>
        <w:rPr>
          <w:b/>
          <w:bCs/>
          <w:color w:val="1F5135"/>
          <w:sz w:val="20"/>
          <w:szCs w:val="20"/>
        </w:rPr>
        <w:t xml:space="preserve">Table 11: </w:t>
      </w:r>
      <w:r>
        <w:rPr>
          <w:i/>
          <w:iCs/>
          <w:sz w:val="20"/>
          <w:szCs w:val="20"/>
        </w:rPr>
        <w:t>Summary of capacity gaps by actor and priority</w:t>
      </w:r>
    </w:p>
    <w:tbl>
      <w:tblPr>
        <w:tblW w:w="9026" w:type="dxa"/>
        <w:jc w:val="left"/>
        <w:tblInd w:w="0" w:type="dxa"/>
        <w:tblLayout w:type="fixed"/>
        <w:tblCellMar>
          <w:top w:w="60" w:type="dxa"/>
          <w:left w:w="100" w:type="dxa"/>
          <w:bottom w:w="60" w:type="dxa"/>
          <w:right w:w="100" w:type="dxa"/>
        </w:tblCellMar>
      </w:tblPr>
      <w:tblGrid>
        <w:gridCol w:w="1899"/>
        <w:gridCol w:w="3626"/>
        <w:gridCol w:w="1301"/>
        <w:gridCol w:w="2199"/>
      </w:tblGrid>
      <w:tr>
        <w:trPr>
          <w:tblHeader w:val="true"/>
        </w:trPr>
        <w:tc>
          <w:tcPr>
            <w:tcW w:w="18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Actor</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1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Chains most affected</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(producers, node A)</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quality, basic records, savings discipline</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crafts, nature-positive</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(suppliers and services, nodes C-D)</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quality assurance and standards, compliance, contracting and negotiation, cash-flow planning, investment readiness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food, transport, guiding</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(nodes B, 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certification, leadership including women and youth</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crafts, accommodation</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Sector-specific supplier development; readiness diagnostic; finance brokerage; KAZA outreach; standards and productivity services outside capitals; coordination and information on services; strategic planning, performance and impact monitoring; mentor accreditation; gender and youth methods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institutions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structuring; alternative collateral; guarantee use; gender-disaggregated data</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 especially supply chains</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Supplier-development commitment; payment terms that support MSME cash flow; contract templates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lodge-linked goods, transport</w:t>
            </w:r>
          </w:p>
        </w:tc>
      </w:tr>
    </w:tbl>
    <w:p>
      <w:pPr>
        <w:pStyle w:val="Normal"/>
        <w:spacing w:before="0" w:after="120"/>
        <w:rPr/>
      </w:pPr>
      <w:r>
        <w:rPr/>
      </w:r>
    </w:p>
    <w:p>
      <w:pPr>
        <w:pStyle w:val="Heading2"/>
        <w:rPr/>
      </w:pPr>
      <w:bookmarkStart w:id="26" w:name="__RefHeading___Toc4553_386185362"/>
      <w:bookmarkEnd w:id="26"/>
      <w:r>
        <w:rPr/>
        <w:t>6.4 Tourism MSME Needs, Interventions and Support BSOs by Country</w:t>
      </w:r>
    </w:p>
    <w:p>
      <w:pPr>
        <w:pStyle w:val="Normal"/>
        <w:jc w:val="both"/>
        <w:rPr/>
      </w:pPr>
      <w:r>
        <w:rPr/>
        <w:t>The needs above apply across KAZA, but their weight, the interventions that fit and the BSOs able to deliver them differ by Partner State. This section applies them to tourism MSMEs in the KAZA area of each country: enterprises that sell to tourists directly (guiding, activities, transfers, accommodation, crafts) and those that supply lodges and operators (food, lodge-linked goods, services, nature-positive products). For each country it sets out the main needs, the recommended intervention and its delivery mode (using the PSDP survey's types: technical assistance, mentoring and coaching, on-the-job training, workshops and benchmarking visits), the support BSOs, with the proposed lead BSO first (Section 10.5), and a priority rating.</w:t>
      </w:r>
    </w:p>
    <w:p>
      <w:pPr>
        <w:pStyle w:val="Normal"/>
        <w:jc w:val="both"/>
        <w:rPr/>
      </w:pPr>
      <w:r>
        <w:rPr/>
        <w:t>The ratings are the author's assessment from the evidence in Chapters 2 to 5 and 7 and the Financial Landscape Analysis. Evidence is uneven: Botswana, Zimbabwe and Zambia are better covered than Namibia (7 of 71 survey responses) and Angola (no survey responses) (MD p. 10, 109), so the Namibian and Angolan tables in particular should be tested at the national validation workshops.</w:t>
      </w:r>
    </w:p>
    <w:p>
      <w:pPr>
        <w:pStyle w:val="Heading3"/>
        <w:rPr/>
      </w:pPr>
      <w:r>
        <w:rPr/>
        <w:t>Angola: Cuando and Cubango</w:t>
      </w:r>
    </w:p>
    <w:p>
      <w:pPr>
        <w:pStyle w:val="Normal"/>
        <w:jc w:val="both"/>
        <w:rPr/>
      </w:pPr>
      <w:r>
        <w:rPr/>
        <w:t>Tourism in Angola's KAZA component is nascent. Existing tourism MSMEs are guesthouses, restaurants and transport businesses in Menongue and Cuito Cuanavale, with emerging interest in river expeditions, birding, fishing and cultural and heritage tourism (Financial Landscape Analysis). Access is limited by poor roads, landmine contamination and sparse services, and bookings, guiding and logistics for Angola's flagship Luiana camp currently accrue in Namibia (MD p. 25, 118-119). Most enterprises are in Tiers 0 and 1. Banks ask for INAPEM certification before they lend (AllAfrica, 2026), and foreign shareholding in road passenger transport is capped at 49% (MD p. 26). The approach therefore has to be readiness first.</w:t>
      </w:r>
    </w:p>
    <w:p>
      <w:pPr>
        <w:pStyle w:val="Normal"/>
        <w:keepNext w:val="true"/>
        <w:spacing w:before="160" w:after="80"/>
        <w:rPr/>
      </w:pPr>
      <w:r>
        <w:rPr>
          <w:b/>
          <w:bCs/>
          <w:color w:val="1F5135"/>
          <w:sz w:val="20"/>
          <w:szCs w:val="20"/>
        </w:rPr>
        <w:t xml:space="preserve">Table 12: </w:t>
      </w:r>
      <w:r>
        <w:rPr>
          <w:i/>
          <w:iCs/>
          <w:sz w:val="20"/>
          <w:szCs w:val="20"/>
        </w:rPr>
        <w:t>Angola: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and certification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INAPEM certification (needed for bank finance and tax benefits) and MINTUR licensing and classification of guesthouses and restaurants, none of which is easy to obtain from Menongue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and certification clinics in Menongue and Cuito Cuanavale, with follow-up to completion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and Guiché Único; MINTUR; provincial governments of Cuando and Cubango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Basic business and financial management</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separating business and household money, costing and pricing, managing a seasonal income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module in INAPEM's incubator network delivered in the province, with on-site coaching (on-the-job training,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and the Envolver+ incubator network; Universidade Cuito Cuanavale</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expedition and logistics skills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Angolan guides, boat operators and logistics providers able to serve Luiana and the river systems, so that this business is no longer captured in Namibia</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and boat-operator training and certification; apprenticeships with operators on the Namibian side and with expedition partners (on-the-job training, benchmarking visits)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Universidade Cuito Cuanavale; National Geographic Okavango Wilderness Project; Namibian operators and training institutions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service standards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 hygiene and food-safety standards in guesthouses and restaurants that meet classification and visitor expectations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service training in the workplace, linked to MINTUR classification (on-the-job training, coaching)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hospitality associations (AHORESIA); Universidade Cuito Cuanavale</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and market linkage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Turning birding, fishing, river, cultural and heritage experiences into bookable products and linking them to operators and DMCs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support and familiarisation trips with operators; learning visits to Namibian and Botswana destinations (technical assistance, benchmarking visits)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provincial governments; conservation NGOs; AIPEX for investor partners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benefit-sharing for community associations and cooperatives that want to host or supply tourism</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support, with small grants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ACADIR and local NGOs; The HALO Trust (local employment and access); traditional authorities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for FGC-guaranteed loans and micro-loans; savings-group linkage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Business-plan support once enterprises are certified and trading; links to KixiCrédito and FGC windows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KixiCrédito and Banco Sol; FGC</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(after readiness)</w:t>
            </w:r>
          </w:p>
        </w:tc>
      </w:tr>
    </w:tbl>
    <w:p>
      <w:pPr>
        <w:pStyle w:val="Normal"/>
        <w:spacing w:before="0" w:after="120"/>
        <w:rPr/>
      </w:pPr>
      <w:r>
        <w:rPr/>
      </w:r>
    </w:p>
    <w:p>
      <w:pPr>
        <w:pStyle w:val="Normal"/>
        <w:jc w:val="both"/>
        <w:rPr/>
      </w:pPr>
      <w:r>
        <w:rPr>
          <w:b/>
          <w:bCs/>
        </w:rPr>
        <w:t>Support BSO gaps in Angola.</w:t>
      </w:r>
      <w:r>
        <w:rPr/>
        <w:t xml:space="preserve"> No tourism-specific BDS was identified in the KAZA area, INAPEM's decentralised incubation started in Huíla rather than Cuando Cubango, and the hospitality associations are Luanda-based (Section 7.3). The first need is a BSO presence in Menongue: an INAPEM desk or incubator node with a tourism module, working with MINTUR and the provincial governments.</w:t>
      </w:r>
    </w:p>
    <w:p>
      <w:pPr>
        <w:pStyle w:val="Heading3"/>
        <w:rPr/>
      </w:pPr>
      <w:r>
        <w:rPr/>
        <w:t>Botswana: Chobe District and Ngamiland</w:t>
      </w:r>
    </w:p>
    <w:p>
      <w:pPr>
        <w:pStyle w:val="Normal"/>
        <w:jc w:val="both"/>
        <w:rPr/>
      </w:pPr>
      <w:r>
        <w:rPr/>
        <w:t>Botswana's KAZA component centres on Kasane and Maun, with high-value, low-volume tourism in the Okavango Delta, Chobe, Linyanti and Makgadikgadi. It has the strongest anchor-led procurement evidence in KAZA. Wilderness buys more than 80% of its supplies by value from Botswana-based suppliers, its supplier expo generated more than BWP 6.2 million of new contracts for citizen-owned businesses in its first year, and its suppliers can borrow from Stanbic Bank against their contracts (Section 7.2). Guesthouses and touristic transfer companies are reserved for citizens, which makes them MSME space that depends on domestic capital and lodge contracts (MD p. 32-34). Camp construction materials still come largely through South African intermediaries (MD p. 68), and a Maun craft hub connecting more than 100 artisans has export certifications but no committed international buyers (MD p. 69). Most tourism MSMEs are in Tiers 1 and 2. The PSDP survey (Section 6.1) is Botswana evidence and applies directly.</w:t>
      </w:r>
    </w:p>
    <w:p>
      <w:pPr>
        <w:pStyle w:val="Normal"/>
        <w:keepNext w:val="true"/>
        <w:spacing w:before="160" w:after="80"/>
        <w:rPr/>
      </w:pPr>
      <w:r>
        <w:rPr>
          <w:b/>
          <w:bCs/>
          <w:color w:val="1F5135"/>
          <w:sz w:val="20"/>
          <w:szCs w:val="20"/>
        </w:rPr>
        <w:t xml:space="preserve">Table 13: </w:t>
      </w:r>
      <w:r>
        <w:rPr>
          <w:i/>
          <w:iCs/>
          <w:sz w:val="20"/>
          <w:szCs w:val="20"/>
        </w:rPr>
        <w:t>Botswana: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for anchor camps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Meeting camp requirements for food, dry goods, beverages, building materials, laundry, maintenance and transfers in Kasane and Maun, and replacing South African intermediaries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tied to named anchors' procurement plans, with supplier expos and nominated suppliers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Wilderness and other anchor operators; HATAB; WIBA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contract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Loan packaging, using contracts as security, credit discipline after a loan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on the Wilderness-Stanbic model; LEA-CEDA referral pipeline; coaching of CEDA mentors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Stanbic Bank Botswana and other banks; YDF for young entrepreneurs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Quality, standards and grading</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testing and certification for food and goods suppliers; grading for citizen guesthouses; affordable testing outside Gaborone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and grading services delivered in Kasane and Maun through LEA; quality-assurance coaching (mentoring and coaching)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BOBS; BTO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Moving from generic curios to differentiated, market-led products; finding committed buyers; export packaging and branding</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with lodge shops and buyers; buyer brokerage and curated retail; export packaging and branding workshops (technical assistance,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craft hubs; WIBA; BITC for export buyers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mokoro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for small activity operators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and refresher training; lease-to-own equipment; digital listing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Botswana Guides Association; mokoro polers' trusts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management and productivity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Costing against imports, budgeting, seasonal cash-flow planning, workplace productivity</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On-site productivity and quality coaching for suppliers, including BNPC company-level methods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BNPC</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enterprises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and enterprise development in community trusts, such as the Eastern Panhandle's conservation-compatible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certification and equipment grants for nature-positive products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BOCOBONET; CBNRM NGOs; BTO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Voice and payment terms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Raising payment terms, procurement access and the cost of compliance with anchors and government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desk in the apex business body; supplier representation in HATAB dialogue with members (technical assistance to associations)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Botswana; HATAB; WIBA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r>
    </w:tbl>
    <w:p>
      <w:pPr>
        <w:pStyle w:val="Normal"/>
        <w:spacing w:before="0" w:after="120"/>
        <w:rPr/>
      </w:pPr>
      <w:r>
        <w:rPr/>
      </w:r>
    </w:p>
    <w:p>
      <w:pPr>
        <w:pStyle w:val="Normal"/>
        <w:jc w:val="both"/>
        <w:rPr/>
      </w:pPr>
      <w:r>
        <w:rPr>
          <w:b/>
          <w:bCs/>
        </w:rPr>
        <w:t>Support BSO gaps in Botswana.</w:t>
      </w:r>
      <w:r>
        <w:rPr/>
        <w:t xml:space="preserve"> LEA is the natural lead, but needs tourism supplier-development staff in Kasane and Maun and accredited consultants. HATAB needs the strategic plan and performance system the PSDP survey identified before it can host supplier development. BOBS and BNPC need delivery partners in the KAZA hubs, and LEA and CEDA need a working referral agreement (Section 6.2).</w:t>
      </w:r>
    </w:p>
    <w:p>
      <w:pPr>
        <w:pStyle w:val="Heading3"/>
        <w:rPr/>
      </w:pPr>
      <w:r>
        <w:rPr/>
        <w:t>Namibia: Zambezi and Kavango East</w:t>
      </w:r>
    </w:p>
    <w:p>
      <w:pPr>
        <w:pStyle w:val="Normal"/>
        <w:jc w:val="both"/>
        <w:rPr/>
      </w:pPr>
      <w:r>
        <w:rPr/>
        <w:t>Namibia's KAZA component spans the Zambezi Region and Kavango East, with Katima Mulilo, Rundu, Divundu and Kongola as hubs and a dense network of conservancies. The gaps are clearest in lodge-linked goods: about 80% of lodge design and décor items in the Kavango and Zambezi regions are imported because local suppliers cannot match imports on consistency, quality, scale and price (MD p. 70, 128). Community SMMEs capture little value: craft, soap and oil, textile, village-tour and taxi enterprises together earn under 1% of conservancy returns, against 59.7% from joint-venture lodges (MD p. 37, 40). Company registration is slow (Section 7.1), and the end of visa-free travel for 31 countries in April 2025 has shifted demand (Section 7.2). Gondwana's sourcing at its Etosha lodge shows that local suppliers can meet lodge specifications when sourcing is designed in from the start (Section 7.2).</w:t>
      </w:r>
    </w:p>
    <w:p>
      <w:pPr>
        <w:pStyle w:val="Normal"/>
        <w:keepNext w:val="true"/>
        <w:spacing w:before="160" w:after="80"/>
        <w:rPr/>
      </w:pPr>
      <w:r>
        <w:rPr>
          <w:b/>
          <w:bCs/>
          <w:color w:val="1F5135"/>
          <w:sz w:val="20"/>
          <w:szCs w:val="20"/>
        </w:rPr>
        <w:t xml:space="preserve">Table 14: </w:t>
      </w:r>
      <w:r>
        <w:rPr>
          <w:i/>
          <w:iCs/>
          <w:sz w:val="20"/>
          <w:szCs w:val="20"/>
        </w:rPr>
        <w:t>Namibia: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to specification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Décor, furnishings, building materials and gifts that match imports on consistency, quality, scale and price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product specifications agreed in advance; tooling finance (mentoring and coaching,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NCCI Zambezi and Kavango branches; Kavango river lodges and other operators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From conservancy benefit to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Turning conservancy crafts, soap and oil, textiles, village tours and taxis into commercial enterprises that sell to lodges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enterprise-to-supplier pathway: governance, business skills and buyer links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and NNF; conservancies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Completing company registration despite delays at BIPA, and staying compliant to avoid de-registration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help at the point of need, through NCCI regional branches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regional branches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diversification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Finding several buyers and regional and domestic markets as international demand shifts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inclusion in DMC itineraries; multi-lodge supply; marketing support (technical assistance,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 FENATA, HAN and TASA; DMCs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and governance in honey, beekeeping and forest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and equipment grants; producer-group support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NNF; IRDNC; EIF and CCFN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skills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hospitality and enterprise management skills in the regions; NTB registration and grading</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Skills-to-enterprise tracks in guiding and hospitality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Training Authority; UNAM Katima Mulilo campus; NUST hospitality school; NTB</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Pitches, business plans and grant and loan applications for youth- and women-owned businesses and cooperatives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Pitch coaching and investment readiness support linked to the SME fund, the High Potential Pool, DBN and the CGS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DBN; CGS partner banks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Viable business models and service contracts for community recycling and cleaning enterprises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 councils; lodge operators; NGOs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Namibia.</w:t>
      </w:r>
      <w:r>
        <w:rPr/>
        <w:t xml:space="preserve"> NIPDB's programmes are national and not tourism-specific, so a KAZA supplier-development service has to be built with the conservancy support organisations and lodge operators (Section 7.3). The chamber's regional branches are the most practical local delivery point, but need advisers trained in tourism supply and registration support.</w:t>
      </w:r>
    </w:p>
    <w:p>
      <w:pPr>
        <w:pStyle w:val="Heading3"/>
        <w:rPr/>
      </w:pPr>
      <w:r>
        <w:rPr/>
        <w:t>Zambia: Livingstone and the southern KAZA area</w:t>
      </w:r>
    </w:p>
    <w:p>
      <w:pPr>
        <w:pStyle w:val="Normal"/>
        <w:jc w:val="both"/>
        <w:rPr/>
      </w:pPr>
      <w:r>
        <w:rPr/>
        <w:t>Zambia's KAZA tourism MSMEs are concentrated in Livingstone and along the Victoria Falls-Kazungula corridor, with community enterprise around Simalaha and Sioma Ngwezi. Linkages with hotels are better documented here than in most destinations: a Livingstone hotel buys produce directly from smallholders, and a women's mushroom farm sells most of its produce to hotels under long-term contracts (Section 7.2). A women's forest-products cooperative sells mungongo oil and baobab coffee to Livingstone hotels and export buyers but cannot finance a ZMW 30,000 certification quote (MD p. 73). Licensing is the main regulatory burden, and omnibus licensing for accommodation is under discussion (Section 7.1). Women lead more than 60% of Zambia's MSMEs (AFI), and youth BDS is emerging through UNDP's youth-led MSME programme in Livingstone (Section 7.3).</w:t>
      </w:r>
    </w:p>
    <w:p>
      <w:pPr>
        <w:pStyle w:val="Normal"/>
        <w:keepNext w:val="true"/>
        <w:spacing w:before="160" w:after="80"/>
        <w:rPr/>
      </w:pPr>
      <w:r>
        <w:rPr>
          <w:b/>
          <w:bCs/>
          <w:color w:val="1F5135"/>
          <w:sz w:val="20"/>
          <w:szCs w:val="20"/>
        </w:rPr>
        <w:t xml:space="preserve">Table 15: </w:t>
      </w:r>
      <w:r>
        <w:rPr>
          <w:i/>
          <w:iCs/>
          <w:sz w:val="20"/>
          <w:szCs w:val="20"/>
        </w:rPr>
        <w:t>Zambia: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Smallholder aggregation and hotel supply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Moving smallholders from individual spot sales to organised, consistent supply under agreements with Livingstone hotels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supply agreements; post-harvest and quality coaching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Livingstone Tourism Association; hotels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and export readiness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certification, quality assurance and export compliance for nature-positive products such as forest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quality-assurance coaching; COMESA and regional market linkage (mentoring and coaching,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Peace Parks Foundation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enterprise in tourism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transfers, digital marketing and services enterprises for young people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incubation building on the UNDP youth programme; apprenticeships with operators (on-the-job training,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UNDP and BongoHive; Hotel and Tourism Training Institute; Livingstone tourism university</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Licensing and compliance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Obtaining and renewing the several licences tourism MSMEs need; road service licence rules for transport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Licensing help at the point of need; advocacy for omnibus licensing (technical assistance, advocacy)</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 Ministry of Tourism; ZDA; TCZ and ZCSMBA for advocacy</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service quality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 shared bottleneck in the corridor, and hospitality service standards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and workplace hospitality training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Hotel and Tourism Training Institute; Livingstone tourism university; tour operator and safari associations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enterprise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and digital payment trails that lenders recognise; access to finance for women-led enterprises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training; links to women's finance windows and the ZCGS (workshops,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 ZCSMBA; partner banks and MFIs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seasonal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and loan applications; repayment matched to the tourism season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coaching; seasonal terms in CEEC products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 ZDA; ZCGS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enterprise development in community conservancy areas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support and enterprise grants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Peace Parks Foundation; traditional authorities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small trade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Using the COMESA Simplified Trade Regime to supply across the Zambia-Zimbabwe border, especially for women traders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Awareness and documentation support at Victoria Falls and Kazungula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ZCSMBA; women traders' groups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Zambia.</w:t>
      </w:r>
      <w:r>
        <w:rPr/>
        <w:t xml:space="preserve"> The ZDA-CEEC agreement combines BDS with finance, but is national rather than tourism-specific, and CEEC products are not yet designed around the tourism season. Tourism associations in Livingstone represent operators but rarely provide supplier development (Section 7.3). A Livingstone-based supplier-development service, run by ZDA and CEEC with the Livingstone Tourism Association, would close this gap.</w:t>
      </w:r>
    </w:p>
    <w:p>
      <w:pPr>
        <w:pStyle w:val="Heading3"/>
        <w:rPr/>
      </w:pPr>
      <w:r>
        <w:rPr/>
        <w:t>Zimbabwe: Victoria Falls, Hwange and Binga</w:t>
      </w:r>
    </w:p>
    <w:p>
      <w:pPr>
        <w:pStyle w:val="Normal"/>
        <w:jc w:val="both"/>
        <w:rPr/>
      </w:pPr>
      <w:r>
        <w:rPr/>
        <w:t>Zimbabwe's KAZA tourism MSMEs are concentrated around Victoria Falls, Hwange and Binga and in the CAMPFIRE districts. Anchor demand is clear: a Hwange anchor lodge calls irrigated fruit and vegetable supply the clearest near-term opportunity because sourcing from Bulawayo brings delays and quality problems, and new suppliers need only two or three successful bookings to be listed regularly (MD p. 75). Informality carries a heavy penalty: an anchor operator reports a 30% withholding tax on payments to suppliers without tax clearance (MD p. 74). Only about one in seven MSMEs is registered (FinScope MSME Zimbabwe 2022), only 17% always keep records, and women own more than 60% of MSMEs, most of them informal (Chapters 4 and 5). Passenger transport and local arts and crafts are reserved for citizens (Section 7.1), and currency instability complicates lending (Section 7.4).</w:t>
      </w:r>
    </w:p>
    <w:p>
      <w:pPr>
        <w:pStyle w:val="Normal"/>
        <w:keepNext w:val="true"/>
        <w:spacing w:before="160" w:after="80"/>
        <w:rPr/>
      </w:pPr>
      <w:r>
        <w:rPr>
          <w:b/>
          <w:bCs/>
          <w:color w:val="1F5135"/>
          <w:sz w:val="20"/>
          <w:szCs w:val="20"/>
        </w:rPr>
        <w:t xml:space="preserve">Table 16: </w:t>
      </w:r>
      <w:r>
        <w:rPr>
          <w:i/>
          <w:iCs/>
          <w:sz w:val="20"/>
          <w:szCs w:val="20"/>
        </w:rPr>
        <w:t>Zimbabwe: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and formalisation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and tax clearance so that suppliers avoid the 30% withholding tax and can be contracted by anchors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Tax-clearance and registration support at the point of need, through the ZIDA one-stop centre and ZIMRA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ZIMRA; Victoria Falls City Council and RDCs for local licences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Irrigated produce supply to lodges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Irrigation, aggregation, consistent quality and supply agreements for Hwange and Victoria Falls lodges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supply agreements with lodges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anchor lodges; Lupane State University and agricultural extension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and financial management</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Basic records, costing and cash-flow management, including in foreign currency</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training with on-site follow-up (on-the-job training,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Ministry of Women Affairs, Community, Small and Medium Enterprises Development</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listing and marketing</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Securing the first bookings and orders that lead to regular listing; costs of marketing and trade shows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Sub-contracts and apprenticeships with anchor operators; joint marketing (mentoring,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 ZTA; ZimTrade; DMCs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standards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for small activity operators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training and certification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Professional Hunters and Guides Association; Safari Operators Association of Zimbabwe; ZTA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CAMPFIRE 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Differentiated crafts and community enterprises in CAMPFIRE districts that sell to lodges and visitors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and buyer links; governance support for community enterprises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 Association; Hwange, Binga and Tsholotsho RDCs; ZimTrade for export buyers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enterprises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records and finance for women-owned MSMEs, most of which are informal</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group-to-enterprise pathway; links to women's finance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Ministry of Women Affairs, Community, Small and Medium Enterprises Development; Zimbabwe Women's Microfinance Bank</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Loan applications, governance for growth enterprises, and managing currency risk</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support, including for ZEEX; links to ECGC-guaranteed lending and EmpowerBank for young entrepreneurs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ECGC; EmpowerBank</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small trade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Using the COMESA Simplified Trade Regime within Zimbabwe's lower limit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Awareness and documentation support at Victoria Falls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ZimTrade; ZIMRA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Zimbabwe.</w:t>
      </w:r>
      <w:r>
        <w:rPr/>
        <w:t xml:space="preserve"> SMEDCO combines lending with capacity building, but its presence in Victoria Falls and Hwange is limited, and its mentoring, like that of other lender-BSOs, tends to follow a loan (Section 6.2). The tourism associations represent operators but do not run supplier development. A supplier-development service for Victoria Falls and Hwange, run by SMEDCO with ZIDA, TBCZ and the CAMPFIRE Association, is the main gap.</w:t>
      </w:r>
    </w:p>
    <w:p>
      <w:pPr>
        <w:pStyle w:val="Heading3"/>
        <w:rPr/>
      </w:pPr>
      <w:r>
        <w:rPr/>
        <w:t>Comparison across the five countries</w:t>
      </w:r>
    </w:p>
    <w:p>
      <w:pPr>
        <w:pStyle w:val="Normal"/>
        <w:keepNext w:val="true"/>
        <w:spacing w:before="160" w:after="80"/>
        <w:rPr/>
      </w:pPr>
      <w:r>
        <w:rPr>
          <w:b/>
          <w:bCs/>
          <w:color w:val="1F5135"/>
          <w:sz w:val="20"/>
          <w:szCs w:val="20"/>
        </w:rPr>
        <w:t xml:space="preserve">Table 17: </w:t>
      </w:r>
      <w:r>
        <w:rPr>
          <w:i/>
          <w:iCs/>
          <w:sz w:val="20"/>
          <w:szCs w:val="20"/>
        </w:rPr>
        <w:t>Priority of tourism MSME capacity-building needs by country (author's assessment)</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licensing and tax clearance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financial management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and aggregation for lodges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Quality, standards, grading and certification</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skills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and marketing</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and governance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youth enterprise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Proposed lead BSO</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r>
    </w:tbl>
    <w:p>
      <w:pPr>
        <w:pStyle w:val="Normal"/>
        <w:spacing w:before="0" w:after="120"/>
        <w:rPr/>
      </w:pPr>
      <w:r>
        <w:rPr/>
      </w:r>
      <w:r>
        <w:br w:type="page"/>
      </w:r>
    </w:p>
    <w:p>
      <w:pPr>
        <w:pStyle w:val="Heading1"/>
        <w:spacing w:before="0" w:after="240"/>
        <w:rPr/>
      </w:pPr>
      <w:bookmarkStart w:id="27" w:name="__RefHeading___Toc4555_386185362"/>
      <w:bookmarkEnd w:id="27"/>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8" w:name="__RefHeading___Toc4557_386185362"/>
      <w:bookmarkEnd w:id="28"/>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keepNext w:val="true"/>
        <w:spacing w:before="160" w:after="80"/>
        <w:rPr/>
      </w:pPr>
      <w:r>
        <w:rPr>
          <w:b/>
          <w:bCs/>
          <w:color w:val="1F5135"/>
          <w:sz w:val="20"/>
          <w:szCs w:val="20"/>
        </w:rPr>
        <w:t xml:space="preserve">Table 18: </w:t>
      </w:r>
      <w:r>
        <w:rPr>
          <w:i/>
          <w:iCs/>
          <w:sz w:val="20"/>
          <w:szCs w:val="20"/>
        </w:rPr>
        <w:t>Doing Business 2020: overall and topic rankings of the five KAZA states (out of 190 economies)</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Ease of doing business: rank (score out of 100)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177 (41.3)</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 (66.2)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104 (61.4)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85 (66.9)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 (54.5)</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Starting a business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Dealing with construction permits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electricity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76</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Registering property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173</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credit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Protecting minority investors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Paying taxes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 (score 74.5)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Trading across borders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155</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Enforcing contracts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130</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Resolving insolvency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168</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127</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142</w:t>
            </w:r>
          </w:p>
        </w:tc>
      </w:tr>
    </w:tbl>
    <w:p>
      <w:pPr>
        <w:pStyle w:val="Normal"/>
        <w:spacing w:before="0" w:after="120"/>
        <w:rPr/>
      </w:pPr>
      <w:r>
        <w:rPr/>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70"/>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71"/>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72"/>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73"/>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74"/>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keepNext w:val="true"/>
        <w:spacing w:before="160" w:after="80"/>
        <w:rPr/>
      </w:pPr>
      <w:r>
        <w:rPr>
          <w:b/>
          <w:bCs/>
          <w:color w:val="1F5135"/>
          <w:sz w:val="20"/>
          <w:szCs w:val="20"/>
        </w:rPr>
        <w:t xml:space="preserve">Table 19: </w:t>
      </w:r>
      <w:r>
        <w:rPr>
          <w:i/>
          <w:iCs/>
          <w:sz w:val="20"/>
          <w:szCs w:val="20"/>
        </w:rPr>
        <w:t>Sector-specific regulatory factors affecting MSME readiness in the priority chains</w:t>
      </w:r>
    </w:p>
    <w:tbl>
      <w:tblPr>
        <w:tblW w:w="9026" w:type="dxa"/>
        <w:jc w:val="left"/>
        <w:tblInd w:w="0" w:type="dxa"/>
        <w:tblLayout w:type="fixed"/>
        <w:tblCellMar>
          <w:top w:w="60" w:type="dxa"/>
          <w:left w:w="100" w:type="dxa"/>
          <w:bottom w:w="60" w:type="dxa"/>
          <w:right w:w="100" w:type="dxa"/>
        </w:tblCellMar>
      </w:tblPr>
      <w:tblGrid>
        <w:gridCol w:w="1298"/>
        <w:gridCol w:w="4300"/>
        <w:gridCol w:w="3428"/>
      </w:tblGrid>
      <w:tr>
        <w:trPr>
          <w:tblHeader w:val="true"/>
        </w:trPr>
        <w:tc>
          <w:tcPr>
            <w:tcW w:w="1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Factor</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Effect on readiness and investment</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and general-dealer retail licences reserved for citizens; small-scale food and beverage manufacturing closed to foreign shareholding (MD p. 31). Foreign equity banned in touristic transfer companies (MD p. 32, 34). Guesthouses citizen-reserved (MD p. 34). Economic Inclusion Act 2021 promotes participation of targeted citizens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Protects MSME space and creates demand for citizen suppliers, but closes processing, distribution and transport to outside capital; growth depends on domestic finance and lodge or DMC contracting</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Road service licences require at least 25% Zambian membership and all-Zambian directors unless the applicant holds a ZDA licence (MD p. 44). Licensing burden high; omnibus licensing for accommodation under discussion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Favours local transport MSMEs; limits joint ventures with foreign partners; licensing cost falls on micro-enterprises</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Foreign shareholding capped at 49% in road passenger transport and 50% in road freight (MD p. 26). INAPEM certification requested by banks for loans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Requires local partners; thin local enterprise base in Cuando Cubango; certification is an extra step before finance</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Withholding tax of 30% on payments to suppliers without tax clearance (MD p. 74; operator-reported). Reserved sectors for citizens include passenger transport and local arts and crafts; SI 215 of 2025 tightened rules on foreign participation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Strong penalty on informality; makes tax clearance a precondition for supplying anchors; protects MSME space in transport and crafts but deters foreign JV capital</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JV framework; end of visa-free travel for 31 countries in April 2025, with demand shifting (MD p. 117-118); slow company registration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Mature community framework but low MSME value capture; demand shifts affect supplier viability; registration delays slow formalisation</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Univisa operates for Zambia and Zimbabwe only; COMESA Simplified Trade Regime covers Zambia and Zimbabwe only; cross-border supply chains less evidenced than visitor flows (MD p. 117-118)</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Limits cross-border sourcing and multi-country itineraries for MSMEs</w:t>
            </w:r>
          </w:p>
        </w:tc>
      </w:tr>
    </w:tbl>
    <w:p>
      <w:pPr>
        <w:pStyle w:val="Normal"/>
        <w:spacing w:before="0" w:after="120"/>
        <w:rPr/>
      </w:pPr>
      <w:r>
        <w:rPr/>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29" w:name="__RefHeading___Toc4559_386185362"/>
      <w:bookmarkEnd w:id="29"/>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75"/>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6"/>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7"/>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8"/>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9"/>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30" w:name="__RefHeading___Toc4561_386185362"/>
      <w:bookmarkEnd w:id="30"/>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keepNext w:val="true"/>
        <w:spacing w:before="160" w:after="80"/>
        <w:rPr/>
      </w:pPr>
      <w:r>
        <w:rPr>
          <w:b/>
          <w:bCs/>
          <w:color w:val="1F5135"/>
          <w:sz w:val="20"/>
          <w:szCs w:val="20"/>
        </w:rPr>
        <w:t xml:space="preserve">Table 20: </w:t>
      </w:r>
      <w:r>
        <w:rPr>
          <w:i/>
          <w:iCs/>
          <w:sz w:val="20"/>
          <w:szCs w:val="20"/>
        </w:rPr>
        <w:t>Main BSOs by country: services, KAZA reach and position on the readiness pathway</w:t>
      </w:r>
    </w:p>
    <w:tbl>
      <w:tblPr>
        <w:tblW w:w="9026" w:type="dxa"/>
        <w:jc w:val="left"/>
        <w:tblInd w:w="0" w:type="dxa"/>
        <w:tblLayout w:type="fixed"/>
        <w:tblCellMar>
          <w:top w:w="60" w:type="dxa"/>
          <w:left w:w="100" w:type="dxa"/>
          <w:bottom w:w="60" w:type="dxa"/>
          <w:right w:w="100" w:type="dxa"/>
        </w:tblCellMar>
      </w:tblPr>
      <w:tblGrid>
        <w:gridCol w:w="1100"/>
        <w:gridCol w:w="2498"/>
        <w:gridCol w:w="2302"/>
        <w:gridCol w:w="1300"/>
        <w:gridCol w:w="1826"/>
      </w:tblGrid>
      <w:tr>
        <w:trPr>
          <w:tblHeader w:val="true"/>
        </w:trPr>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BSOs</w:t>
            </w:r>
          </w:p>
        </w:tc>
        <w:tc>
          <w:tcPr>
            <w:tcW w:w="23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services</w:t>
            </w:r>
          </w:p>
        </w:tc>
        <w:tc>
          <w:tcPr>
            <w:tcW w:w="1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Presence in KAZA hubs</w:t>
            </w:r>
          </w:p>
        </w:tc>
        <w:tc>
          <w:tcPr>
            <w:tcW w:w="1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AIPEX; CCIA; MINTUR</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registration, training, incubator network (under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(no tourism BDS identified)</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BTO; HATAB; WIBA; Wilderness supplier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mentoring, supplier readiness, citizen finance, product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(Maun, Kasane)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NTB; FENATA/HAN; NACSO, IRDNC, NNF; DBN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coordination, High Potential Pool, SME fund, conservancy enterprise support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for conservancies; low for MSME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BRRA; ZCSMBA; TCZ; Livingstone Tourism Association; UNDP youth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with finance linkage, licensing reform, youth MSME training</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(Livingstone)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ZimTrade; ZTA; TBCZ; CAMPFIRE Association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Lending and capacity building, MSME infrastructure, one-stop registration, export linkages</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 (Victoria Falls, Hwange)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1" w:name="__RefHeading___Toc4563_386185362"/>
      <w:bookmarkEnd w:id="31"/>
      <w:r>
        <w:rPr/>
        <w:t>7.4 Policy Conditions</w:t>
      </w:r>
    </w:p>
    <w:p>
      <w:pPr>
        <w:pStyle w:val="ListParagraph"/>
        <w:numPr>
          <w:ilvl w:val="0"/>
          <w:numId w:val="80"/>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81"/>
        </w:numPr>
        <w:rPr/>
      </w:pPr>
      <w:r>
        <w:rPr/>
        <w:t>Credit guarantee schemes operate in Namibia, Zambia, Zimbabwe and Angola; Botswana has no operational national scheme (Financial Landscape Analysis).</w:t>
      </w:r>
    </w:p>
    <w:p>
      <w:pPr>
        <w:pStyle w:val="ListParagraph"/>
        <w:numPr>
          <w:ilvl w:val="0"/>
          <w:numId w:val="82"/>
        </w:numPr>
        <w:rPr/>
      </w:pPr>
      <w:r>
        <w:rPr/>
        <w:t>Currency instability in Zimbabwe, Zambia and Angola complicates lending to MSMEs whose revenue may be in foreign currency while costs are local, or the reverse.</w:t>
      </w:r>
    </w:p>
    <w:p>
      <w:pPr>
        <w:pStyle w:val="ListParagraph"/>
        <w:numPr>
          <w:ilvl w:val="0"/>
          <w:numId w:val="83"/>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84"/>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2" w:name="__RefHeading___Toc4565_386185362"/>
      <w:bookmarkEnd w:id="32"/>
      <w:r>
        <w:rPr/>
        <w:t>8. Readiness for Financial Products</w:t>
      </w:r>
    </w:p>
    <w:p>
      <w:pPr>
        <w:pStyle w:val="Heading2"/>
        <w:rPr/>
      </w:pPr>
      <w:bookmarkStart w:id="33" w:name="__RefHeading___Toc4567_386185362"/>
      <w:bookmarkEnd w:id="33"/>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keepNext w:val="true"/>
        <w:spacing w:before="160" w:after="80"/>
        <w:rPr/>
      </w:pPr>
      <w:r>
        <w:rPr>
          <w:b/>
          <w:bCs/>
          <w:color w:val="1F5135"/>
          <w:sz w:val="20"/>
          <w:szCs w:val="20"/>
        </w:rPr>
        <w:t xml:space="preserve">Table 21: </w:t>
      </w:r>
      <w:r>
        <w:rPr>
          <w:i/>
          <w:iCs/>
          <w:sz w:val="20"/>
          <w:szCs w:val="20"/>
        </w:rPr>
        <w:t>Illustration: debt service for a guiding and transfer enterprise under three repayment structures</w:t>
      </w:r>
    </w:p>
    <w:tbl>
      <w:tblPr>
        <w:tblW w:w="9026" w:type="dxa"/>
        <w:jc w:val="left"/>
        <w:tblInd w:w="0" w:type="dxa"/>
        <w:tblLayout w:type="fixed"/>
        <w:tblCellMar>
          <w:top w:w="60" w:type="dxa"/>
          <w:left w:w="100" w:type="dxa"/>
          <w:bottom w:w="60" w:type="dxa"/>
          <w:right w:w="100" w:type="dxa"/>
        </w:tblCellMar>
      </w:tblPr>
      <w:tblGrid>
        <w:gridCol w:w="2426"/>
        <w:gridCol w:w="2199"/>
        <w:gridCol w:w="2201"/>
        <w:gridCol w:w="2199"/>
      </w:tblGrid>
      <w:tr>
        <w:trPr>
          <w:tblHeader w:val="true"/>
        </w:trPr>
        <w:tc>
          <w:tcPr>
            <w:tcW w:w="24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Assumptions and results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Standard amortising loan</w:t>
            </w:r>
          </w:p>
        </w:tc>
        <w:tc>
          <w:tcPr>
            <w:tcW w:w="22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Seasonal amortisation</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Revenue-based finance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amount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monthly instalments at 20% a year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Same total cost, paid in the 5 peak months of 2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of monthly revenue until 1.3 times the amount is repaid</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peak month (revenue USD 9,000)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(11%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 (27% of revenue)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1,350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low-season month (revenue USD 2,140)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(48%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321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Total repaid</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26,000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Time to repay</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months</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Two peak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35 months at constant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Who bears a bad season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 (but cash is collected when available)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Shared with financier</w:t>
            </w:r>
          </w:p>
        </w:tc>
      </w:tr>
    </w:tbl>
    <w:p>
      <w:pPr>
        <w:pStyle w:val="Normal"/>
        <w:spacing w:before="0" w:after="120"/>
        <w:rPr/>
      </w:pPr>
      <w:r>
        <w:rPr/>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4" w:name="__RefHeading___Toc4569_386185362"/>
      <w:bookmarkEnd w:id="34"/>
      <w:r>
        <w:rPr/>
        <w:t>8.2 MSME Readiness by Product</w:t>
      </w:r>
    </w:p>
    <w:p>
      <w:pPr>
        <w:pStyle w:val="Normal"/>
        <w:keepNext w:val="true"/>
        <w:spacing w:before="160" w:after="80"/>
        <w:rPr/>
      </w:pPr>
      <w:r>
        <w:rPr>
          <w:b/>
          <w:bCs/>
          <w:color w:val="1F5135"/>
          <w:sz w:val="20"/>
          <w:szCs w:val="20"/>
        </w:rPr>
        <w:t xml:space="preserve">Table 22: </w:t>
      </w:r>
      <w:r>
        <w:rPr>
          <w:i/>
          <w:iCs/>
          <w:sz w:val="20"/>
          <w:szCs w:val="20"/>
        </w:rPr>
        <w:t>MSME readiness for financial products</w:t>
      </w:r>
    </w:p>
    <w:tbl>
      <w:tblPr>
        <w:tblW w:w="9026" w:type="dxa"/>
        <w:jc w:val="left"/>
        <w:tblInd w:w="0" w:type="dxa"/>
        <w:tblLayout w:type="fixed"/>
        <w:tblCellMar>
          <w:top w:w="60" w:type="dxa"/>
          <w:left w:w="100" w:type="dxa"/>
          <w:bottom w:w="60" w:type="dxa"/>
          <w:right w:w="100" w:type="dxa"/>
        </w:tblCellMar>
      </w:tblPr>
      <w:tblGrid>
        <w:gridCol w:w="2000"/>
        <w:gridCol w:w="1000"/>
        <w:gridCol w:w="2199"/>
        <w:gridCol w:w="38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Ready tiers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Fit with seasonality</w:t>
            </w:r>
          </w:p>
        </w:tc>
        <w:tc>
          <w:tcPr>
            <w:tcW w:w="3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Assessment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matching grants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Neutral</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Appropriate for certification, equipment and pilots; should be tied to milestones and convert to repayable finance where possible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Savings-group and micro-loans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if loan cycles follow seasons</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Already used, especially by women; small and short; linkage to MFIs can extend size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receivables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(repayment from buyer 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Best near-term fit for suppliers to anchors (food, lodge-linked goods, transport, cleaning)</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needs seasonal schedule</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Fits guides, transport and processing equipment; asset is the security</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 term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Poor with monthly amortisation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Few MSMEs ready; viable with seasonal schedule and guarantee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Guaranteed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underlying loan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Guarantees de-risk lenders rather than help MSMEs directly; tourism windows in national schemes would widen access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Very good</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Suits enterprises with observable revenue; not yet offered by KAZA lenders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Quasi-equity and equity</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(no fixed repayment)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Relevant to a small number of growth enterprises and cooperatives; high transaction cost relative to ticket size; ownership rules in Botswana and Zimbabwe limit foreign equity in some chains</w:t>
            </w:r>
          </w:p>
        </w:tc>
      </w:tr>
    </w:tbl>
    <w:p>
      <w:pPr>
        <w:pStyle w:val="Normal"/>
        <w:spacing w:before="0" w:after="120"/>
        <w:rPr/>
      </w:pPr>
      <w:r>
        <w:rPr/>
      </w:r>
    </w:p>
    <w:p>
      <w:pPr>
        <w:pStyle w:val="Heading2"/>
        <w:rPr/>
      </w:pPr>
      <w:bookmarkStart w:id="35" w:name="__RefHeading___Toc4571_386185362"/>
      <w:bookmarkEnd w:id="35"/>
      <w:r>
        <w:rPr/>
        <w:t>8.3 Financial Institution Readiness by Product</w:t>
      </w:r>
    </w:p>
    <w:p>
      <w:pPr>
        <w:pStyle w:val="Normal"/>
        <w:keepNext w:val="true"/>
        <w:spacing w:before="160" w:after="80"/>
        <w:rPr/>
      </w:pPr>
      <w:r>
        <w:rPr>
          <w:b/>
          <w:bCs/>
          <w:color w:val="1F5135"/>
          <w:sz w:val="20"/>
          <w:szCs w:val="20"/>
        </w:rPr>
        <w:t xml:space="preserve">Table 23: </w:t>
      </w:r>
      <w:r>
        <w:rPr>
          <w:i/>
          <w:iCs/>
          <w:sz w:val="20"/>
          <w:szCs w:val="20"/>
        </w:rPr>
        <w:t>Financial institution readiness to offer suitable products</w:t>
      </w:r>
    </w:p>
    <w:tbl>
      <w:tblPr>
        <w:tblW w:w="9026" w:type="dxa"/>
        <w:jc w:val="left"/>
        <w:tblInd w:w="0" w:type="dxa"/>
        <w:tblLayout w:type="fixed"/>
        <w:tblCellMar>
          <w:top w:w="60" w:type="dxa"/>
          <w:left w:w="100" w:type="dxa"/>
          <w:bottom w:w="60" w:type="dxa"/>
          <w:right w:w="100" w:type="dxa"/>
        </w:tblCellMar>
      </w:tblPr>
      <w:tblGrid>
        <w:gridCol w:w="2000"/>
        <w:gridCol w:w="2500"/>
        <w:gridCol w:w="1499"/>
        <w:gridCol w:w="30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providers</w:t>
            </w:r>
          </w:p>
        </w:tc>
        <w:tc>
          <w:tcPr>
            <w:tcW w:w="14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Readiness</w:t>
            </w:r>
          </w:p>
        </w:tc>
        <w:tc>
          <w:tcPr>
            <w:tcW w:w="3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needed</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supplier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Stanbic (BW, ZM, ZW); other commercial banks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Replication of the Wilderness-Stanbic model; standard tripartite contract templates with payment ceded to the lender; anchor commitment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working capital and term loans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Banks, CEDA, CEEC, DBN, MFIs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redesign, staff training, risk-sharing for early portfolios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 asset-finance units, leasing companies, green credit lines (EIF, IDBZ)</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Smaller ticket sizes; vendor partnerships; seasonal schedules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Partial credit guarantees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 Namibia, ZCGS, ECGC, FGC; AGF regionally</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(none in Botswana)</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or KAZA windows; acceptance of contracts and leaseholds as security; seasonal grace periods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Micro-loans and group lending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MFIs, women's and youth banks, savings-group linkage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Linkage programmes; seasonal loan cycles; digital channels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Impact funds, fintechs, DFIs through intermediaries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Pilot vehicle; revenue data from payment platforms or anchors; first-loss capital</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Equity and quasi-equity</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 CEDA Venture Capital, impact investors; ZEEX in Zimbabwe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Pipeline of Tier 3 enterprises; small-ticket fund or facility</w:t>
            </w:r>
          </w:p>
        </w:tc>
      </w:tr>
    </w:tbl>
    <w:p>
      <w:pPr>
        <w:pStyle w:val="Normal"/>
        <w:spacing w:before="0" w:after="120"/>
        <w:rPr/>
      </w:pPr>
      <w:r>
        <w:rPr/>
      </w:r>
      <w:r>
        <w:br w:type="page"/>
      </w:r>
    </w:p>
    <w:p>
      <w:pPr>
        <w:pStyle w:val="Heading1"/>
        <w:spacing w:before="0" w:after="240"/>
        <w:rPr/>
      </w:pPr>
      <w:bookmarkStart w:id="36" w:name="__RefHeading___Toc4573_386185362"/>
      <w:bookmarkEnd w:id="36"/>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Normal"/>
        <w:keepNext w:val="true"/>
        <w:spacing w:before="160" w:after="80"/>
        <w:rPr/>
      </w:pPr>
      <w:r>
        <w:rPr>
          <w:b/>
          <w:bCs/>
          <w:color w:val="1F5135"/>
          <w:sz w:val="20"/>
          <w:szCs w:val="20"/>
        </w:rPr>
        <w:t xml:space="preserve">Table 24: </w:t>
      </w:r>
      <w:r>
        <w:rPr>
          <w:i/>
          <w:iCs/>
          <w:sz w:val="20"/>
          <w:szCs w:val="20"/>
        </w:rPr>
        <w:t>Women- and youth-relevant models with investment potential</w:t>
      </w:r>
    </w:p>
    <w:tbl>
      <w:tblPr>
        <w:tblW w:w="9026" w:type="dxa"/>
        <w:jc w:val="left"/>
        <w:tblInd w:w="0" w:type="dxa"/>
        <w:tblLayout w:type="fixed"/>
        <w:tblCellMar>
          <w:top w:w="60" w:type="dxa"/>
          <w:left w:w="100" w:type="dxa"/>
          <w:bottom w:w="60" w:type="dxa"/>
          <w:right w:w="100" w:type="dxa"/>
        </w:tblCellMar>
      </w:tblPr>
      <w:tblGrid>
        <w:gridCol w:w="1600"/>
        <w:gridCol w:w="1500"/>
        <w:gridCol w:w="2400"/>
        <w:gridCol w:w="1498"/>
        <w:gridCol w:w="2028"/>
      </w:tblGrid>
      <w:tr>
        <w:trPr>
          <w:tblHeader w:val="true"/>
        </w:trPr>
        <w:tc>
          <w:tcPr>
            <w:tcW w:w="16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w:t>
            </w:r>
          </w:p>
        </w:tc>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 type</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Evidence</w:t>
            </w:r>
          </w:p>
        </w:tc>
        <w:tc>
          <w:tcPr>
            <w:tcW w:w="1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Investment potential</w:t>
            </w:r>
          </w:p>
        </w:tc>
        <w:tc>
          <w:tcPr>
            <w:tcW w:w="2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fit and what to verify</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forest-products cooperative (Zambia)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producer and processing cooperative (nature-positive products;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members; paid to harvest rather than fell forest; sells mungongo oil and baobab coffee to Livingstone hotels and export buyers; unsolicited bulk-oil export interest from Europe and South Africa (MD p. 73, 101)</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proven demand exceeds supply; women-led by definition</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 (about ZMW 30,000), processing equipment, export working capital; verify volumes, margins and governance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 aggregating rural artisans (Maun,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Artisan aggregation hub (crafts;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Connects more than 100 rural artisans; export certifications; upcycles bottle tops and fabric into homeware; no committed international buyers (MD p. 69)</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aggregation in place; buyer gap</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and product design before finance; verify gender mix (likely women-majority, not stated)</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Elephant Aware Economy (Eastern Panhandle,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enterprise cluster (nature-positive products; nodes A-B)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Low-tillage farming cooperative selling at a premium; honey enterprise using bees as elephant deterrent; dung paper; honey tasting flagged as high-opportunity niche (MD p. 69-70,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premium positioning and conservation story</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blended finance; experience products; verify leadership and member profile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waste and upcycling enterprise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Community-trust social enterprise (waste and circular economy; nodes B,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Grew from a waste gap into a sewing workshop, recycled-can aluminium workshop and beehive initiative (MD p. 71,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diversified services and products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and working capital; service contracts with lodges and towns; verify women and youth roles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Sijwa beehive project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Conservancy-linked benefit-sharing enterprise (honey; nodes A,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Returns 12% of sales to the conservancy (MD p.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replicable benefit-sharing model</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Revolving fund or group finance; verify volumes and buyers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 aggregation for lodges (Hwange, Kasane, Livingstone)</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 cooperative supplying anchors under contract (food; nodes A-C)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Named clearest near-term opportunity; aggregation would give volume and bargaining power (MD p. 68, 75). In Livingstone, a hotel buys directly from smallholders, and a women's mushroom farm sells most of its produce to hotels under long-term contracts (operator-reported)</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demand confirmed by anchors; working precedent in Livingstone</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irrigation finance; design as women- or youth-led cooperatives; verify contract terms and prices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supplier development with an anchor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Anchor-led supplier development programme (several chains; node 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 programme: 68 businesses enrolled; more than BWP 6.2 million of new contracts for citizen-owned businesses after the 2024 expo, passing BWP 8 million by mid-2025; linked to Stanbic contract finance and LEA support</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replicable with other operators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verify share of women- and youth-led suppliers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guiding, activity and transfer enterprises (Victoria Falls-Chobe corridor)</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Owner-operator service micro-enterprise (guiding and transport; node D)</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Largest survey category; guiding, transport and cultural experiences commonly combined (MD p. 61, 118)</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 low start-up cost, clear demand</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certification, asset leasing, revenue-based finance; verify age profile</w:t>
            </w:r>
          </w:p>
        </w:tc>
      </w:tr>
    </w:tbl>
    <w:p>
      <w:pPr>
        <w:pStyle w:val="Normal"/>
        <w:spacing w:before="0" w:after="120"/>
        <w:rPr/>
      </w:pPr>
      <w:r>
        <w:rPr/>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7" w:name="__RefHeading___Toc4575_386185362"/>
      <w:bookmarkEnd w:id="37"/>
      <w:r>
        <w:rPr/>
        <w:t>10. Recommended Capacity-Building Interventions</w:t>
      </w:r>
    </w:p>
    <w:p>
      <w:pPr>
        <w:pStyle w:val="Heading2"/>
        <w:rPr/>
      </w:pPr>
      <w:bookmarkStart w:id="38" w:name="__RefHeading___Toc4577_386185362"/>
      <w:bookmarkEnd w:id="38"/>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 At every tier, support should combine delivery modes rather than rely on classroom training: technical assistance, on-the-job training, mentoring and coaching, workshops, and benchmarking or exchange visits (Section 6.1).</w:t>
      </w:r>
    </w:p>
    <w:p>
      <w:pPr>
        <w:pStyle w:val="Normal"/>
        <w:keepNext w:val="true"/>
        <w:spacing w:before="160" w:after="80"/>
        <w:rPr/>
      </w:pPr>
      <w:r>
        <w:rPr>
          <w:b/>
          <w:bCs/>
          <w:color w:val="1F5135"/>
          <w:sz w:val="20"/>
          <w:szCs w:val="20"/>
        </w:rPr>
        <w:t xml:space="preserve">Table 25: </w:t>
      </w:r>
      <w:r>
        <w:rPr>
          <w:i/>
          <w:iCs/>
          <w:sz w:val="20"/>
          <w:szCs w:val="20"/>
        </w:rPr>
        <w:t>Tiered readiness pathway</w:t>
      </w:r>
    </w:p>
    <w:tbl>
      <w:tblPr>
        <w:tblW w:w="9026" w:type="dxa"/>
        <w:jc w:val="left"/>
        <w:tblInd w:w="0" w:type="dxa"/>
        <w:tblLayout w:type="fixed"/>
        <w:tblCellMar>
          <w:top w:w="60" w:type="dxa"/>
          <w:left w:w="100" w:type="dxa"/>
          <w:bottom w:w="60" w:type="dxa"/>
          <w:right w:w="100" w:type="dxa"/>
        </w:tblCellMar>
      </w:tblPr>
      <w:tblGrid>
        <w:gridCol w:w="1798"/>
        <w:gridCol w:w="2901"/>
        <w:gridCol w:w="2300"/>
        <w:gridCol w:w="2026"/>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29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package</w:t>
            </w:r>
          </w:p>
        </w:tc>
        <w:tc>
          <w:tcPr>
            <w:tcW w:w="2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pathway</w:t>
            </w:r>
          </w:p>
        </w:tc>
        <w:tc>
          <w:tcPr>
            <w:tcW w:w="2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Graduation milestone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savings-group linkage; financial literacy; product and market awareness</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small grants and in-kind inputs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Regular sales; group or individual records for six months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use; costing and pricing; quality and product development; registration support</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matching grants; small asset leases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first repeat orders from a buyer; basic records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with anchor buyers; quality assurance, standards and productivity; compliance (tax, VAT, insurance, certification); contracting and negotiation; cash-flow planning</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 guaranteed loans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 or repeat orders for a full season; tax clearance; simple accounts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 proposal and investment readiness coaching; strategic partnerships; governance; deal brokerage</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with seasonal schedules; revenue-based finance; quasi-equity</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secured and serviced</w:t>
            </w:r>
          </w:p>
        </w:tc>
      </w:tr>
    </w:tbl>
    <w:p>
      <w:pPr>
        <w:pStyle w:val="Normal"/>
        <w:spacing w:before="0" w:after="120"/>
        <w:rPr/>
      </w:pPr>
      <w:r>
        <w:rPr/>
      </w:r>
    </w:p>
    <w:p>
      <w:pPr>
        <w:pStyle w:val="Heading2"/>
        <w:rPr/>
      </w:pPr>
      <w:bookmarkStart w:id="39" w:name="__RefHeading___Toc4579_386185362"/>
      <w:bookmarkEnd w:id="39"/>
      <w:r>
        <w:rPr/>
        <w:t>10.2 Gender-Transformative Approaches</w:t>
      </w:r>
    </w:p>
    <w:p>
      <w:pPr>
        <w:pStyle w:val="ListParagraph"/>
        <w:numPr>
          <w:ilvl w:val="0"/>
          <w:numId w:val="85"/>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6"/>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7"/>
        </w:numPr>
        <w:rPr/>
      </w:pPr>
      <w:r>
        <w:rPr>
          <w:b/>
          <w:bCs/>
        </w:rPr>
        <w:t>Women's leadership</w:t>
      </w:r>
      <w:r>
        <w:rPr/>
        <w:t xml:space="preserve"> quotas and training in cooperatives, community enterprises and conservancy enterprise committees.</w:t>
      </w:r>
    </w:p>
    <w:p>
      <w:pPr>
        <w:pStyle w:val="ListParagraph"/>
        <w:numPr>
          <w:ilvl w:val="0"/>
          <w:numId w:val="88"/>
        </w:numPr>
        <w:rPr/>
      </w:pPr>
      <w:r>
        <w:rPr>
          <w:b/>
          <w:bCs/>
        </w:rPr>
        <w:t>Care-aware delivery</w:t>
      </w:r>
      <w:r>
        <w:rPr/>
        <w:t>: training scheduled and located to fit women's workloads, with childcare where needed, and mobile delivery in remote areas.</w:t>
      </w:r>
    </w:p>
    <w:p>
      <w:pPr>
        <w:pStyle w:val="ListParagraph"/>
        <w:numPr>
          <w:ilvl w:val="0"/>
          <w:numId w:val="89"/>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90"/>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91"/>
        </w:numPr>
        <w:rPr/>
      </w:pPr>
      <w:r>
        <w:rPr>
          <w:b/>
          <w:bCs/>
        </w:rPr>
        <w:t>Household dialogue</w:t>
      </w:r>
      <w:r>
        <w:rPr/>
        <w:t xml:space="preserve"> on control of income and decision-making where enterprise growth may otherwise shift control away from women.</w:t>
      </w:r>
    </w:p>
    <w:p>
      <w:pPr>
        <w:pStyle w:val="ListParagraph"/>
        <w:numPr>
          <w:ilvl w:val="0"/>
          <w:numId w:val="92"/>
        </w:numPr>
        <w:rPr/>
      </w:pPr>
      <w:r>
        <w:rPr>
          <w:b/>
          <w:bCs/>
        </w:rPr>
        <w:t>Diversification into higher-value chains</w:t>
      </w:r>
      <w:r>
        <w:rPr/>
        <w:t>: targeted support for women in lodge-linked goods, guiding and nature-positive products, not only crafts.</w:t>
      </w:r>
    </w:p>
    <w:p>
      <w:pPr>
        <w:pStyle w:val="Heading2"/>
        <w:rPr/>
      </w:pPr>
      <w:bookmarkStart w:id="40" w:name="__RefHeading___Toc4581_386185362"/>
      <w:bookmarkEnd w:id="40"/>
      <w:r>
        <w:rPr/>
        <w:t>10.3 Youth-Focused Incubation</w:t>
      </w:r>
    </w:p>
    <w:p>
      <w:pPr>
        <w:pStyle w:val="ListParagraph"/>
        <w:numPr>
          <w:ilvl w:val="0"/>
          <w:numId w:val="93"/>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94"/>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5"/>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6"/>
        </w:numPr>
        <w:rPr/>
      </w:pPr>
      <w:r>
        <w:rPr>
          <w:b/>
          <w:bCs/>
        </w:rPr>
        <w:t>Asset access</w:t>
      </w:r>
      <w:r>
        <w:rPr/>
        <w:t xml:space="preserve"> through lease-to-own schemes for vehicles, boats and equipment, linked to youth finance (YDF, EmpowerBank, bank youth windows).</w:t>
      </w:r>
    </w:p>
    <w:p>
      <w:pPr>
        <w:pStyle w:val="ListParagraph"/>
        <w:numPr>
          <w:ilvl w:val="0"/>
          <w:numId w:val="97"/>
        </w:numPr>
        <w:rPr/>
      </w:pPr>
      <w:r>
        <w:rPr>
          <w:b/>
          <w:bCs/>
        </w:rPr>
        <w:t>Seed grants converting to loans</w:t>
      </w:r>
      <w:r>
        <w:rPr/>
        <w:t xml:space="preserve"> on milestones, so young entrepreneurs build a credit history.</w:t>
      </w:r>
    </w:p>
    <w:p>
      <w:pPr>
        <w:pStyle w:val="ListParagraph"/>
        <w:numPr>
          <w:ilvl w:val="0"/>
          <w:numId w:val="98"/>
        </w:numPr>
        <w:rPr/>
      </w:pPr>
      <w:r>
        <w:rPr>
          <w:b/>
          <w:bCs/>
        </w:rPr>
        <w:t>Links to existing youth programmes</w:t>
      </w:r>
      <w:r>
        <w:rPr/>
        <w:t>, such as the UNDP youth-led MSME programme in Livingstone and the youth priority in Namibia's SME fund, to avoid duplication.</w:t>
      </w:r>
    </w:p>
    <w:p>
      <w:pPr>
        <w:pStyle w:val="Heading2"/>
        <w:rPr/>
      </w:pPr>
      <w:bookmarkStart w:id="41" w:name="__RefHeading___Toc4583_386185362"/>
      <w:bookmarkEnd w:id="41"/>
      <w:r>
        <w:rPr/>
        <w:t>10.4 Blended Support Packages</w:t>
      </w:r>
    </w:p>
    <w:p>
      <w:pPr>
        <w:pStyle w:val="Normal"/>
        <w:jc w:val="both"/>
        <w:rPr/>
      </w:pPr>
      <w:r>
        <w:rPr/>
        <w:t>Finance and technical assistance should be delivered together and tied to a buyer. Three packages are proposed:</w:t>
      </w:r>
    </w:p>
    <w:p>
      <w:pPr>
        <w:pStyle w:val="Normal"/>
        <w:keepNext w:val="true"/>
        <w:spacing w:before="160" w:after="80"/>
        <w:rPr/>
      </w:pPr>
      <w:r>
        <w:rPr>
          <w:b/>
          <w:bCs/>
          <w:color w:val="1F5135"/>
          <w:sz w:val="20"/>
          <w:szCs w:val="20"/>
        </w:rPr>
        <w:t xml:space="preserve">Table 26: </w:t>
      </w:r>
      <w:r>
        <w:rPr>
          <w:i/>
          <w:iCs/>
          <w:sz w:val="20"/>
          <w:szCs w:val="20"/>
        </w:rPr>
        <w:t>Blended support packages</w:t>
      </w:r>
    </w:p>
    <w:tbl>
      <w:tblPr>
        <w:tblW w:w="9026" w:type="dxa"/>
        <w:jc w:val="left"/>
        <w:tblInd w:w="0" w:type="dxa"/>
        <w:tblLayout w:type="fixed"/>
        <w:tblCellMar>
          <w:top w:w="60" w:type="dxa"/>
          <w:left w:w="100" w:type="dxa"/>
          <w:bottom w:w="60" w:type="dxa"/>
          <w:right w:w="100" w:type="dxa"/>
        </w:tblCellMar>
      </w:tblPr>
      <w:tblGrid>
        <w:gridCol w:w="1798"/>
        <w:gridCol w:w="2301"/>
        <w:gridCol w:w="2702"/>
        <w:gridCol w:w="2224"/>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Package</w:t>
            </w:r>
          </w:p>
        </w:tc>
        <w:tc>
          <w:tcPr>
            <w:tcW w:w="2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Target</w:t>
            </w:r>
          </w:p>
        </w:tc>
        <w:tc>
          <w:tcPr>
            <w:tcW w:w="27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Components</w:t>
            </w:r>
          </w:p>
        </w:tc>
        <w:tc>
          <w:tcPr>
            <w:tcW w:w="22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Partners (indicative)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suppliers in food, lodge-linked goods, transport and cleaning</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TA; contract-backed working capital with payment ceded to the lender; partial guarantee; anchor payment-term commitment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banks, guarantee schemes, LEA and other BSOs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in nature-positive products and crafts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certification support; grant for equipment; revolving fund; buyer brokerage</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CBOs, NGOs, MFIs, community funds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and women start-up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0-1 women- and youth-led enterprises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Incubation; savings-group linkage; matching grant converting to loan; asset leasing; registration support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 youth and women's finance institutions, training institutions</w:t>
            </w:r>
          </w:p>
        </w:tc>
      </w:tr>
    </w:tbl>
    <w:p>
      <w:pPr>
        <w:pStyle w:val="Normal"/>
        <w:spacing w:before="0" w:after="120"/>
        <w:rPr/>
      </w:pPr>
      <w:r>
        <w:rPr/>
      </w:r>
    </w:p>
    <w:p>
      <w:pPr>
        <w:pStyle w:val="Heading2"/>
        <w:rPr/>
      </w:pPr>
      <w:bookmarkStart w:id="42" w:name="__RefHeading___Toc4585_386185362"/>
      <w:bookmarkEnd w:id="42"/>
      <w:r>
        <w:rPr/>
        <w:t>10.5 BSO Strengthening</w:t>
      </w:r>
    </w:p>
    <w:p>
      <w:pPr>
        <w:pStyle w:val="ListParagraph"/>
        <w:numPr>
          <w:ilvl w:val="0"/>
          <w:numId w:val="99"/>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100"/>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101"/>
        </w:numPr>
        <w:rPr/>
      </w:pPr>
      <w:r>
        <w:rPr/>
        <w:t xml:space="preserve">Establish </w:t>
      </w:r>
      <w:r>
        <w:rPr>
          <w:b/>
          <w:bCs/>
        </w:rPr>
        <w:t>BSO-financier referral agreements</w:t>
      </w:r>
      <w:r>
        <w:rPr/>
        <w:t xml:space="preserve"> so that BSO-assessed MSMEs receive faster processing.</w:t>
      </w:r>
    </w:p>
    <w:p>
      <w:pPr>
        <w:pStyle w:val="ListParagraph"/>
        <w:numPr>
          <w:ilvl w:val="0"/>
          <w:numId w:val="102"/>
        </w:numPr>
        <w:rPr/>
      </w:pPr>
      <w:r>
        <w:rPr/>
        <w:t xml:space="preserve">Extend outreach to KAZA hubs through </w:t>
      </w:r>
      <w:r>
        <w:rPr>
          <w:b/>
          <w:bCs/>
        </w:rPr>
        <w:t>satellite offices or mobile advisers</w:t>
      </w:r>
      <w:r>
        <w:rPr/>
        <w:t>.</w:t>
      </w:r>
    </w:p>
    <w:p>
      <w:pPr>
        <w:pStyle w:val="ListParagraph"/>
        <w:numPr>
          <w:ilvl w:val="0"/>
          <w:numId w:val="103"/>
        </w:numPr>
        <w:rPr/>
      </w:pPr>
      <w:r>
        <w:rPr/>
        <w:t xml:space="preserve">Build </w:t>
      </w:r>
      <w:r>
        <w:rPr>
          <w:b/>
          <w:bCs/>
        </w:rPr>
        <w:t>gender and youth capacity</w:t>
      </w:r>
      <w:r>
        <w:rPr/>
        <w:t xml:space="preserve"> within BSOs, including staff training and disaggregated client data.</w:t>
      </w:r>
    </w:p>
    <w:p>
      <w:pPr>
        <w:pStyle w:val="ListParagraph"/>
        <w:numPr>
          <w:ilvl w:val="0"/>
          <w:numId w:val="104"/>
        </w:numPr>
        <w:rPr/>
      </w:pPr>
      <w:r>
        <w:rPr/>
        <w:t xml:space="preserve">Use </w:t>
      </w:r>
      <w:r>
        <w:rPr>
          <w:b/>
          <w:bCs/>
        </w:rPr>
        <w:t>performance-based contracts</w:t>
      </w:r>
      <w:r>
        <w:rPr/>
        <w:t xml:space="preserve"> that pay BSOs for MSMEs graduating between tiers and accessing finance.</w:t>
      </w:r>
    </w:p>
    <w:p>
      <w:pPr>
        <w:pStyle w:val="ListParagraph"/>
        <w:numPr>
          <w:ilvl w:val="0"/>
          <w:numId w:val="105"/>
        </w:numPr>
        <w:rPr/>
      </w:pPr>
      <w:r>
        <w:rPr>
          <w:b/>
          <w:bCs/>
        </w:rPr>
        <w:t>Strengthen BSOs' own systems</w:t>
      </w:r>
      <w:r>
        <w:rPr/>
        <w:t xml:space="preserve"> before asking them to deliver more: strategic plans, performance management and systems to assess and report the impact of services, which the PSDP survey found missing in Botswana's tourism association and apex body (Section 6.2).</w:t>
      </w:r>
    </w:p>
    <w:p>
      <w:pPr>
        <w:pStyle w:val="ListParagraph"/>
        <w:numPr>
          <w:ilvl w:val="0"/>
          <w:numId w:val="106"/>
        </w:numPr>
        <w:rPr/>
      </w:pPr>
      <w:r>
        <w:rPr>
          <w:b/>
          <w:bCs/>
        </w:rPr>
        <w:t>Accredit mentors and advisers</w:t>
      </w:r>
      <w:r>
        <w:rPr/>
        <w:t xml:space="preserve">, building on the PSDP proposals to coach CEDA's mentors and accredit LEA consultants, and use </w:t>
      </w:r>
      <w:r>
        <w:rPr>
          <w:b/>
          <w:bCs/>
        </w:rPr>
        <w:t>retired-expert secondments</w:t>
      </w:r>
      <w:r>
        <w:rPr/>
        <w:t xml:space="preserve"> to add specialist skills at low cost.</w:t>
      </w:r>
    </w:p>
    <w:p>
      <w:pPr>
        <w:pStyle w:val="ListParagraph"/>
        <w:numPr>
          <w:ilvl w:val="0"/>
          <w:numId w:val="107"/>
        </w:numPr>
        <w:rPr/>
      </w:pPr>
      <w:r>
        <w:rPr>
          <w:b/>
          <w:bCs/>
        </w:rPr>
        <w:t>Extend standards, testing and productivity services to the KAZA hubs</w:t>
      </w:r>
      <w:r>
        <w:rPr/>
        <w:t xml:space="preserve"> through alliances with BSOs that already have local offices, as the PSDP survey proposed for BOBS, and through company-level productivity programmes such as BNPC's </w:t>
      </w:r>
      <w:r>
        <w:rPr>
          <w:i/>
          <w:iCs/>
        </w:rPr>
        <w:t>kaizen</w:t>
      </w:r>
      <w:r>
        <w:rPr/>
        <w:t xml:space="preserve"> programme.</w:t>
      </w:r>
    </w:p>
    <w:p>
      <w:pPr>
        <w:pStyle w:val="ListParagraph"/>
        <w:numPr>
          <w:ilvl w:val="0"/>
          <w:numId w:val="108"/>
        </w:numPr>
        <w:rPr/>
      </w:pPr>
      <w:r>
        <w:rPr>
          <w:b/>
          <w:bCs/>
        </w:rPr>
        <w:t>Map BSO services in each country</w:t>
      </w:r>
      <w:r>
        <w:rPr/>
        <w:t xml:space="preserve"> and publish a directory and referral system, so that MSMEs and BSOs know who offers what and overlapping mandates can be reduced (Section 6.2).</w:t>
      </w:r>
    </w:p>
    <w:p>
      <w:pPr>
        <w:pStyle w:val="ListParagraph"/>
        <w:numPr>
          <w:ilvl w:val="0"/>
          <w:numId w:val="109"/>
        </w:numPr>
        <w:rPr/>
      </w:pPr>
      <w:r>
        <w:rPr/>
        <w:t xml:space="preserve">Strengthen </w:t>
      </w:r>
      <w:r>
        <w:rPr>
          <w:b/>
          <w:bCs/>
        </w:rPr>
        <w:t>associations' advocacy capacity</w:t>
      </w:r>
      <w:r>
        <w:rPr/>
        <w:t>, including sector or KAZA desks in chambers and apex bodies, so that MSME issues such as payment terms and the cost of compliance reach government and anchor buyers.</w:t>
      </w:r>
    </w:p>
    <w:p>
      <w:pPr>
        <w:pStyle w:val="Normal"/>
        <w:jc w:val="both"/>
        <w:rPr/>
      </w:pPr>
      <w:r>
        <w:rPr/>
        <w:t>The programme should work through existing BSOs rather than create new ones. A lead BSO and a first strengthening focus are proposed for each country, based on Section 7.3. Section 6.4 sets out, country by country, the tourism MSME needs that these BSOs should address, the recommended interventions and the partner BSOs for each.</w:t>
      </w:r>
    </w:p>
    <w:p>
      <w:pPr>
        <w:pStyle w:val="Normal"/>
        <w:keepNext w:val="true"/>
        <w:spacing w:before="160" w:after="80"/>
        <w:rPr/>
      </w:pPr>
      <w:r>
        <w:rPr>
          <w:b/>
          <w:bCs/>
          <w:color w:val="1F5135"/>
          <w:sz w:val="20"/>
          <w:szCs w:val="20"/>
        </w:rPr>
        <w:t xml:space="preserve">Table 27: </w:t>
      </w:r>
      <w:r>
        <w:rPr>
          <w:i/>
          <w:iCs/>
          <w:sz w:val="20"/>
          <w:szCs w:val="20"/>
        </w:rPr>
        <w:t>Proposed lead BSOs and strengthening focus by country</w:t>
      </w:r>
    </w:p>
    <w:tbl>
      <w:tblPr>
        <w:tblW w:w="9026" w:type="dxa"/>
        <w:jc w:val="left"/>
        <w:tblInd w:w="0" w:type="dxa"/>
        <w:tblLayout w:type="fixed"/>
        <w:tblCellMar>
          <w:top w:w="60" w:type="dxa"/>
          <w:left w:w="100" w:type="dxa"/>
          <w:bottom w:w="60" w:type="dxa"/>
          <w:right w:w="100" w:type="dxa"/>
        </w:tblCellMar>
      </w:tblPr>
      <w:tblGrid>
        <w:gridCol w:w="1199"/>
        <w:gridCol w:w="2500"/>
        <w:gridCol w:w="2800"/>
        <w:gridCol w:w="2526"/>
      </w:tblGrid>
      <w:tr>
        <w:trPr>
          <w:tblHeader w:val="true"/>
        </w:trPr>
        <w:tc>
          <w:tcPr>
            <w:tcW w:w="1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and partner BSOs</w:t>
            </w:r>
          </w:p>
        </w:tc>
        <w:tc>
          <w:tcPr>
            <w:tcW w:w="28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Strengthening focus</w:t>
            </w:r>
          </w:p>
        </w:tc>
        <w:tc>
          <w:tcPr>
            <w:tcW w:w="25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Entry point</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with the provincial governments of Cuando and Cubango and conservation NGOs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and lodge-supply module in the incubator network; certification and registration help in Menongue; guiding and logistics capability</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incubator network; Envolver+</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with BTO, HATAB, WIBA, Business Botswana, BOBS, BNPC and anchor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in Kasane and Maun; readiness diagnostic; LEA-CEDA referral and links to Stanbic finance; standards and productivity services through LEA; HATAB organisational strengthening</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Wilderness-LEA MoU; Wilderness-Stanbic facility</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NNF, NCCI regional branches and lodge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window in the High Potential Pool and SME fund; conservancy enterprise to supplier pathway; registration support</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High Potential Pool and SME fund</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with the Livingstone Tourism Association and training institutions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supplier development in Livingstone; seasonal terms in CEEC products; youth incubation</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ZDA-CEEC agreement; UNDP youth MSME programme</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with ZIDA, ZTA, TBCZ and the CAMPFIRE Association</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Victoria Falls-Hwange supplier development; tax-clearance support through ZIDA; investment readiness for ZEEX</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programmes and ZSE partnership</w:t>
            </w:r>
          </w:p>
        </w:tc>
      </w:tr>
    </w:tbl>
    <w:p>
      <w:pPr>
        <w:pStyle w:val="Normal"/>
        <w:spacing w:before="0" w:after="120"/>
        <w:rPr/>
      </w:pPr>
      <w:r>
        <w:rPr/>
      </w:r>
    </w:p>
    <w:p>
      <w:pPr>
        <w:pStyle w:val="Heading2"/>
        <w:rPr/>
      </w:pPr>
      <w:bookmarkStart w:id="43" w:name="__RefHeading___Toc4587_386185362"/>
      <w:bookmarkEnd w:id="43"/>
      <w:r>
        <w:rPr/>
        <w:t>10.6 Financial Institution Strengthening</w:t>
      </w:r>
    </w:p>
    <w:p>
      <w:pPr>
        <w:pStyle w:val="ListParagraph"/>
        <w:numPr>
          <w:ilvl w:val="0"/>
          <w:numId w:val="11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11"/>
        </w:numPr>
        <w:rPr/>
      </w:pPr>
      <w:r>
        <w:rPr>
          <w:b/>
          <w:bCs/>
        </w:rPr>
        <w:t>Sector training</w:t>
      </w:r>
      <w:r>
        <w:rPr/>
        <w:t xml:space="preserve"> for credit officers on R-NBT business models, anchor contracts and concession arrangements.</w:t>
      </w:r>
    </w:p>
    <w:p>
      <w:pPr>
        <w:pStyle w:val="ListParagraph"/>
        <w:numPr>
          <w:ilvl w:val="0"/>
          <w:numId w:val="112"/>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1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1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15"/>
        </w:numPr>
        <w:rPr/>
      </w:pPr>
      <w:r>
        <w:rPr>
          <w:b/>
          <w:bCs/>
        </w:rPr>
        <w:t>Gender-disaggregated reporting</w:t>
      </w:r>
      <w:r>
        <w:rPr/>
        <w:t xml:space="preserve"> and gender-smart product design.</w:t>
      </w:r>
    </w:p>
    <w:p>
      <w:pPr>
        <w:pStyle w:val="Heading2"/>
        <w:rPr/>
      </w:pPr>
      <w:bookmarkStart w:id="44" w:name="__RefHeading___Toc4589_386185362"/>
      <w:bookmarkEnd w:id="44"/>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1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17"/>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1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19"/>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20"/>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5" w:name="__RefHeading___Toc4591_386185362"/>
      <w:bookmarkEnd w:id="45"/>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2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22"/>
        </w:numPr>
        <w:rPr/>
      </w:pPr>
      <w:r>
        <w:rPr>
          <w:b/>
          <w:bCs/>
        </w:rPr>
        <w:t>Tier 1-2 to grant-to-loan finance:</w:t>
      </w:r>
      <w:r>
        <w:rPr/>
        <w:t xml:space="preserve"> readiness grants that convert to loans or guarantees on milestones.</w:t>
      </w:r>
    </w:p>
    <w:p>
      <w:pPr>
        <w:pStyle w:val="ListParagraph"/>
        <w:numPr>
          <w:ilvl w:val="0"/>
          <w:numId w:val="12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24"/>
        </w:numPr>
        <w:rPr/>
      </w:pPr>
      <w:r>
        <w:rPr>
          <w:b/>
          <w:bCs/>
        </w:rPr>
        <w:t>Tier 3 to term finance, revenue-based finance and quasi-equity:</w:t>
      </w:r>
      <w:r>
        <w:rPr/>
        <w:t xml:space="preserve"> through banks, DFIs and impact investors, with seasonal repayment.</w:t>
      </w:r>
    </w:p>
    <w:p>
      <w:pPr>
        <w:pStyle w:val="Heading2"/>
        <w:rPr/>
      </w:pPr>
      <w:bookmarkStart w:id="46" w:name="__RefHeading___Toc4593_386185362"/>
      <w:bookmarkEnd w:id="46"/>
      <w:r>
        <w:rPr/>
        <w:t>10.9 Priorities and Next Steps</w:t>
      </w:r>
    </w:p>
    <w:p>
      <w:pPr>
        <w:pStyle w:val="ListParagraph"/>
        <w:numPr>
          <w:ilvl w:val="0"/>
          <w:numId w:val="12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26"/>
        </w:numPr>
        <w:rPr/>
      </w:pPr>
      <w:r>
        <w:rPr>
          <w:b/>
          <w:bCs/>
        </w:rPr>
        <w:t>Fix crafts through markets, not volume:</w:t>
      </w:r>
      <w:r>
        <w:rPr/>
        <w:t xml:space="preserve"> focus on product differentiation and buyer relationships before finance.</w:t>
      </w:r>
    </w:p>
    <w:p>
      <w:pPr>
        <w:pStyle w:val="ListParagraph"/>
        <w:numPr>
          <w:ilvl w:val="0"/>
          <w:numId w:val="12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28"/>
        </w:numPr>
        <w:rPr/>
      </w:pPr>
      <w:r>
        <w:rPr>
          <w:b/>
          <w:bCs/>
        </w:rPr>
        <w:t>Close the gender and age data gap:</w:t>
      </w:r>
      <w:r>
        <w:rPr/>
        <w:t xml:space="preserve"> run a disaggregated MSME baseline in pilot destinations (Annex B).</w:t>
      </w:r>
    </w:p>
    <w:p>
      <w:pPr>
        <w:pStyle w:val="ListParagraph"/>
        <w:numPr>
          <w:ilvl w:val="0"/>
          <w:numId w:val="12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3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7" w:name="__RefHeading___Toc4595_386185362"/>
      <w:bookmarkEnd w:id="47"/>
      <w:r>
        <w:rPr/>
        <w:t>Annex A: Evidence Map</w:t>
      </w:r>
    </w:p>
    <w:p>
      <w:pPr>
        <w:pStyle w:val="Normal"/>
        <w:jc w:val="both"/>
        <w:rPr/>
      </w:pPr>
      <w:r>
        <w:rPr/>
        <w:t>The Macro Diagnostic sections used in this assessment are listed below by topic.</w:t>
      </w:r>
    </w:p>
    <w:p>
      <w:pPr>
        <w:pStyle w:val="Normal"/>
        <w:keepNext w:val="true"/>
        <w:spacing w:before="160" w:after="80"/>
        <w:rPr/>
      </w:pPr>
      <w:r>
        <w:rPr>
          <w:b/>
          <w:bCs/>
          <w:color w:val="1F5135"/>
          <w:sz w:val="20"/>
          <w:szCs w:val="20"/>
        </w:rPr>
        <w:t xml:space="preserve">Table 28: </w:t>
      </w:r>
      <w:r>
        <w:rPr>
          <w:i/>
          <w:iCs/>
          <w:sz w:val="20"/>
          <w:szCs w:val="20"/>
        </w:rPr>
        <w:t>Macro Diagnostic sections used in this assessment</w:t>
      </w:r>
    </w:p>
    <w:tbl>
      <w:tblPr>
        <w:tblW w:w="9026" w:type="dxa"/>
        <w:jc w:val="left"/>
        <w:tblInd w:w="0" w:type="dxa"/>
        <w:tblLayout w:type="fixed"/>
        <w:tblCellMar>
          <w:top w:w="60" w:type="dxa"/>
          <w:left w:w="100" w:type="dxa"/>
          <w:bottom w:w="60" w:type="dxa"/>
          <w:right w:w="100" w:type="dxa"/>
        </w:tblCellMar>
      </w:tblPr>
      <w:tblGrid>
        <w:gridCol w:w="4624"/>
        <w:gridCol w:w="2001"/>
        <w:gridCol w:w="2401"/>
      </w:tblGrid>
      <w:tr>
        <w:trPr>
          <w:tblHeader w:val="true"/>
        </w:trPr>
        <w:tc>
          <w:tcPr>
            <w:tcW w:w="46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Topic</w:t>
            </w:r>
          </w:p>
        </w:tc>
        <w:tc>
          <w:tcPr>
            <w:tcW w:w="2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section</w:t>
            </w:r>
          </w:p>
        </w:tc>
        <w:tc>
          <w:tcPr>
            <w:tcW w:w="24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pages</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Survey respondents by business activity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61</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Stakeholder findings by country (buyer and enterprise evidence)</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65-76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Emerging themes and triangulation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77-85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Comparative value-chain table by country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87-94</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definition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95-102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prioritisation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103-110</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practice and enterprise cases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115-116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corridors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117-119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value capture, procurement and market readiness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128-129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preliminary conclusions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131-135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Data gaps and baseline indicators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22-23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139-142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Recommendations on value capture and supplier development</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24.1.5, 24.1.7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146-148</w:t>
            </w:r>
          </w:p>
        </w:tc>
      </w:tr>
    </w:tbl>
    <w:p>
      <w:pPr>
        <w:pStyle w:val="Normal"/>
        <w:spacing w:before="0" w:after="120"/>
        <w:rPr/>
      </w:pPr>
      <w:r>
        <w:rPr/>
      </w:r>
      <w:r>
        <w:br w:type="page"/>
      </w:r>
    </w:p>
    <w:p>
      <w:pPr>
        <w:pStyle w:val="Heading1"/>
        <w:spacing w:before="0" w:after="240"/>
        <w:rPr/>
      </w:pPr>
      <w:bookmarkStart w:id="48" w:name="__RefHeading___Toc4597_386185362"/>
      <w:bookmarkEnd w:id="48"/>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keepNext w:val="true"/>
        <w:spacing w:before="160" w:after="80"/>
        <w:rPr/>
      </w:pPr>
      <w:r>
        <w:rPr>
          <w:b/>
          <w:bCs/>
          <w:color w:val="1F5135"/>
          <w:sz w:val="20"/>
          <w:szCs w:val="20"/>
        </w:rPr>
        <w:t xml:space="preserve">Table 29: </w:t>
      </w:r>
      <w:r>
        <w:rPr>
          <w:i/>
          <w:iCs/>
          <w:sz w:val="20"/>
          <w:szCs w:val="20"/>
        </w:rPr>
        <w:t>Proposed indicators for a disaggregated MSME baseline</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Area</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and leadership</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Sex and age of owner(s) and manager; women's and youth share of ownership and of cooperative or committee leadership</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position</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node (A-E); main buyers; share of sales to anchor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Products; revenue by month; employees by sex and age; years operating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Separate business account; savings-group membership; sources of start-up and working capital; loans applied for and received; reasons for not applying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kept (none, notebook, spreadsheet, accounting software); mobile-money and bank use for business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tax clearance; VAT; licences; insurance; certification; time and cost taken to register and obtain tax clearance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access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Number of anchor buyers; contracts held; payment terms; cross-border sales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Constraints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Self-reported constraints, including land and collateral, time and care responsibilities, mobility and safety</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tier</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assigned using the common readiness diagnostic</w:t>
            </w:r>
          </w:p>
        </w:tc>
      </w:tr>
    </w:tbl>
    <w:p>
      <w:pPr>
        <w:pStyle w:val="Normal"/>
        <w:spacing w:before="0" w:after="120"/>
        <w:rPr/>
      </w:pPr>
      <w:r>
        <w:rPr/>
      </w:r>
      <w:r>
        <w:br w:type="page"/>
      </w:r>
    </w:p>
    <w:p>
      <w:pPr>
        <w:pStyle w:val="Heading1"/>
        <w:spacing w:before="0" w:after="240"/>
        <w:rPr/>
      </w:pPr>
      <w:bookmarkStart w:id="49" w:name="__RefHeading___Toc4599_386185362"/>
      <w:bookmarkEnd w:id="49"/>
      <w:r>
        <w:rPr/>
        <w:t>References</w:t>
      </w:r>
    </w:p>
    <w:p>
      <w:pPr>
        <w:pStyle w:val="Normal"/>
        <w:spacing w:before="0" w:after="160"/>
        <w:rPr/>
      </w:pPr>
      <w:r>
        <w:rPr>
          <w:i/>
          <w:iCs/>
          <w:color w:val="555555"/>
          <w:sz w:val="20"/>
          <w:szCs w:val="20"/>
        </w:rPr>
        <w:t>Each web source below was checked in October 2026 to confirm that it exists at the address given and contains the information attributed to it.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CDE and European Union (c. 2013). Annex I: Description of the Action "Support to the implementation of the Private Sector Development Strategy of Botswana and the Economic Diversification Drive" (FED/2013/312562), Section 2: PSDP Implementation Needs and Capacity Survey. Contribution Agreement for the implementation of the Private Sector Development Programme as part of the 10th EDF NSA programme, final draft. Unpublished project document.</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65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65</w:t>
    </w:r>
    <w:r>
      <w:rPr/>
      <w:fldChar w:fldCharType="end"/>
    </w:r>
    <w:r>
      <w:rPr/>
      <w:t xml:space="preserve"> of </w:t>
    </w:r>
    <w:r>
      <w:rPr/>
      <w:fldChar w:fldCharType="begin"/>
    </w:r>
    <w:r>
      <w:rPr/>
      <w:instrText xml:space="preserve"> NUMPAGES </w:instrText>
    </w:r>
    <w:r>
      <w:rPr/>
      <w:fldChar w:fldCharType="separate"/>
    </w:r>
    <w:r>
      <w:rPr/>
      <w:t>65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65</Pages>
  <Words>23410</Words>
  <Characters>146071</Characters>
  <CharactersWithSpaces>167650</CharactersWithSpaces>
  <Paragraphs>1702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2026-10-16T16:24:53Z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2026-10-16T16:25:05Z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