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120"/>
        <w:rPr/>
      </w:pPr>
      <w:r>
        <w:rPr/>
      </w:r>
    </w:p>
    <w:p>
      <w:pPr>
        <w:pStyle w:val="Normal"/>
        <w:pBdr>
          <w:bottom w:val="single" w:sz="18" w:space="6" w:color="C8A951"/>
        </w:pBdr>
        <w:spacing w:before="0" w:after="300"/>
        <w:rPr/>
      </w:pPr>
      <w:r>
        <w:rPr>
          <w:rFonts w:eastAsia="Calibri" w:cs="Calibri"/>
          <w:b/>
          <w:bCs/>
          <w:color w:val="1F5135"/>
          <w:sz w:val="56"/>
          <w:szCs w:val="56"/>
        </w:rPr>
        <w:t>MSME Investment Readiness Assessment</w:t>
      </w:r>
    </w:p>
    <w:p>
      <w:pPr>
        <w:pStyle w:val="Normal"/>
        <w:spacing w:before="0" w:after="200"/>
        <w:rPr/>
      </w:pPr>
      <w:r>
        <w:rPr>
          <w:color w:val="333333"/>
          <w:sz w:val="30"/>
          <w:szCs w:val="30"/>
        </w:rPr>
        <w:t>Priority Value Chains for Regenerative Nature-Based Tourism (R-NBT) in the Kavango Zambezi Transfrontier Conservation Area (KAZA TFCA)</w:t>
      </w:r>
    </w:p>
    <w:p>
      <w:pPr>
        <w:pStyle w:val="Normal"/>
        <w:spacing w:before="0" w:after="1200"/>
        <w:rPr/>
      </w:pPr>
      <w:r>
        <w:rPr>
          <w:b/>
          <w:bCs/>
          <w:color w:val="1F5135"/>
          <w:sz w:val="26"/>
          <w:szCs w:val="26"/>
        </w:rPr>
        <w:t>Angola · Botswana · Namibia · Zambia · Zimbabwe</w:t>
      </w:r>
    </w:p>
    <w:p>
      <w:pPr>
        <w:pStyle w:val="Normal"/>
        <w:rPr/>
      </w:pPr>
      <w:r>
        <w:rPr>
          <w:i/>
          <w:iCs/>
          <w:color w:val="555555"/>
          <w:sz w:val="20"/>
          <w:szCs w:val="20"/>
        </w:rPr>
        <w:t>MSME business models, financial practices, record-keeping and informality by gender, age and value chain node; capacity gaps and capacity-building needs of MSMEs, BSOs and financial institutions; enabling environment, market access and business support organisations in the five Partner States; readiness for financial products; recommended interventions and financing pathways</w:t>
      </w:r>
    </w:p>
    <w:p>
      <w:pPr>
        <w:pStyle w:val="Normal"/>
        <w:spacing w:before="1600" w:after="120"/>
        <w:rPr/>
      </w:pPr>
      <w:r>
        <w:rPr>
          <w:b/>
          <w:bCs/>
          <w:sz w:val="22"/>
          <w:szCs w:val="22"/>
        </w:rPr>
        <w:t>Draft for Discussion (Version 4, narrative edition)</w:t>
      </w:r>
    </w:p>
    <w:p>
      <w:pPr>
        <w:pStyle w:val="Normal"/>
        <w:rPr/>
      </w:pPr>
      <w:r>
        <w:rPr>
          <w:sz w:val="22"/>
          <w:szCs w:val="22"/>
        </w:rPr>
        <w:t>October 2026</w:t>
      </w:r>
    </w:p>
    <w:p>
      <w:pPr>
        <w:pStyle w:val="Normal"/>
        <w:rPr/>
      </w:pPr>
      <w:r>
        <w:rPr/>
      </w:r>
      <w:r>
        <w:br w:type="page"/>
      </w:r>
    </w:p>
    <w:p>
      <w:pPr>
        <w:pStyle w:val="Normal"/>
        <w:spacing w:before="0" w:after="240"/>
        <w:rPr/>
      </w:pPr>
      <w:r>
        <w:rPr>
          <w:b/>
          <w:bCs/>
          <w:color w:val="1F5135"/>
          <w:sz w:val="32"/>
          <w:szCs w:val="32"/>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1251_3920751122">
            <w:r>
              <w:rPr>
                <w:rStyle w:val="IndexLink"/>
              </w:rPr>
              <w:t>Executive Summary</w:t>
              <w:tab/>
              <w:t>7</w:t>
            </w:r>
          </w:hyperlink>
        </w:p>
        <w:p>
          <w:pPr>
            <w:pStyle w:val="TOC1"/>
            <w:tabs>
              <w:tab w:val="clear" w:pos="9026"/>
              <w:tab w:val="right" w:pos="9025" w:leader="dot"/>
            </w:tabs>
            <w:rPr/>
          </w:pPr>
          <w:hyperlink w:anchor="__RefHeading___Toc1253_3920751122">
            <w:r>
              <w:rPr>
                <w:rStyle w:val="IndexLink"/>
              </w:rPr>
              <w:t>1. Introduction and Methodology</w:t>
              <w:tab/>
              <w:t>10</w:t>
            </w:r>
          </w:hyperlink>
        </w:p>
        <w:p>
          <w:pPr>
            <w:pStyle w:val="TOC2"/>
            <w:tabs>
              <w:tab w:val="clear" w:pos="8743"/>
              <w:tab w:val="right" w:pos="9025" w:leader="dot"/>
            </w:tabs>
            <w:rPr/>
          </w:pPr>
          <w:hyperlink w:anchor="__RefHeading___Toc1255_3920751122">
            <w:r>
              <w:rPr>
                <w:rStyle w:val="IndexLink"/>
              </w:rPr>
              <w:t>1.1 Purpose and Scope</w:t>
              <w:tab/>
              <w:t>10</w:t>
            </w:r>
          </w:hyperlink>
        </w:p>
        <w:p>
          <w:pPr>
            <w:pStyle w:val="TOC2"/>
            <w:tabs>
              <w:tab w:val="clear" w:pos="8743"/>
              <w:tab w:val="right" w:pos="9025" w:leader="dot"/>
            </w:tabs>
            <w:rPr/>
          </w:pPr>
          <w:hyperlink w:anchor="__RefHeading___Toc1257_3920751122">
            <w:r>
              <w:rPr>
                <w:rStyle w:val="IndexLink"/>
              </w:rPr>
              <w:t>1.2 Evidence Base</w:t>
              <w:tab/>
              <w:t>10</w:t>
            </w:r>
          </w:hyperlink>
        </w:p>
        <w:p>
          <w:pPr>
            <w:pStyle w:val="TOC2"/>
            <w:tabs>
              <w:tab w:val="clear" w:pos="8743"/>
              <w:tab w:val="right" w:pos="9025" w:leader="dot"/>
            </w:tabs>
            <w:rPr/>
          </w:pPr>
          <w:hyperlink w:anchor="__RefHeading___Toc1259_3920751122">
            <w:r>
              <w:rPr>
                <w:rStyle w:val="IndexLink"/>
              </w:rPr>
              <w:t>1.3 Readiness Framework</w:t>
              <w:tab/>
              <w:t>11</w:t>
            </w:r>
          </w:hyperlink>
        </w:p>
        <w:p>
          <w:pPr>
            <w:pStyle w:val="TOC2"/>
            <w:tabs>
              <w:tab w:val="clear" w:pos="8743"/>
              <w:tab w:val="right" w:pos="9025" w:leader="dot"/>
            </w:tabs>
            <w:rPr/>
          </w:pPr>
          <w:hyperlink w:anchor="__RefHeading___Toc1261_3920751122">
            <w:r>
              <w:rPr>
                <w:rStyle w:val="IndexLink"/>
              </w:rPr>
              <w:t>1.4 Limitations</w:t>
              <w:tab/>
              <w:t>11</w:t>
            </w:r>
          </w:hyperlink>
        </w:p>
        <w:p>
          <w:pPr>
            <w:pStyle w:val="TOC1"/>
            <w:tabs>
              <w:tab w:val="clear" w:pos="9026"/>
              <w:tab w:val="right" w:pos="9025" w:leader="dot"/>
            </w:tabs>
            <w:rPr/>
          </w:pPr>
          <w:hyperlink w:anchor="__RefHeading___Toc1263_3920751122">
            <w:r>
              <w:rPr>
                <w:rStyle w:val="IndexLink"/>
              </w:rPr>
              <w:t>2. Priority Value Chains and Value Chain Nodes</w:t>
              <w:tab/>
              <w:t>13</w:t>
            </w:r>
          </w:hyperlink>
        </w:p>
        <w:p>
          <w:pPr>
            <w:pStyle w:val="TOC2"/>
            <w:tabs>
              <w:tab w:val="clear" w:pos="8743"/>
              <w:tab w:val="right" w:pos="9025" w:leader="dot"/>
            </w:tabs>
            <w:rPr/>
          </w:pPr>
          <w:hyperlink w:anchor="__RefHeading___Toc1265_3920751122">
            <w:r>
              <w:rPr>
                <w:rStyle w:val="IndexLink"/>
              </w:rPr>
              <w:t>2.1 The Eight Value Chains</w:t>
              <w:tab/>
              <w:t>13</w:t>
            </w:r>
          </w:hyperlink>
        </w:p>
        <w:p>
          <w:pPr>
            <w:pStyle w:val="TOC2"/>
            <w:tabs>
              <w:tab w:val="clear" w:pos="8743"/>
              <w:tab w:val="right" w:pos="9025" w:leader="dot"/>
            </w:tabs>
            <w:rPr/>
          </w:pPr>
          <w:hyperlink w:anchor="__RefHeading___Toc1267_3920751122">
            <w:r>
              <w:rPr>
                <w:rStyle w:val="IndexLink"/>
              </w:rPr>
              <w:t>2.2 Value Chain Nodes</w:t>
              <w:tab/>
              <w:t>14</w:t>
            </w:r>
          </w:hyperlink>
        </w:p>
        <w:p>
          <w:pPr>
            <w:pStyle w:val="TOC1"/>
            <w:tabs>
              <w:tab w:val="clear" w:pos="9026"/>
              <w:tab w:val="right" w:pos="9025" w:leader="dot"/>
            </w:tabs>
            <w:rPr/>
          </w:pPr>
          <w:hyperlink w:anchor="__RefHeading___Toc1269_3920751122">
            <w:r>
              <w:rPr>
                <w:rStyle w:val="IndexLink"/>
              </w:rPr>
              <w:t>3. MSME Business Models</w:t>
              <w:tab/>
              <w:t>16</w:t>
            </w:r>
          </w:hyperlink>
        </w:p>
        <w:p>
          <w:pPr>
            <w:pStyle w:val="TOC2"/>
            <w:tabs>
              <w:tab w:val="clear" w:pos="8743"/>
              <w:tab w:val="right" w:pos="9025" w:leader="dot"/>
            </w:tabs>
            <w:rPr/>
          </w:pPr>
          <w:hyperlink w:anchor="__RefHeading___Toc1271_3920751122">
            <w:r>
              <w:rPr>
                <w:rStyle w:val="IndexLink"/>
              </w:rPr>
              <w:t>3.1 Common Features</w:t>
              <w:tab/>
              <w:t>16</w:t>
            </w:r>
          </w:hyperlink>
        </w:p>
        <w:p>
          <w:pPr>
            <w:pStyle w:val="TOC2"/>
            <w:tabs>
              <w:tab w:val="clear" w:pos="8743"/>
              <w:tab w:val="right" w:pos="9025" w:leader="dot"/>
            </w:tabs>
            <w:rPr/>
          </w:pPr>
          <w:hyperlink w:anchor="__RefHeading___Toc1273_3920751122">
            <w:r>
              <w:rPr>
                <w:rStyle w:val="IndexLink"/>
              </w:rPr>
              <w:t>3.2 Business Models by Value Chain</w:t>
              <w:tab/>
              <w:t>16</w:t>
            </w:r>
          </w:hyperlink>
        </w:p>
        <w:p>
          <w:pPr>
            <w:pStyle w:val="TOC1"/>
            <w:tabs>
              <w:tab w:val="clear" w:pos="9026"/>
              <w:tab w:val="right" w:pos="9025" w:leader="dot"/>
            </w:tabs>
            <w:rPr/>
          </w:pPr>
          <w:hyperlink w:anchor="__RefHeading___Toc1275_3920751122">
            <w:r>
              <w:rPr>
                <w:rStyle w:val="IndexLink"/>
              </w:rPr>
              <w:t>4. Financial Practices, Record-Keeping and Informality</w:t>
              <w:tab/>
              <w:t>18</w:t>
            </w:r>
          </w:hyperlink>
        </w:p>
        <w:p>
          <w:pPr>
            <w:pStyle w:val="TOC2"/>
            <w:tabs>
              <w:tab w:val="clear" w:pos="8743"/>
              <w:tab w:val="right" w:pos="9025" w:leader="dot"/>
            </w:tabs>
            <w:rPr/>
          </w:pPr>
          <w:hyperlink w:anchor="__RefHeading___Toc1277_3920751122">
            <w:r>
              <w:rPr>
                <w:rStyle w:val="IndexLink"/>
              </w:rPr>
              <w:t>4.1 Financial Practices</w:t>
              <w:tab/>
              <w:t>18</w:t>
            </w:r>
          </w:hyperlink>
        </w:p>
        <w:p>
          <w:pPr>
            <w:pStyle w:val="TOC2"/>
            <w:tabs>
              <w:tab w:val="clear" w:pos="8743"/>
              <w:tab w:val="right" w:pos="9025" w:leader="dot"/>
            </w:tabs>
            <w:rPr/>
          </w:pPr>
          <w:hyperlink w:anchor="__RefHeading___Toc1279_3920751122">
            <w:r>
              <w:rPr>
                <w:rStyle w:val="IndexLink"/>
              </w:rPr>
              <w:t>4.2 Record-Keeping</w:t>
              <w:tab/>
              <w:t>18</w:t>
            </w:r>
          </w:hyperlink>
        </w:p>
        <w:p>
          <w:pPr>
            <w:pStyle w:val="TOC2"/>
            <w:tabs>
              <w:tab w:val="clear" w:pos="8743"/>
              <w:tab w:val="right" w:pos="9025" w:leader="dot"/>
            </w:tabs>
            <w:rPr/>
          </w:pPr>
          <w:hyperlink w:anchor="__RefHeading___Toc1281_3920751122">
            <w:r>
              <w:rPr>
                <w:rStyle w:val="IndexLink"/>
              </w:rPr>
              <w:t>4.3 Informality and its Cost</w:t>
              <w:tab/>
              <w:t>18</w:t>
            </w:r>
          </w:hyperlink>
        </w:p>
        <w:p>
          <w:pPr>
            <w:pStyle w:val="TOC2"/>
            <w:tabs>
              <w:tab w:val="clear" w:pos="8743"/>
              <w:tab w:val="right" w:pos="9025" w:leader="dot"/>
            </w:tabs>
            <w:rPr/>
          </w:pPr>
          <w:hyperlink w:anchor="__RefHeading___Toc1283_3920751122">
            <w:r>
              <w:rPr>
                <w:rStyle w:val="IndexLink"/>
              </w:rPr>
              <w:t>4.4 Readiness by Value Chain</w:t>
              <w:tab/>
              <w:t>19</w:t>
            </w:r>
          </w:hyperlink>
        </w:p>
        <w:p>
          <w:pPr>
            <w:pStyle w:val="TOC1"/>
            <w:tabs>
              <w:tab w:val="clear" w:pos="9026"/>
              <w:tab w:val="right" w:pos="9025" w:leader="dot"/>
            </w:tabs>
            <w:rPr/>
          </w:pPr>
          <w:hyperlink w:anchor="__RefHeading___Toc1285_3920751122">
            <w:r>
              <w:rPr>
                <w:rStyle w:val="IndexLink"/>
              </w:rPr>
              <w:t>5. Variation by Gender, Age and Value Chain Node</w:t>
              <w:tab/>
              <w:t>20</w:t>
            </w:r>
          </w:hyperlink>
        </w:p>
        <w:p>
          <w:pPr>
            <w:pStyle w:val="TOC2"/>
            <w:tabs>
              <w:tab w:val="clear" w:pos="8743"/>
              <w:tab w:val="right" w:pos="9025" w:leader="dot"/>
            </w:tabs>
            <w:rPr/>
          </w:pPr>
          <w:hyperlink w:anchor="__RefHeading___Toc1287_3920751122">
            <w:r>
              <w:rPr>
                <w:rStyle w:val="IndexLink"/>
              </w:rPr>
              <w:t>5.1 What the Evidence Can and Cannot Say</w:t>
              <w:tab/>
              <w:t>20</w:t>
            </w:r>
          </w:hyperlink>
        </w:p>
        <w:p>
          <w:pPr>
            <w:pStyle w:val="TOC2"/>
            <w:tabs>
              <w:tab w:val="clear" w:pos="8743"/>
              <w:tab w:val="right" w:pos="9025" w:leader="dot"/>
            </w:tabs>
            <w:rPr/>
          </w:pPr>
          <w:hyperlink w:anchor="__RefHeading___Toc1289_3920751122">
            <w:r>
              <w:rPr>
                <w:rStyle w:val="IndexLink"/>
              </w:rPr>
              <w:t>5.2 Gender</w:t>
              <w:tab/>
              <w:t>20</w:t>
            </w:r>
          </w:hyperlink>
        </w:p>
        <w:p>
          <w:pPr>
            <w:pStyle w:val="TOC2"/>
            <w:tabs>
              <w:tab w:val="clear" w:pos="8743"/>
              <w:tab w:val="right" w:pos="9025" w:leader="dot"/>
            </w:tabs>
            <w:rPr/>
          </w:pPr>
          <w:hyperlink w:anchor="__RefHeading___Toc1291_3920751122">
            <w:r>
              <w:rPr>
                <w:rStyle w:val="IndexLink"/>
              </w:rPr>
              <w:t>5.3 Age</w:t>
              <w:tab/>
              <w:t>21</w:t>
            </w:r>
          </w:hyperlink>
        </w:p>
        <w:p>
          <w:pPr>
            <w:pStyle w:val="TOC2"/>
            <w:tabs>
              <w:tab w:val="clear" w:pos="8743"/>
              <w:tab w:val="right" w:pos="9025" w:leader="dot"/>
            </w:tabs>
            <w:rPr/>
          </w:pPr>
          <w:hyperlink w:anchor="__RefHeading___Toc1293_3920751122">
            <w:r>
              <w:rPr>
                <w:rStyle w:val="IndexLink"/>
              </w:rPr>
              <w:t>5.4 Value Chain Node</w:t>
              <w:tab/>
              <w:t>21</w:t>
            </w:r>
          </w:hyperlink>
        </w:p>
        <w:p>
          <w:pPr>
            <w:pStyle w:val="TOC1"/>
            <w:tabs>
              <w:tab w:val="clear" w:pos="9026"/>
              <w:tab w:val="right" w:pos="9025" w:leader="dot"/>
            </w:tabs>
            <w:rPr/>
          </w:pPr>
          <w:hyperlink w:anchor="__RefHeading___Toc1295_3920751122">
            <w:r>
              <w:rPr>
                <w:rStyle w:val="IndexLink"/>
              </w:rPr>
              <w:t>6. Capacity-Building Needs</w:t>
              <w:tab/>
              <w:t>22</w:t>
            </w:r>
          </w:hyperlink>
        </w:p>
        <w:p>
          <w:pPr>
            <w:pStyle w:val="TOC2"/>
            <w:tabs>
              <w:tab w:val="clear" w:pos="8743"/>
              <w:tab w:val="right" w:pos="9025" w:leader="dot"/>
            </w:tabs>
            <w:rPr/>
          </w:pPr>
          <w:hyperlink w:anchor="__RefHeading___Toc1297_3920751122">
            <w:r>
              <w:rPr>
                <w:rStyle w:val="IndexLink"/>
              </w:rPr>
              <w:t>6.1 MSMEs</w:t>
              <w:tab/>
              <w:t>22</w:t>
            </w:r>
          </w:hyperlink>
        </w:p>
        <w:p>
          <w:pPr>
            <w:pStyle w:val="TOC2"/>
            <w:tabs>
              <w:tab w:val="clear" w:pos="8743"/>
              <w:tab w:val="right" w:pos="9025" w:leader="dot"/>
            </w:tabs>
            <w:rPr/>
          </w:pPr>
          <w:hyperlink w:anchor="__RefHeading___Toc1299_3920751122">
            <w:r>
              <w:rPr>
                <w:rStyle w:val="IndexLink"/>
              </w:rPr>
              <w:t>6.2 Business Support Organisations</w:t>
              <w:tab/>
              <w:t>25</w:t>
            </w:r>
          </w:hyperlink>
        </w:p>
        <w:p>
          <w:pPr>
            <w:pStyle w:val="TOC2"/>
            <w:tabs>
              <w:tab w:val="clear" w:pos="8743"/>
              <w:tab w:val="right" w:pos="9025" w:leader="dot"/>
            </w:tabs>
            <w:rPr/>
          </w:pPr>
          <w:hyperlink w:anchor="__RefHeading___Toc1301_3920751122">
            <w:r>
              <w:rPr>
                <w:rStyle w:val="IndexLink"/>
              </w:rPr>
              <w:t>6.3 Financial Institutions</w:t>
              <w:tab/>
              <w:t>28</w:t>
            </w:r>
          </w:hyperlink>
        </w:p>
        <w:p>
          <w:pPr>
            <w:pStyle w:val="TOC2"/>
            <w:tabs>
              <w:tab w:val="clear" w:pos="8743"/>
              <w:tab w:val="right" w:pos="9025" w:leader="dot"/>
            </w:tabs>
            <w:rPr/>
          </w:pPr>
          <w:hyperlink w:anchor="__RefHeading___Toc1303_3920751122">
            <w:r>
              <w:rPr>
                <w:rStyle w:val="IndexLink"/>
              </w:rPr>
              <w:t>6.4 Tourism MSME Needs, Interventions and Support BSOs by Country</w:t>
              <w:tab/>
              <w:t>29</w:t>
            </w:r>
          </w:hyperlink>
        </w:p>
        <w:p>
          <w:pPr>
            <w:pStyle w:val="TOC1"/>
            <w:tabs>
              <w:tab w:val="clear" w:pos="9026"/>
              <w:tab w:val="right" w:pos="9025" w:leader="dot"/>
            </w:tabs>
            <w:rPr/>
          </w:pPr>
          <w:hyperlink w:anchor="__RefHeading___Toc1305_3920751122">
            <w:r>
              <w:rPr>
                <w:rStyle w:val="IndexLink"/>
              </w:rPr>
              <w:t>7. Enabling Environment</w:t>
              <w:tab/>
              <w:t>34</w:t>
            </w:r>
          </w:hyperlink>
        </w:p>
        <w:p>
          <w:pPr>
            <w:pStyle w:val="TOC2"/>
            <w:tabs>
              <w:tab w:val="clear" w:pos="8743"/>
              <w:tab w:val="right" w:pos="9025" w:leader="dot"/>
            </w:tabs>
            <w:rPr/>
          </w:pPr>
          <w:hyperlink w:anchor="__RefHeading___Toc1307_3920751122">
            <w:r>
              <w:rPr>
                <w:rStyle w:val="IndexLink"/>
              </w:rPr>
              <w:t>7.1 National and Regional Regulatory Frameworks</w:t>
              <w:tab/>
              <w:t>34</w:t>
            </w:r>
          </w:hyperlink>
        </w:p>
        <w:p>
          <w:pPr>
            <w:pStyle w:val="TOC2"/>
            <w:tabs>
              <w:tab w:val="clear" w:pos="8743"/>
              <w:tab w:val="right" w:pos="9025" w:leader="dot"/>
            </w:tabs>
            <w:rPr/>
          </w:pPr>
          <w:hyperlink w:anchor="__RefHeading___Toc1309_3920751122">
            <w:r>
              <w:rPr>
                <w:rStyle w:val="IndexLink"/>
              </w:rPr>
              <w:t>7.2 Market Access and Linkages with Larger Operators</w:t>
              <w:tab/>
              <w:t>38</w:t>
            </w:r>
          </w:hyperlink>
        </w:p>
        <w:p>
          <w:pPr>
            <w:pStyle w:val="TOC2"/>
            <w:tabs>
              <w:tab w:val="clear" w:pos="8743"/>
              <w:tab w:val="right" w:pos="9025" w:leader="dot"/>
            </w:tabs>
            <w:rPr/>
          </w:pPr>
          <w:hyperlink w:anchor="__RefHeading___Toc1311_3920751122">
            <w:r>
              <w:rPr>
                <w:rStyle w:val="IndexLink"/>
              </w:rPr>
              <w:t>7.3 Business Development Services</w:t>
              <w:tab/>
              <w:t>40</w:t>
            </w:r>
          </w:hyperlink>
        </w:p>
        <w:p>
          <w:pPr>
            <w:pStyle w:val="TOC2"/>
            <w:tabs>
              <w:tab w:val="clear" w:pos="8743"/>
              <w:tab w:val="right" w:pos="9025" w:leader="dot"/>
            </w:tabs>
            <w:rPr/>
          </w:pPr>
          <w:hyperlink w:anchor="__RefHeading___Toc1313_3920751122">
            <w:r>
              <w:rPr>
                <w:rStyle w:val="IndexLink"/>
              </w:rPr>
              <w:t>7.4 Policy Conditions</w:t>
              <w:tab/>
              <w:t>42</w:t>
            </w:r>
          </w:hyperlink>
        </w:p>
        <w:p>
          <w:pPr>
            <w:pStyle w:val="TOC1"/>
            <w:tabs>
              <w:tab w:val="clear" w:pos="9026"/>
              <w:tab w:val="right" w:pos="9025" w:leader="dot"/>
            </w:tabs>
            <w:rPr/>
          </w:pPr>
          <w:hyperlink w:anchor="__RefHeading___Toc1315_3920751122">
            <w:r>
              <w:rPr>
                <w:rStyle w:val="IndexLink"/>
              </w:rPr>
              <w:t>8. Readiness for Financial Products</w:t>
              <w:tab/>
              <w:t>43</w:t>
            </w:r>
          </w:hyperlink>
        </w:p>
        <w:p>
          <w:pPr>
            <w:pStyle w:val="TOC2"/>
            <w:tabs>
              <w:tab w:val="clear" w:pos="8743"/>
              <w:tab w:val="right" w:pos="9025" w:leader="dot"/>
            </w:tabs>
            <w:rPr/>
          </w:pPr>
          <w:hyperlink w:anchor="__RefHeading___Toc1317_3920751122">
            <w:r>
              <w:rPr>
                <w:rStyle w:val="IndexLink"/>
              </w:rPr>
              <w:t>8.1 The Effect of Seasonality on Debt</w:t>
              <w:tab/>
              <w:t>43</w:t>
            </w:r>
          </w:hyperlink>
        </w:p>
        <w:p>
          <w:pPr>
            <w:pStyle w:val="TOC2"/>
            <w:tabs>
              <w:tab w:val="clear" w:pos="8743"/>
              <w:tab w:val="right" w:pos="9025" w:leader="dot"/>
            </w:tabs>
            <w:rPr/>
          </w:pPr>
          <w:hyperlink w:anchor="__RefHeading___Toc1319_3920751122">
            <w:r>
              <w:rPr>
                <w:rStyle w:val="IndexLink"/>
              </w:rPr>
              <w:t>8.2 MSME Readiness by Product</w:t>
              <w:tab/>
              <w:t>43</w:t>
            </w:r>
          </w:hyperlink>
        </w:p>
        <w:p>
          <w:pPr>
            <w:pStyle w:val="TOC2"/>
            <w:tabs>
              <w:tab w:val="clear" w:pos="8743"/>
              <w:tab w:val="right" w:pos="9025" w:leader="dot"/>
            </w:tabs>
            <w:rPr/>
          </w:pPr>
          <w:hyperlink w:anchor="__RefHeading___Toc1321_3920751122">
            <w:r>
              <w:rPr>
                <w:rStyle w:val="IndexLink"/>
              </w:rPr>
              <w:t>8.3 Financial Institution Readiness by Product</w:t>
              <w:tab/>
              <w:t>44</w:t>
            </w:r>
          </w:hyperlink>
        </w:p>
        <w:p>
          <w:pPr>
            <w:pStyle w:val="TOC1"/>
            <w:tabs>
              <w:tab w:val="clear" w:pos="9026"/>
              <w:tab w:val="right" w:pos="9025" w:leader="dot"/>
            </w:tabs>
            <w:rPr/>
          </w:pPr>
          <w:hyperlink w:anchor="__RefHeading___Toc1323_3920751122">
            <w:r>
              <w:rPr>
                <w:rStyle w:val="IndexLink"/>
              </w:rPr>
              <w:t>9. Scalable Women- and Youth-Led Models</w:t>
              <w:tab/>
              <w:t>45</w:t>
            </w:r>
          </w:hyperlink>
        </w:p>
        <w:p>
          <w:pPr>
            <w:pStyle w:val="TOC1"/>
            <w:tabs>
              <w:tab w:val="clear" w:pos="9026"/>
              <w:tab w:val="right" w:pos="9025" w:leader="dot"/>
            </w:tabs>
            <w:rPr/>
          </w:pPr>
          <w:hyperlink w:anchor="__RefHeading___Toc1325_3920751122">
            <w:r>
              <w:rPr>
                <w:rStyle w:val="IndexLink"/>
              </w:rPr>
              <w:t>10. Recommended Capacity-Building Interventions</w:t>
              <w:tab/>
              <w:t>47</w:t>
            </w:r>
          </w:hyperlink>
        </w:p>
        <w:p>
          <w:pPr>
            <w:pStyle w:val="TOC2"/>
            <w:tabs>
              <w:tab w:val="clear" w:pos="8743"/>
              <w:tab w:val="right" w:pos="9025" w:leader="dot"/>
            </w:tabs>
            <w:rPr/>
          </w:pPr>
          <w:hyperlink w:anchor="__RefHeading___Toc1327_3920751122">
            <w:r>
              <w:rPr>
                <w:rStyle w:val="IndexLink"/>
              </w:rPr>
              <w:t>10.1 A Tiered Readiness Pathway</w:t>
              <w:tab/>
              <w:t>47</w:t>
            </w:r>
          </w:hyperlink>
        </w:p>
        <w:p>
          <w:pPr>
            <w:pStyle w:val="TOC2"/>
            <w:tabs>
              <w:tab w:val="clear" w:pos="8743"/>
              <w:tab w:val="right" w:pos="9025" w:leader="dot"/>
            </w:tabs>
            <w:rPr/>
          </w:pPr>
          <w:hyperlink w:anchor="__RefHeading___Toc1329_3920751122">
            <w:r>
              <w:rPr>
                <w:rStyle w:val="IndexLink"/>
              </w:rPr>
              <w:t>10.2 Gender-Transformative Approaches</w:t>
              <w:tab/>
              <w:t>47</w:t>
            </w:r>
          </w:hyperlink>
        </w:p>
        <w:p>
          <w:pPr>
            <w:pStyle w:val="TOC2"/>
            <w:tabs>
              <w:tab w:val="clear" w:pos="8743"/>
              <w:tab w:val="right" w:pos="9025" w:leader="dot"/>
            </w:tabs>
            <w:rPr/>
          </w:pPr>
          <w:hyperlink w:anchor="__RefHeading___Toc1331_3920751122">
            <w:r>
              <w:rPr>
                <w:rStyle w:val="IndexLink"/>
              </w:rPr>
              <w:t>10.3 Youth-Focused Incubation</w:t>
              <w:tab/>
              <w:t>48</w:t>
            </w:r>
          </w:hyperlink>
        </w:p>
        <w:p>
          <w:pPr>
            <w:pStyle w:val="TOC2"/>
            <w:tabs>
              <w:tab w:val="clear" w:pos="8743"/>
              <w:tab w:val="right" w:pos="9025" w:leader="dot"/>
            </w:tabs>
            <w:rPr/>
          </w:pPr>
          <w:hyperlink w:anchor="__RefHeading___Toc1333_3920751122">
            <w:r>
              <w:rPr>
                <w:rStyle w:val="IndexLink"/>
              </w:rPr>
              <w:t>10.4 Blended Support Packages</w:t>
              <w:tab/>
              <w:t>48</w:t>
            </w:r>
          </w:hyperlink>
        </w:p>
        <w:p>
          <w:pPr>
            <w:pStyle w:val="TOC2"/>
            <w:tabs>
              <w:tab w:val="clear" w:pos="8743"/>
              <w:tab w:val="right" w:pos="9025" w:leader="dot"/>
            </w:tabs>
            <w:rPr/>
          </w:pPr>
          <w:hyperlink w:anchor="__RefHeading___Toc1335_3920751122">
            <w:r>
              <w:rPr>
                <w:rStyle w:val="IndexLink"/>
              </w:rPr>
              <w:t>10.5 BSO Strengthening</w:t>
              <w:tab/>
              <w:t>48</w:t>
            </w:r>
          </w:hyperlink>
        </w:p>
        <w:p>
          <w:pPr>
            <w:pStyle w:val="TOC2"/>
            <w:tabs>
              <w:tab w:val="clear" w:pos="8743"/>
              <w:tab w:val="right" w:pos="9025" w:leader="dot"/>
            </w:tabs>
            <w:rPr/>
          </w:pPr>
          <w:hyperlink w:anchor="__RefHeading___Toc1337_3920751122">
            <w:r>
              <w:rPr>
                <w:rStyle w:val="IndexLink"/>
              </w:rPr>
              <w:t>10.6 Financial Institution Strengthening</w:t>
              <w:tab/>
              <w:t>49</w:t>
            </w:r>
          </w:hyperlink>
        </w:p>
        <w:p>
          <w:pPr>
            <w:pStyle w:val="TOC2"/>
            <w:tabs>
              <w:tab w:val="clear" w:pos="8743"/>
              <w:tab w:val="right" w:pos="9025" w:leader="dot"/>
            </w:tabs>
            <w:rPr/>
          </w:pPr>
          <w:hyperlink w:anchor="__RefHeading___Toc1339_3920751122">
            <w:r>
              <w:rPr>
                <w:rStyle w:val="IndexLink"/>
              </w:rPr>
              <w:t>10.7 Enabling Environment and Market Linkage Actions</w:t>
              <w:tab/>
              <w:t>50</w:t>
            </w:r>
          </w:hyperlink>
        </w:p>
        <w:p>
          <w:pPr>
            <w:pStyle w:val="TOC2"/>
            <w:tabs>
              <w:tab w:val="clear" w:pos="8743"/>
              <w:tab w:val="right" w:pos="9025" w:leader="dot"/>
            </w:tabs>
            <w:rPr/>
          </w:pPr>
          <w:hyperlink w:anchor="__RefHeading___Toc1341_3920751122">
            <w:r>
              <w:rPr>
                <w:rStyle w:val="IndexLink"/>
              </w:rPr>
              <w:t>10.8 Pathways to Financing</w:t>
              <w:tab/>
              <w:t>50</w:t>
            </w:r>
          </w:hyperlink>
        </w:p>
        <w:p>
          <w:pPr>
            <w:pStyle w:val="TOC2"/>
            <w:tabs>
              <w:tab w:val="clear" w:pos="8743"/>
              <w:tab w:val="right" w:pos="9025" w:leader="dot"/>
            </w:tabs>
            <w:rPr/>
          </w:pPr>
          <w:hyperlink w:anchor="__RefHeading___Toc1343_3920751122">
            <w:r>
              <w:rPr>
                <w:rStyle w:val="IndexLink"/>
              </w:rPr>
              <w:t>10.9 Priorities and Next Steps</w:t>
              <w:tab/>
              <w:t>51</w:t>
            </w:r>
          </w:hyperlink>
        </w:p>
        <w:p>
          <w:pPr>
            <w:pStyle w:val="TOC1"/>
            <w:tabs>
              <w:tab w:val="clear" w:pos="9026"/>
              <w:tab w:val="right" w:pos="9025" w:leader="dot"/>
            </w:tabs>
            <w:rPr/>
          </w:pPr>
          <w:hyperlink w:anchor="__RefHeading___Toc1345_3920751122">
            <w:r>
              <w:rPr>
                <w:rStyle w:val="IndexLink"/>
              </w:rPr>
              <w:t>Annex A: Evidence Map</w:t>
              <w:tab/>
              <w:t>52</w:t>
            </w:r>
          </w:hyperlink>
        </w:p>
        <w:p>
          <w:pPr>
            <w:pStyle w:val="TOC1"/>
            <w:tabs>
              <w:tab w:val="clear" w:pos="9026"/>
              <w:tab w:val="right" w:pos="9025" w:leader="dot"/>
            </w:tabs>
            <w:rPr/>
          </w:pPr>
          <w:hyperlink w:anchor="__RefHeading___Toc1347_3920751122">
            <w:r>
              <w:rPr>
                <w:rStyle w:val="IndexLink"/>
              </w:rPr>
              <w:t>Annex B: Closing the Gender and Age Data Gap</w:t>
              <w:tab/>
              <w:t>53</w:t>
            </w:r>
          </w:hyperlink>
        </w:p>
        <w:p>
          <w:pPr>
            <w:pStyle w:val="TOC1"/>
            <w:tabs>
              <w:tab w:val="clear" w:pos="9026"/>
              <w:tab w:val="right" w:pos="9025" w:leader="dot"/>
            </w:tabs>
            <w:rPr/>
          </w:pPr>
          <w:hyperlink w:anchor="__RefHeading___Toc1349_3920751122">
            <w:r>
              <w:rPr>
                <w:rStyle w:val="IndexLink"/>
              </w:rPr>
              <w:t>References</w:t>
              <w:tab/>
              <w:t>54</w:t>
            </w:r>
          </w:hyperlink>
          <w:r>
            <w:rPr>
              <w:rStyle w:val="IndexLink"/>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360" w:charSpace="4096"/>
            </w:sectPr>
          </w:pPr>
          <w:r>
            <w:br w:type="page"/>
          </w:r>
        </w:p>
      </w:sdtContent>
    </w:sdt>
    <w:p>
      <w:pPr>
        <w:pStyle w:val="Normal"/>
        <w:spacing w:before="0" w:after="240"/>
        <w:rPr/>
      </w:pPr>
      <w:r>
        <w:rPr>
          <w:b/>
          <w:bCs/>
          <w:color w:val="1F5135"/>
          <w:sz w:val="32"/>
          <w:szCs w:val="32"/>
        </w:rPr>
        <w:t>Acronyms and Abbreviations</w:t>
      </w:r>
    </w:p>
    <w:p>
      <w:pPr>
        <w:pStyle w:val="Normal"/>
        <w:tabs>
          <w:tab w:val="clear" w:pos="720"/>
          <w:tab w:val="left" w:pos="1700" w:leader="none"/>
        </w:tabs>
        <w:spacing w:before="0" w:after="60"/>
        <w:ind w:hanging="1700" w:left="1700"/>
        <w:rPr/>
      </w:pPr>
      <w:r>
        <w:rPr>
          <w:b/>
          <w:bCs/>
        </w:rPr>
        <w:t>AFAWA</w:t>
      </w:r>
      <w:r>
        <w:rPr/>
        <w:tab/>
        <w:t>Affirmative Finance Action for Women in Africa (AfDB)</w:t>
      </w:r>
    </w:p>
    <w:p>
      <w:pPr>
        <w:pStyle w:val="Normal"/>
        <w:tabs>
          <w:tab w:val="clear" w:pos="720"/>
          <w:tab w:val="left" w:pos="1700" w:leader="none"/>
        </w:tabs>
        <w:spacing w:before="0" w:after="60"/>
        <w:ind w:hanging="1700" w:left="1700"/>
        <w:rPr/>
      </w:pPr>
      <w:r>
        <w:rPr>
          <w:b/>
          <w:bCs/>
        </w:rPr>
        <w:t>AFI</w:t>
      </w:r>
      <w:r>
        <w:rPr/>
        <w:tab/>
        <w:t>Alliance for Financial Inclusion</w:t>
      </w:r>
    </w:p>
    <w:p>
      <w:pPr>
        <w:pStyle w:val="Normal"/>
        <w:tabs>
          <w:tab w:val="clear" w:pos="720"/>
          <w:tab w:val="left" w:pos="1700" w:leader="none"/>
        </w:tabs>
        <w:spacing w:before="0" w:after="60"/>
        <w:ind w:hanging="1700" w:left="1700"/>
        <w:rPr/>
      </w:pPr>
      <w:r>
        <w:rPr>
          <w:b/>
          <w:bCs/>
        </w:rPr>
        <w:t>AGF</w:t>
      </w:r>
      <w:r>
        <w:rPr/>
        <w:tab/>
        <w:t>African Guarantee Fund</w:t>
      </w:r>
    </w:p>
    <w:p>
      <w:pPr>
        <w:pStyle w:val="Normal"/>
        <w:tabs>
          <w:tab w:val="clear" w:pos="720"/>
          <w:tab w:val="left" w:pos="1700" w:leader="none"/>
        </w:tabs>
        <w:spacing w:before="0" w:after="60"/>
        <w:ind w:hanging="1700" w:left="1700"/>
        <w:rPr/>
      </w:pPr>
      <w:r>
        <w:rPr>
          <w:b/>
          <w:bCs/>
        </w:rPr>
        <w:t>AIPEX</w:t>
      </w:r>
      <w:r>
        <w:rPr/>
        <w:tab/>
        <w:t>Agência de Investimento Privado e Promoção das Exportações (Angola)</w:t>
      </w:r>
    </w:p>
    <w:p>
      <w:pPr>
        <w:pStyle w:val="Normal"/>
        <w:tabs>
          <w:tab w:val="clear" w:pos="720"/>
          <w:tab w:val="left" w:pos="1700" w:leader="none"/>
        </w:tabs>
        <w:spacing w:before="0" w:after="60"/>
        <w:ind w:hanging="1700" w:left="1700"/>
        <w:rPr/>
      </w:pPr>
      <w:r>
        <w:rPr>
          <w:b/>
          <w:bCs/>
        </w:rPr>
        <w:t>B-READY</w:t>
      </w:r>
      <w:r>
        <w:rPr/>
        <w:tab/>
        <w:t>Business Ready (World Bank successor to Doing Business)</w:t>
      </w:r>
    </w:p>
    <w:p>
      <w:pPr>
        <w:pStyle w:val="Normal"/>
        <w:tabs>
          <w:tab w:val="clear" w:pos="720"/>
          <w:tab w:val="left" w:pos="1700" w:leader="none"/>
        </w:tabs>
        <w:spacing w:before="0" w:after="60"/>
        <w:ind w:hanging="1700" w:left="1700"/>
        <w:rPr/>
      </w:pPr>
      <w:r>
        <w:rPr>
          <w:b/>
          <w:bCs/>
        </w:rPr>
        <w:t>BDC</w:t>
      </w:r>
      <w:r>
        <w:rPr/>
        <w:tab/>
        <w:t>Botswana Development Corporation</w:t>
      </w:r>
    </w:p>
    <w:p>
      <w:pPr>
        <w:pStyle w:val="Normal"/>
        <w:tabs>
          <w:tab w:val="clear" w:pos="720"/>
          <w:tab w:val="left" w:pos="1700" w:leader="none"/>
        </w:tabs>
        <w:spacing w:before="0" w:after="60"/>
        <w:ind w:hanging="1700" w:left="1700"/>
        <w:rPr/>
      </w:pPr>
      <w:r>
        <w:rPr>
          <w:b/>
          <w:bCs/>
        </w:rPr>
        <w:t>BDS</w:t>
      </w:r>
      <w:r>
        <w:rPr/>
        <w:tab/>
        <w:t>Business development services</w:t>
      </w:r>
    </w:p>
    <w:p>
      <w:pPr>
        <w:pStyle w:val="Normal"/>
        <w:tabs>
          <w:tab w:val="clear" w:pos="720"/>
          <w:tab w:val="left" w:pos="1700" w:leader="none"/>
        </w:tabs>
        <w:spacing w:before="0" w:after="60"/>
        <w:ind w:hanging="1700" w:left="1700"/>
        <w:rPr/>
      </w:pPr>
      <w:r>
        <w:rPr>
          <w:b/>
          <w:bCs/>
        </w:rPr>
        <w:t>BEDIA</w:t>
      </w:r>
      <w:r>
        <w:rPr/>
        <w:tab/>
        <w:t>Botswana Export Development and Investment Authority (now part of BITC)</w:t>
      </w:r>
    </w:p>
    <w:p>
      <w:pPr>
        <w:pStyle w:val="Normal"/>
        <w:tabs>
          <w:tab w:val="clear" w:pos="720"/>
          <w:tab w:val="left" w:pos="1700" w:leader="none"/>
        </w:tabs>
        <w:spacing w:before="0" w:after="60"/>
        <w:ind w:hanging="1700" w:left="1700"/>
        <w:rPr/>
      </w:pPr>
      <w:r>
        <w:rPr>
          <w:b/>
          <w:bCs/>
        </w:rPr>
        <w:t>BEMA</w:t>
      </w:r>
      <w:r>
        <w:rPr/>
        <w:tab/>
        <w:t>Botswana Exporters and Manufacturers Association</w:t>
      </w:r>
    </w:p>
    <w:p>
      <w:pPr>
        <w:pStyle w:val="Normal"/>
        <w:tabs>
          <w:tab w:val="clear" w:pos="720"/>
          <w:tab w:val="left" w:pos="1700" w:leader="none"/>
        </w:tabs>
        <w:spacing w:before="0" w:after="60"/>
        <w:ind w:hanging="1700" w:left="1700"/>
        <w:rPr/>
      </w:pPr>
      <w:r>
        <w:rPr>
          <w:b/>
          <w:bCs/>
        </w:rPr>
        <w:t>BIPA</w:t>
      </w:r>
      <w:r>
        <w:rPr/>
        <w:tab/>
        <w:t>Business and Intellectual Property Authority (Namibia)</w:t>
      </w:r>
    </w:p>
    <w:p>
      <w:pPr>
        <w:pStyle w:val="Normal"/>
        <w:tabs>
          <w:tab w:val="clear" w:pos="720"/>
          <w:tab w:val="left" w:pos="1700" w:leader="none"/>
        </w:tabs>
        <w:spacing w:before="0" w:after="60"/>
        <w:ind w:hanging="1700" w:left="1700"/>
        <w:rPr/>
      </w:pPr>
      <w:r>
        <w:rPr>
          <w:b/>
          <w:bCs/>
        </w:rPr>
        <w:t>BITC</w:t>
      </w:r>
      <w:r>
        <w:rPr/>
        <w:tab/>
        <w:t>Botswana Investment and Trade Centre</w:t>
      </w:r>
    </w:p>
    <w:p>
      <w:pPr>
        <w:pStyle w:val="Normal"/>
        <w:tabs>
          <w:tab w:val="clear" w:pos="720"/>
          <w:tab w:val="left" w:pos="1700" w:leader="none"/>
        </w:tabs>
        <w:spacing w:before="0" w:after="60"/>
        <w:ind w:hanging="1700" w:left="1700"/>
        <w:rPr/>
      </w:pPr>
      <w:r>
        <w:rPr>
          <w:b/>
          <w:bCs/>
        </w:rPr>
        <w:t>BNPC</w:t>
      </w:r>
      <w:r>
        <w:rPr/>
        <w:tab/>
        <w:t>Botswana National Productivity Centre</w:t>
      </w:r>
    </w:p>
    <w:p>
      <w:pPr>
        <w:pStyle w:val="Normal"/>
        <w:tabs>
          <w:tab w:val="clear" w:pos="720"/>
          <w:tab w:val="left" w:pos="1700" w:leader="none"/>
        </w:tabs>
        <w:spacing w:before="0" w:after="60"/>
        <w:ind w:hanging="1700" w:left="1700"/>
        <w:rPr/>
      </w:pPr>
      <w:r>
        <w:rPr>
          <w:b/>
          <w:bCs/>
        </w:rPr>
        <w:t>BOBS</w:t>
      </w:r>
      <w:r>
        <w:rPr/>
        <w:tab/>
        <w:t>Botswana Bureau of Standards</w:t>
      </w:r>
    </w:p>
    <w:p>
      <w:pPr>
        <w:pStyle w:val="Normal"/>
        <w:tabs>
          <w:tab w:val="clear" w:pos="720"/>
          <w:tab w:val="left" w:pos="1700" w:leader="none"/>
        </w:tabs>
        <w:spacing w:before="0" w:after="60"/>
        <w:ind w:hanging="1700" w:left="1700"/>
        <w:rPr/>
      </w:pPr>
      <w:r>
        <w:rPr>
          <w:b/>
          <w:bCs/>
        </w:rPr>
        <w:t>BOCCIM</w:t>
      </w:r>
      <w:r>
        <w:rPr/>
        <w:tab/>
        <w:t>Botswana Confederation of Commerce, Industry and Manpower (now Business Botswana)</w:t>
      </w:r>
    </w:p>
    <w:p>
      <w:pPr>
        <w:pStyle w:val="Normal"/>
        <w:tabs>
          <w:tab w:val="clear" w:pos="720"/>
          <w:tab w:val="left" w:pos="1700" w:leader="none"/>
        </w:tabs>
        <w:spacing w:before="0" w:after="60"/>
        <w:ind w:hanging="1700" w:left="1700"/>
        <w:rPr/>
      </w:pPr>
      <w:r>
        <w:rPr>
          <w:b/>
          <w:bCs/>
        </w:rPr>
        <w:t>BOCOBONET</w:t>
      </w:r>
      <w:r>
        <w:rPr/>
        <w:tab/>
        <w:t>Botswana Community Based Organisations Network</w:t>
      </w:r>
    </w:p>
    <w:p>
      <w:pPr>
        <w:pStyle w:val="Normal"/>
        <w:tabs>
          <w:tab w:val="clear" w:pos="720"/>
          <w:tab w:val="left" w:pos="1700" w:leader="none"/>
        </w:tabs>
        <w:spacing w:before="0" w:after="60"/>
        <w:ind w:hanging="1700" w:left="1700"/>
        <w:rPr/>
      </w:pPr>
      <w:r>
        <w:rPr>
          <w:b/>
          <w:bCs/>
        </w:rPr>
        <w:t>BOTA</w:t>
      </w:r>
      <w:r>
        <w:rPr/>
        <w:tab/>
        <w:t>Botswana Training Authority</w:t>
      </w:r>
    </w:p>
    <w:p>
      <w:pPr>
        <w:pStyle w:val="Normal"/>
        <w:tabs>
          <w:tab w:val="clear" w:pos="720"/>
          <w:tab w:val="left" w:pos="1700" w:leader="none"/>
        </w:tabs>
        <w:spacing w:before="0" w:after="60"/>
        <w:ind w:hanging="1700" w:left="1700"/>
        <w:rPr/>
      </w:pPr>
      <w:r>
        <w:rPr>
          <w:b/>
          <w:bCs/>
        </w:rPr>
        <w:t>BRRA</w:t>
      </w:r>
      <w:r>
        <w:rPr/>
        <w:tab/>
        <w:t>Business Regulatory Review Agency (Zambia)</w:t>
      </w:r>
    </w:p>
    <w:p>
      <w:pPr>
        <w:pStyle w:val="Normal"/>
        <w:tabs>
          <w:tab w:val="clear" w:pos="720"/>
          <w:tab w:val="left" w:pos="1700" w:leader="none"/>
        </w:tabs>
        <w:spacing w:before="0" w:after="60"/>
        <w:ind w:hanging="1700" w:left="1700"/>
        <w:rPr/>
      </w:pPr>
      <w:r>
        <w:rPr>
          <w:b/>
          <w:bCs/>
        </w:rPr>
        <w:t>BSO</w:t>
      </w:r>
      <w:r>
        <w:rPr/>
        <w:tab/>
        <w:t>Business support organisation</w:t>
      </w:r>
    </w:p>
    <w:p>
      <w:pPr>
        <w:pStyle w:val="Normal"/>
        <w:tabs>
          <w:tab w:val="clear" w:pos="720"/>
          <w:tab w:val="left" w:pos="1700" w:leader="none"/>
        </w:tabs>
        <w:spacing w:before="0" w:after="60"/>
        <w:ind w:hanging="1700" w:left="1700"/>
        <w:rPr/>
      </w:pPr>
      <w:r>
        <w:rPr>
          <w:b/>
          <w:bCs/>
        </w:rPr>
        <w:t>BTO</w:t>
      </w:r>
      <w:r>
        <w:rPr/>
        <w:tab/>
        <w:t>Botswana Tourism Organisation</w:t>
      </w:r>
    </w:p>
    <w:p>
      <w:pPr>
        <w:pStyle w:val="Normal"/>
        <w:tabs>
          <w:tab w:val="clear" w:pos="720"/>
          <w:tab w:val="left" w:pos="1700" w:leader="none"/>
        </w:tabs>
        <w:spacing w:before="0" w:after="60"/>
        <w:ind w:hanging="1700" w:left="1700"/>
        <w:rPr/>
      </w:pPr>
      <w:r>
        <w:rPr>
          <w:b/>
          <w:bCs/>
        </w:rPr>
        <w:t>BUE</w:t>
      </w:r>
      <w:r>
        <w:rPr/>
        <w:tab/>
        <w:t>Balcão Único do Empreendedor (Angola)</w:t>
      </w:r>
    </w:p>
    <w:p>
      <w:pPr>
        <w:pStyle w:val="Normal"/>
        <w:tabs>
          <w:tab w:val="clear" w:pos="720"/>
          <w:tab w:val="left" w:pos="1700" w:leader="none"/>
        </w:tabs>
        <w:spacing w:before="0" w:after="60"/>
        <w:ind w:hanging="1700" w:left="1700"/>
        <w:rPr/>
      </w:pPr>
      <w:r>
        <w:rPr>
          <w:b/>
          <w:bCs/>
        </w:rPr>
        <w:t>BWP</w:t>
      </w:r>
      <w:r>
        <w:rPr/>
        <w:tab/>
        <w:t>Botswana pula</w:t>
      </w:r>
    </w:p>
    <w:p>
      <w:pPr>
        <w:pStyle w:val="Normal"/>
        <w:tabs>
          <w:tab w:val="clear" w:pos="720"/>
          <w:tab w:val="left" w:pos="1700" w:leader="none"/>
        </w:tabs>
        <w:spacing w:before="0" w:after="60"/>
        <w:ind w:hanging="1700" w:left="1700"/>
        <w:rPr/>
      </w:pPr>
      <w:r>
        <w:rPr>
          <w:b/>
          <w:bCs/>
        </w:rPr>
        <w:t>CAMPFIRE</w:t>
      </w:r>
      <w:r>
        <w:rPr/>
        <w:tab/>
        <w:t>Communal Areas Management Programme for Indigenous Resources (Zimbabwe)</w:t>
      </w:r>
    </w:p>
    <w:p>
      <w:pPr>
        <w:pStyle w:val="Normal"/>
        <w:tabs>
          <w:tab w:val="clear" w:pos="720"/>
          <w:tab w:val="left" w:pos="1700" w:leader="none"/>
        </w:tabs>
        <w:spacing w:before="0" w:after="60"/>
        <w:ind w:hanging="1700" w:left="1700"/>
        <w:rPr/>
      </w:pPr>
      <w:r>
        <w:rPr>
          <w:b/>
          <w:bCs/>
        </w:rPr>
        <w:t>CBNRM</w:t>
      </w:r>
      <w:r>
        <w:rPr/>
        <w:tab/>
        <w:t>Community-based natural resource management</w:t>
      </w:r>
    </w:p>
    <w:p>
      <w:pPr>
        <w:pStyle w:val="Normal"/>
        <w:tabs>
          <w:tab w:val="clear" w:pos="720"/>
          <w:tab w:val="left" w:pos="1700" w:leader="none"/>
        </w:tabs>
        <w:spacing w:before="0" w:after="60"/>
        <w:ind w:hanging="1700" w:left="1700"/>
        <w:rPr/>
      </w:pPr>
      <w:r>
        <w:rPr>
          <w:b/>
          <w:bCs/>
        </w:rPr>
        <w:t>CBO</w:t>
      </w:r>
      <w:r>
        <w:rPr/>
        <w:tab/>
        <w:t>Community-based organisation</w:t>
      </w:r>
    </w:p>
    <w:p>
      <w:pPr>
        <w:pStyle w:val="Normal"/>
        <w:tabs>
          <w:tab w:val="clear" w:pos="720"/>
          <w:tab w:val="left" w:pos="1700" w:leader="none"/>
        </w:tabs>
        <w:spacing w:before="0" w:after="60"/>
        <w:ind w:hanging="1700" w:left="1700"/>
        <w:rPr/>
      </w:pPr>
      <w:r>
        <w:rPr>
          <w:b/>
          <w:bCs/>
        </w:rPr>
        <w:t>CCFN</w:t>
      </w:r>
      <w:r>
        <w:rPr/>
        <w:tab/>
        <w:t>Community Conservation Fund of Namibia</w:t>
      </w:r>
    </w:p>
    <w:p>
      <w:pPr>
        <w:pStyle w:val="Normal"/>
        <w:tabs>
          <w:tab w:val="clear" w:pos="720"/>
          <w:tab w:val="left" w:pos="1700" w:leader="none"/>
        </w:tabs>
        <w:spacing w:before="0" w:after="60"/>
        <w:ind w:hanging="1700" w:left="1700"/>
        <w:rPr/>
      </w:pPr>
      <w:r>
        <w:rPr>
          <w:b/>
          <w:bCs/>
        </w:rPr>
        <w:t>CCIA</w:t>
      </w:r>
      <w:r>
        <w:rPr/>
        <w:tab/>
        <w:t>Câmara de Comércio e Indústria de Angola</w:t>
      </w:r>
    </w:p>
    <w:p>
      <w:pPr>
        <w:pStyle w:val="Normal"/>
        <w:tabs>
          <w:tab w:val="clear" w:pos="720"/>
          <w:tab w:val="left" w:pos="1700" w:leader="none"/>
        </w:tabs>
        <w:spacing w:before="0" w:after="60"/>
        <w:ind w:hanging="1700" w:left="1700"/>
        <w:rPr/>
      </w:pPr>
      <w:r>
        <w:rPr>
          <w:b/>
          <w:bCs/>
        </w:rPr>
        <w:t>CDE</w:t>
      </w:r>
      <w:r>
        <w:rPr/>
        <w:tab/>
        <w:t>Centre for the Development of Enterprise (ACP-EU)</w:t>
      </w:r>
    </w:p>
    <w:p>
      <w:pPr>
        <w:pStyle w:val="Normal"/>
        <w:tabs>
          <w:tab w:val="clear" w:pos="720"/>
          <w:tab w:val="left" w:pos="1700" w:leader="none"/>
        </w:tabs>
        <w:spacing w:before="0" w:after="60"/>
        <w:ind w:hanging="1700" w:left="1700"/>
        <w:rPr/>
      </w:pPr>
      <w:r>
        <w:rPr>
          <w:b/>
          <w:bCs/>
        </w:rPr>
        <w:t>CEDA</w:t>
      </w:r>
      <w:r>
        <w:rPr/>
        <w:tab/>
        <w:t>Citizen Entrepreneurial Development Agency (Botswana)</w:t>
      </w:r>
    </w:p>
    <w:p>
      <w:pPr>
        <w:pStyle w:val="Normal"/>
        <w:tabs>
          <w:tab w:val="clear" w:pos="720"/>
          <w:tab w:val="left" w:pos="1700" w:leader="none"/>
        </w:tabs>
        <w:spacing w:before="0" w:after="60"/>
        <w:ind w:hanging="1700" w:left="1700"/>
        <w:rPr/>
      </w:pPr>
      <w:r>
        <w:rPr>
          <w:b/>
          <w:bCs/>
        </w:rPr>
        <w:t>CEEC</w:t>
      </w:r>
      <w:r>
        <w:rPr/>
        <w:tab/>
        <w:t>Citizens Economic Empowerment Commission (Zambia)</w:t>
      </w:r>
    </w:p>
    <w:p>
      <w:pPr>
        <w:pStyle w:val="Normal"/>
        <w:tabs>
          <w:tab w:val="clear" w:pos="720"/>
          <w:tab w:val="left" w:pos="1700" w:leader="none"/>
        </w:tabs>
        <w:spacing w:before="0" w:after="60"/>
        <w:ind w:hanging="1700" w:left="1700"/>
        <w:rPr/>
      </w:pPr>
      <w:r>
        <w:rPr>
          <w:b/>
          <w:bCs/>
        </w:rPr>
        <w:t>CGS</w:t>
      </w:r>
      <w:r>
        <w:rPr/>
        <w:tab/>
        <w:t>Credit Guarantee Scheme (Namibia)</w:t>
      </w:r>
    </w:p>
    <w:p>
      <w:pPr>
        <w:pStyle w:val="Normal"/>
        <w:tabs>
          <w:tab w:val="clear" w:pos="720"/>
          <w:tab w:val="left" w:pos="1700" w:leader="none"/>
        </w:tabs>
        <w:spacing w:before="0" w:after="60"/>
        <w:ind w:hanging="1700" w:left="1700"/>
        <w:rPr/>
      </w:pPr>
      <w:r>
        <w:rPr>
          <w:b/>
          <w:bCs/>
        </w:rPr>
        <w:t>CIPA</w:t>
      </w:r>
      <w:r>
        <w:rPr/>
        <w:tab/>
        <w:t>Companies and Intellectual Property Authority (Botswana)</w:t>
      </w:r>
    </w:p>
    <w:p>
      <w:pPr>
        <w:pStyle w:val="Normal"/>
        <w:tabs>
          <w:tab w:val="clear" w:pos="720"/>
          <w:tab w:val="left" w:pos="1700" w:leader="none"/>
        </w:tabs>
        <w:spacing w:before="0" w:after="60"/>
        <w:ind w:hanging="1700" w:left="1700"/>
        <w:rPr/>
      </w:pPr>
      <w:r>
        <w:rPr>
          <w:b/>
          <w:bCs/>
        </w:rPr>
        <w:t>COMESA</w:t>
      </w:r>
      <w:r>
        <w:rPr/>
        <w:tab/>
        <w:t>Common Market for Eastern and Southern Africa</w:t>
      </w:r>
    </w:p>
    <w:p>
      <w:pPr>
        <w:pStyle w:val="Normal"/>
        <w:tabs>
          <w:tab w:val="clear" w:pos="720"/>
          <w:tab w:val="left" w:pos="1700" w:leader="none"/>
        </w:tabs>
        <w:spacing w:before="0" w:after="60"/>
        <w:ind w:hanging="1700" w:left="1700"/>
        <w:rPr/>
      </w:pPr>
      <w:r>
        <w:rPr>
          <w:b/>
          <w:bCs/>
        </w:rPr>
        <w:t>DB</w:t>
      </w:r>
      <w:r>
        <w:rPr/>
        <w:tab/>
        <w:t>Doing Business (World Bank report series, 2004-2020)</w:t>
      </w:r>
    </w:p>
    <w:p>
      <w:pPr>
        <w:pStyle w:val="Normal"/>
        <w:tabs>
          <w:tab w:val="clear" w:pos="720"/>
          <w:tab w:val="left" w:pos="1700" w:leader="none"/>
        </w:tabs>
        <w:spacing w:before="0" w:after="60"/>
        <w:ind w:hanging="1700" w:left="1700"/>
        <w:rPr/>
      </w:pPr>
      <w:r>
        <w:rPr>
          <w:b/>
          <w:bCs/>
        </w:rPr>
        <w:t>DBN</w:t>
      </w:r>
      <w:r>
        <w:rPr/>
        <w:tab/>
        <w:t>Development Bank of Namibia</w:t>
      </w:r>
    </w:p>
    <w:p>
      <w:pPr>
        <w:pStyle w:val="Normal"/>
        <w:tabs>
          <w:tab w:val="clear" w:pos="720"/>
          <w:tab w:val="left" w:pos="1700" w:leader="none"/>
        </w:tabs>
        <w:spacing w:before="0" w:after="60"/>
        <w:ind w:hanging="1700" w:left="1700"/>
        <w:rPr/>
      </w:pPr>
      <w:r>
        <w:rPr>
          <w:b/>
          <w:bCs/>
        </w:rPr>
        <w:t>DFI</w:t>
      </w:r>
      <w:r>
        <w:rPr/>
        <w:tab/>
        <w:t>Development finance institution</w:t>
      </w:r>
    </w:p>
    <w:p>
      <w:pPr>
        <w:pStyle w:val="Normal"/>
        <w:tabs>
          <w:tab w:val="clear" w:pos="720"/>
          <w:tab w:val="left" w:pos="1700" w:leader="none"/>
        </w:tabs>
        <w:spacing w:before="0" w:after="60"/>
        <w:ind w:hanging="1700" w:left="1700"/>
        <w:rPr/>
      </w:pPr>
      <w:r>
        <w:rPr>
          <w:b/>
          <w:bCs/>
        </w:rPr>
        <w:t>DMC</w:t>
      </w:r>
      <w:r>
        <w:rPr/>
        <w:tab/>
        <w:t>Destination management company</w:t>
      </w:r>
    </w:p>
    <w:p>
      <w:pPr>
        <w:pStyle w:val="Normal"/>
        <w:tabs>
          <w:tab w:val="clear" w:pos="720"/>
          <w:tab w:val="left" w:pos="1700" w:leader="none"/>
        </w:tabs>
        <w:spacing w:before="0" w:after="60"/>
        <w:ind w:hanging="1700" w:left="1700"/>
        <w:rPr/>
      </w:pPr>
      <w:r>
        <w:rPr>
          <w:b/>
          <w:bCs/>
        </w:rPr>
        <w:t>ECGC</w:t>
      </w:r>
      <w:r>
        <w:rPr/>
        <w:tab/>
        <w:t>Export Credit Guarantee Company (Zimbabwe)</w:t>
      </w:r>
    </w:p>
    <w:p>
      <w:pPr>
        <w:pStyle w:val="Normal"/>
        <w:tabs>
          <w:tab w:val="clear" w:pos="720"/>
          <w:tab w:val="left" w:pos="1700" w:leader="none"/>
        </w:tabs>
        <w:spacing w:before="0" w:after="60"/>
        <w:ind w:hanging="1700" w:left="1700"/>
        <w:rPr/>
      </w:pPr>
      <w:r>
        <w:rPr>
          <w:b/>
          <w:bCs/>
        </w:rPr>
        <w:t>EIF</w:t>
      </w:r>
      <w:r>
        <w:rPr/>
        <w:tab/>
        <w:t>Environmental Investment Fund (Namibia)</w:t>
      </w:r>
    </w:p>
    <w:p>
      <w:pPr>
        <w:pStyle w:val="Normal"/>
        <w:tabs>
          <w:tab w:val="clear" w:pos="720"/>
          <w:tab w:val="left" w:pos="1700" w:leader="none"/>
        </w:tabs>
        <w:spacing w:before="0" w:after="60"/>
        <w:ind w:hanging="1700" w:left="1700"/>
        <w:rPr/>
      </w:pPr>
      <w:r>
        <w:rPr>
          <w:b/>
          <w:bCs/>
        </w:rPr>
        <w:t>FENATA</w:t>
      </w:r>
      <w:r>
        <w:rPr/>
        <w:tab/>
        <w:t>Federation of Namibian Tourism Associations</w:t>
      </w:r>
    </w:p>
    <w:p>
      <w:pPr>
        <w:pStyle w:val="Normal"/>
        <w:tabs>
          <w:tab w:val="clear" w:pos="720"/>
          <w:tab w:val="left" w:pos="1700" w:leader="none"/>
        </w:tabs>
        <w:spacing w:before="0" w:after="60"/>
        <w:ind w:hanging="1700" w:left="1700"/>
        <w:rPr/>
      </w:pPr>
      <w:r>
        <w:rPr>
          <w:b/>
          <w:bCs/>
        </w:rPr>
        <w:t>FGC</w:t>
      </w:r>
      <w:r>
        <w:rPr/>
        <w:tab/>
        <w:t>Fundo de Garantia de Crédito (Angola)</w:t>
      </w:r>
    </w:p>
    <w:p>
      <w:pPr>
        <w:pStyle w:val="Normal"/>
        <w:tabs>
          <w:tab w:val="clear" w:pos="720"/>
          <w:tab w:val="left" w:pos="1700" w:leader="none"/>
        </w:tabs>
        <w:spacing w:before="0" w:after="60"/>
        <w:ind w:hanging="1700" w:left="1700"/>
        <w:rPr/>
      </w:pPr>
      <w:r>
        <w:rPr>
          <w:b/>
          <w:bCs/>
        </w:rPr>
        <w:t>GIZ</w:t>
      </w:r>
      <w:r>
        <w:rPr/>
        <w:tab/>
        <w:t>Deutsche Gesellschaft für Internationale Zusammenarbeit</w:t>
      </w:r>
    </w:p>
    <w:p>
      <w:pPr>
        <w:pStyle w:val="Normal"/>
        <w:tabs>
          <w:tab w:val="clear" w:pos="720"/>
          <w:tab w:val="left" w:pos="1700" w:leader="none"/>
        </w:tabs>
        <w:spacing w:before="0" w:after="60"/>
        <w:ind w:hanging="1700" w:left="1700"/>
        <w:rPr/>
      </w:pPr>
      <w:r>
        <w:rPr>
          <w:b/>
          <w:bCs/>
        </w:rPr>
        <w:t>HAN</w:t>
      </w:r>
      <w:r>
        <w:rPr/>
        <w:tab/>
        <w:t>Hospitality Association of Namibia</w:t>
      </w:r>
    </w:p>
    <w:p>
      <w:pPr>
        <w:pStyle w:val="Normal"/>
        <w:tabs>
          <w:tab w:val="clear" w:pos="720"/>
          <w:tab w:val="left" w:pos="1700" w:leader="none"/>
        </w:tabs>
        <w:spacing w:before="0" w:after="60"/>
        <w:ind w:hanging="1700" w:left="1700"/>
        <w:rPr/>
      </w:pPr>
      <w:r>
        <w:rPr>
          <w:b/>
          <w:bCs/>
        </w:rPr>
        <w:t>HATAB</w:t>
      </w:r>
      <w:r>
        <w:rPr/>
        <w:tab/>
        <w:t>Hospitality and Tourism Association of Botswana</w:t>
      </w:r>
    </w:p>
    <w:p>
      <w:pPr>
        <w:pStyle w:val="Normal"/>
        <w:tabs>
          <w:tab w:val="clear" w:pos="720"/>
          <w:tab w:val="left" w:pos="1700" w:leader="none"/>
        </w:tabs>
        <w:spacing w:before="0" w:after="60"/>
        <w:ind w:hanging="1700" w:left="1700"/>
        <w:rPr/>
      </w:pPr>
      <w:r>
        <w:rPr>
          <w:b/>
          <w:bCs/>
        </w:rPr>
        <w:t>ICT</w:t>
      </w:r>
      <w:r>
        <w:rPr/>
        <w:tab/>
        <w:t>Information and communications technology</w:t>
      </w:r>
    </w:p>
    <w:p>
      <w:pPr>
        <w:pStyle w:val="Normal"/>
        <w:tabs>
          <w:tab w:val="clear" w:pos="720"/>
          <w:tab w:val="left" w:pos="1700" w:leader="none"/>
        </w:tabs>
        <w:spacing w:before="0" w:after="60"/>
        <w:ind w:hanging="1700" w:left="1700"/>
        <w:rPr/>
      </w:pPr>
      <w:r>
        <w:rPr>
          <w:b/>
          <w:bCs/>
        </w:rPr>
        <w:t>IDBZ</w:t>
      </w:r>
      <w:r>
        <w:rPr/>
        <w:tab/>
        <w:t>Infrastructure Development Bank of Zimbabwe</w:t>
      </w:r>
    </w:p>
    <w:p>
      <w:pPr>
        <w:pStyle w:val="Normal"/>
        <w:tabs>
          <w:tab w:val="clear" w:pos="720"/>
          <w:tab w:val="left" w:pos="1700" w:leader="none"/>
        </w:tabs>
        <w:spacing w:before="0" w:after="60"/>
        <w:ind w:hanging="1700" w:left="1700"/>
        <w:rPr/>
      </w:pPr>
      <w:r>
        <w:rPr>
          <w:b/>
          <w:bCs/>
        </w:rPr>
        <w:t>INAPEM</w:t>
      </w:r>
      <w:r>
        <w:rPr/>
        <w:tab/>
        <w:t>Instituto Nacional de Apoio às Micro, Pequenas e Médias Empresas (Angola)</w:t>
      </w:r>
    </w:p>
    <w:p>
      <w:pPr>
        <w:pStyle w:val="Normal"/>
        <w:tabs>
          <w:tab w:val="clear" w:pos="720"/>
          <w:tab w:val="left" w:pos="1700" w:leader="none"/>
        </w:tabs>
        <w:spacing w:before="0" w:after="60"/>
        <w:ind w:hanging="1700" w:left="1700"/>
        <w:rPr/>
      </w:pPr>
      <w:r>
        <w:rPr>
          <w:b/>
          <w:bCs/>
        </w:rPr>
        <w:t>IRDNC</w:t>
      </w:r>
      <w:r>
        <w:rPr/>
        <w:tab/>
        <w:t>Integrated Rural Development and Nature Conservation (Namibia)</w:t>
      </w:r>
    </w:p>
    <w:p>
      <w:pPr>
        <w:pStyle w:val="Normal"/>
        <w:tabs>
          <w:tab w:val="clear" w:pos="720"/>
          <w:tab w:val="left" w:pos="1700" w:leader="none"/>
        </w:tabs>
        <w:spacing w:before="0" w:after="60"/>
        <w:ind w:hanging="1700" w:left="1700"/>
        <w:rPr/>
      </w:pPr>
      <w:r>
        <w:rPr>
          <w:b/>
          <w:bCs/>
        </w:rPr>
        <w:t>ISO</w:t>
      </w:r>
      <w:r>
        <w:rPr/>
        <w:tab/>
        <w:t>International Organization for Standardization</w:t>
      </w:r>
    </w:p>
    <w:p>
      <w:pPr>
        <w:pStyle w:val="Normal"/>
        <w:tabs>
          <w:tab w:val="clear" w:pos="720"/>
          <w:tab w:val="left" w:pos="1700" w:leader="none"/>
        </w:tabs>
        <w:spacing w:before="0" w:after="60"/>
        <w:ind w:hanging="1700" w:left="1700"/>
        <w:rPr/>
      </w:pPr>
      <w:r>
        <w:rPr>
          <w:b/>
          <w:bCs/>
        </w:rPr>
        <w:t>JV</w:t>
      </w:r>
      <w:r>
        <w:rPr/>
        <w:tab/>
        <w:t>Joint venture</w:t>
      </w:r>
    </w:p>
    <w:p>
      <w:pPr>
        <w:pStyle w:val="Normal"/>
        <w:tabs>
          <w:tab w:val="clear" w:pos="720"/>
          <w:tab w:val="left" w:pos="1700" w:leader="none"/>
        </w:tabs>
        <w:spacing w:before="0" w:after="60"/>
        <w:ind w:hanging="1700" w:left="1700"/>
        <w:rPr/>
      </w:pPr>
      <w:r>
        <w:rPr>
          <w:b/>
          <w:bCs/>
        </w:rPr>
        <w:t>KAZA TFCA</w:t>
      </w:r>
      <w:r>
        <w:rPr/>
        <w:tab/>
        <w:t>Kavango Zambezi Transfrontier Conservation Area</w:t>
      </w:r>
    </w:p>
    <w:p>
      <w:pPr>
        <w:pStyle w:val="Normal"/>
        <w:tabs>
          <w:tab w:val="clear" w:pos="720"/>
          <w:tab w:val="left" w:pos="1700" w:leader="none"/>
        </w:tabs>
        <w:spacing w:before="0" w:after="60"/>
        <w:ind w:hanging="1700" w:left="1700"/>
        <w:rPr/>
      </w:pPr>
      <w:r>
        <w:rPr>
          <w:b/>
          <w:bCs/>
        </w:rPr>
        <w:t>LEA</w:t>
      </w:r>
      <w:r>
        <w:rPr/>
        <w:tab/>
        <w:t>Local Enterprise Authority (Botswana)</w:t>
      </w:r>
    </w:p>
    <w:p>
      <w:pPr>
        <w:pStyle w:val="Normal"/>
        <w:tabs>
          <w:tab w:val="clear" w:pos="720"/>
          <w:tab w:val="left" w:pos="1700" w:leader="none"/>
        </w:tabs>
        <w:spacing w:before="0" w:after="60"/>
        <w:ind w:hanging="1700" w:left="1700"/>
        <w:rPr/>
      </w:pPr>
      <w:r>
        <w:rPr>
          <w:b/>
          <w:bCs/>
        </w:rPr>
        <w:t>MD</w:t>
      </w:r>
      <w:r>
        <w:rPr/>
        <w:tab/>
        <w:t>KAZA R-NBT Macro Diagnostic Report</w:t>
      </w:r>
    </w:p>
    <w:p>
      <w:pPr>
        <w:pStyle w:val="Normal"/>
        <w:tabs>
          <w:tab w:val="clear" w:pos="720"/>
          <w:tab w:val="left" w:pos="1700" w:leader="none"/>
        </w:tabs>
        <w:spacing w:before="0" w:after="60"/>
        <w:ind w:hanging="1700" w:left="1700"/>
        <w:rPr/>
      </w:pPr>
      <w:r>
        <w:rPr>
          <w:b/>
          <w:bCs/>
        </w:rPr>
        <w:t>MFI</w:t>
      </w:r>
      <w:r>
        <w:rPr/>
        <w:tab/>
        <w:t>Microfinance institution</w:t>
      </w:r>
    </w:p>
    <w:p>
      <w:pPr>
        <w:pStyle w:val="Normal"/>
        <w:tabs>
          <w:tab w:val="clear" w:pos="720"/>
          <w:tab w:val="left" w:pos="1700" w:leader="none"/>
        </w:tabs>
        <w:spacing w:before="0" w:after="60"/>
        <w:ind w:hanging="1700" w:left="1700"/>
        <w:rPr/>
      </w:pPr>
      <w:r>
        <w:rPr>
          <w:b/>
          <w:bCs/>
        </w:rPr>
        <w:t>MINTUR</w:t>
      </w:r>
      <w:r>
        <w:rPr/>
        <w:tab/>
        <w:t>Ministério do Turismo (Angola)</w:t>
      </w:r>
    </w:p>
    <w:p>
      <w:pPr>
        <w:pStyle w:val="Normal"/>
        <w:tabs>
          <w:tab w:val="clear" w:pos="720"/>
          <w:tab w:val="left" w:pos="1700" w:leader="none"/>
        </w:tabs>
        <w:spacing w:before="0" w:after="60"/>
        <w:ind w:hanging="1700" w:left="1700"/>
        <w:rPr/>
      </w:pPr>
      <w:r>
        <w:rPr>
          <w:b/>
          <w:bCs/>
        </w:rPr>
        <w:t>MSME</w:t>
      </w:r>
      <w:r>
        <w:rPr/>
        <w:tab/>
        <w:t>Micro, small and medium-sized enterprise</w:t>
      </w:r>
    </w:p>
    <w:p>
      <w:pPr>
        <w:pStyle w:val="Normal"/>
        <w:tabs>
          <w:tab w:val="clear" w:pos="720"/>
          <w:tab w:val="left" w:pos="1700" w:leader="none"/>
        </w:tabs>
        <w:spacing w:before="0" w:after="60"/>
        <w:ind w:hanging="1700" w:left="1700"/>
        <w:rPr/>
      </w:pPr>
      <w:r>
        <w:rPr>
          <w:b/>
          <w:bCs/>
        </w:rPr>
        <w:t>NACSO</w:t>
      </w:r>
      <w:r>
        <w:rPr/>
        <w:tab/>
        <w:t>Namibian Association of CBNRM Support Organisations</w:t>
      </w:r>
    </w:p>
    <w:p>
      <w:pPr>
        <w:pStyle w:val="Normal"/>
        <w:tabs>
          <w:tab w:val="clear" w:pos="720"/>
          <w:tab w:val="left" w:pos="1700" w:leader="none"/>
        </w:tabs>
        <w:spacing w:before="0" w:after="60"/>
        <w:ind w:hanging="1700" w:left="1700"/>
        <w:rPr/>
      </w:pPr>
      <w:r>
        <w:rPr>
          <w:b/>
          <w:bCs/>
        </w:rPr>
        <w:t>NCCI</w:t>
      </w:r>
      <w:r>
        <w:rPr/>
        <w:tab/>
        <w:t>Namibia Chamber of Commerce and Industry</w:t>
      </w:r>
    </w:p>
    <w:p>
      <w:pPr>
        <w:pStyle w:val="Normal"/>
        <w:tabs>
          <w:tab w:val="clear" w:pos="720"/>
          <w:tab w:val="left" w:pos="1700" w:leader="none"/>
        </w:tabs>
        <w:spacing w:before="0" w:after="60"/>
        <w:ind w:hanging="1700" w:left="1700"/>
        <w:rPr/>
      </w:pPr>
      <w:r>
        <w:rPr>
          <w:b/>
          <w:bCs/>
        </w:rPr>
        <w:t>NDB</w:t>
      </w:r>
      <w:r>
        <w:rPr/>
        <w:tab/>
        <w:t>National Development Bank (Botswana)</w:t>
      </w:r>
    </w:p>
    <w:p>
      <w:pPr>
        <w:pStyle w:val="Normal"/>
        <w:tabs>
          <w:tab w:val="clear" w:pos="720"/>
          <w:tab w:val="left" w:pos="1700" w:leader="none"/>
        </w:tabs>
        <w:spacing w:before="0" w:after="60"/>
        <w:ind w:hanging="1700" w:left="1700"/>
        <w:rPr/>
      </w:pPr>
      <w:r>
        <w:rPr>
          <w:b/>
          <w:bCs/>
        </w:rPr>
        <w:t>NEET</w:t>
      </w:r>
      <w:r>
        <w:rPr/>
        <w:tab/>
        <w:t>Not in employment, education or training</w:t>
      </w:r>
    </w:p>
    <w:p>
      <w:pPr>
        <w:pStyle w:val="Normal"/>
        <w:tabs>
          <w:tab w:val="clear" w:pos="720"/>
          <w:tab w:val="left" w:pos="1700" w:leader="none"/>
        </w:tabs>
        <w:spacing w:before="0" w:after="60"/>
        <w:ind w:hanging="1700" w:left="1700"/>
        <w:rPr/>
      </w:pPr>
      <w:r>
        <w:rPr>
          <w:b/>
          <w:bCs/>
        </w:rPr>
        <w:t>NIPDB</w:t>
      </w:r>
      <w:r>
        <w:rPr/>
        <w:tab/>
        <w:t>Namibia Investment Promotion and Development Board</w:t>
      </w:r>
    </w:p>
    <w:p>
      <w:pPr>
        <w:pStyle w:val="Normal"/>
        <w:tabs>
          <w:tab w:val="clear" w:pos="720"/>
          <w:tab w:val="left" w:pos="1700" w:leader="none"/>
        </w:tabs>
        <w:spacing w:before="0" w:after="60"/>
        <w:ind w:hanging="1700" w:left="1700"/>
        <w:rPr/>
      </w:pPr>
      <w:r>
        <w:rPr>
          <w:b/>
          <w:bCs/>
        </w:rPr>
        <w:t>NNF</w:t>
      </w:r>
      <w:r>
        <w:rPr/>
        <w:tab/>
        <w:t>Namibia Nature Foundation</w:t>
      </w:r>
    </w:p>
    <w:p>
      <w:pPr>
        <w:pStyle w:val="Normal"/>
        <w:tabs>
          <w:tab w:val="clear" w:pos="720"/>
          <w:tab w:val="left" w:pos="1700" w:leader="none"/>
        </w:tabs>
        <w:spacing w:before="0" w:after="60"/>
        <w:ind w:hanging="1700" w:left="1700"/>
        <w:rPr/>
      </w:pPr>
      <w:r>
        <w:rPr>
          <w:b/>
          <w:bCs/>
        </w:rPr>
        <w:t>NTB</w:t>
      </w:r>
      <w:r>
        <w:rPr/>
        <w:tab/>
        <w:t>Namibia Tourism Board</w:t>
      </w:r>
    </w:p>
    <w:p>
      <w:pPr>
        <w:pStyle w:val="Normal"/>
        <w:tabs>
          <w:tab w:val="clear" w:pos="720"/>
          <w:tab w:val="left" w:pos="1700" w:leader="none"/>
        </w:tabs>
        <w:spacing w:before="0" w:after="60"/>
        <w:ind w:hanging="1700" w:left="1700"/>
        <w:rPr/>
      </w:pPr>
      <w:r>
        <w:rPr>
          <w:b/>
          <w:bCs/>
        </w:rPr>
        <w:t>NUST</w:t>
      </w:r>
      <w:r>
        <w:rPr/>
        <w:tab/>
        <w:t>Namibia University of Science and Technology</w:t>
      </w:r>
    </w:p>
    <w:p>
      <w:pPr>
        <w:pStyle w:val="Normal"/>
        <w:tabs>
          <w:tab w:val="clear" w:pos="720"/>
          <w:tab w:val="left" w:pos="1700" w:leader="none"/>
        </w:tabs>
        <w:spacing w:before="0" w:after="60"/>
        <w:ind w:hanging="1700" w:left="1700"/>
        <w:rPr/>
      </w:pPr>
      <w:r>
        <w:rPr>
          <w:b/>
          <w:bCs/>
        </w:rPr>
        <w:t>OSISC</w:t>
      </w:r>
      <w:r>
        <w:rPr/>
        <w:tab/>
        <w:t>One Stop Investment Services Centre (ZIDA, Zimbabwe)</w:t>
      </w:r>
    </w:p>
    <w:p>
      <w:pPr>
        <w:pStyle w:val="Normal"/>
        <w:tabs>
          <w:tab w:val="clear" w:pos="720"/>
          <w:tab w:val="left" w:pos="1700" w:leader="none"/>
        </w:tabs>
        <w:spacing w:before="0" w:after="60"/>
        <w:ind w:hanging="1700" w:left="1700"/>
        <w:rPr/>
      </w:pPr>
      <w:r>
        <w:rPr>
          <w:b/>
          <w:bCs/>
        </w:rPr>
        <w:t>PSDP</w:t>
      </w:r>
      <w:r>
        <w:rPr/>
        <w:tab/>
        <w:t>Private Sector Development Programme (Botswana)</w:t>
      </w:r>
    </w:p>
    <w:p>
      <w:pPr>
        <w:pStyle w:val="Normal"/>
        <w:tabs>
          <w:tab w:val="clear" w:pos="720"/>
          <w:tab w:val="left" w:pos="1700" w:leader="none"/>
        </w:tabs>
        <w:spacing w:before="0" w:after="60"/>
        <w:ind w:hanging="1700" w:left="1700"/>
        <w:rPr/>
      </w:pPr>
      <w:r>
        <w:rPr>
          <w:b/>
          <w:bCs/>
        </w:rPr>
        <w:t>R-NBT</w:t>
      </w:r>
      <w:r>
        <w:rPr/>
        <w:tab/>
        <w:t>Regenerative nature-based tourism</w:t>
      </w:r>
    </w:p>
    <w:p>
      <w:pPr>
        <w:pStyle w:val="Normal"/>
        <w:tabs>
          <w:tab w:val="clear" w:pos="720"/>
          <w:tab w:val="left" w:pos="1700" w:leader="none"/>
        </w:tabs>
        <w:spacing w:before="0" w:after="60"/>
        <w:ind w:hanging="1700" w:left="1700"/>
        <w:rPr/>
      </w:pPr>
      <w:r>
        <w:rPr>
          <w:b/>
          <w:bCs/>
        </w:rPr>
        <w:t>RDC</w:t>
      </w:r>
      <w:r>
        <w:rPr/>
        <w:tab/>
        <w:t>Rural District Council (Zimbabwe)</w:t>
      </w:r>
    </w:p>
    <w:p>
      <w:pPr>
        <w:pStyle w:val="Normal"/>
        <w:tabs>
          <w:tab w:val="clear" w:pos="720"/>
          <w:tab w:val="left" w:pos="1700" w:leader="none"/>
        </w:tabs>
        <w:spacing w:before="0" w:after="60"/>
        <w:ind w:hanging="1700" w:left="1700"/>
        <w:rPr/>
      </w:pPr>
      <w:r>
        <w:rPr>
          <w:b/>
          <w:bCs/>
        </w:rPr>
        <w:t>SADC</w:t>
      </w:r>
      <w:r>
        <w:rPr/>
        <w:tab/>
        <w:t>Southern African Development Community</w:t>
      </w:r>
    </w:p>
    <w:p>
      <w:pPr>
        <w:pStyle w:val="Normal"/>
        <w:tabs>
          <w:tab w:val="clear" w:pos="720"/>
          <w:tab w:val="left" w:pos="1700" w:leader="none"/>
        </w:tabs>
        <w:spacing w:before="0" w:after="60"/>
        <w:ind w:hanging="1700" w:left="1700"/>
        <w:rPr/>
      </w:pPr>
      <w:r>
        <w:rPr>
          <w:b/>
          <w:bCs/>
        </w:rPr>
        <w:t>SMEDCO</w:t>
      </w:r>
      <w:r>
        <w:rPr/>
        <w:tab/>
        <w:t>Small and Medium Enterprises Development Corporation (Zimbabwe)</w:t>
      </w:r>
    </w:p>
    <w:p>
      <w:pPr>
        <w:pStyle w:val="Normal"/>
        <w:tabs>
          <w:tab w:val="clear" w:pos="720"/>
          <w:tab w:val="left" w:pos="1700" w:leader="none"/>
        </w:tabs>
        <w:spacing w:before="0" w:after="60"/>
        <w:ind w:hanging="1700" w:left="1700"/>
        <w:rPr/>
      </w:pPr>
      <w:r>
        <w:rPr>
          <w:b/>
          <w:bCs/>
        </w:rPr>
        <w:t>SMME</w:t>
      </w:r>
      <w:r>
        <w:rPr/>
        <w:tab/>
        <w:t>Small, medium and micro enterprise (term used in Botswana; equivalent to MSME)</w:t>
      </w:r>
    </w:p>
    <w:p>
      <w:pPr>
        <w:pStyle w:val="Normal"/>
        <w:tabs>
          <w:tab w:val="clear" w:pos="720"/>
          <w:tab w:val="left" w:pos="1700" w:leader="none"/>
        </w:tabs>
        <w:spacing w:before="0" w:after="60"/>
        <w:ind w:hanging="1700" w:left="1700"/>
        <w:rPr/>
      </w:pPr>
      <w:r>
        <w:rPr>
          <w:b/>
          <w:bCs/>
        </w:rPr>
        <w:t>STR</w:t>
      </w:r>
      <w:r>
        <w:rPr/>
        <w:tab/>
        <w:t>Simplified Trade Regime</w:t>
      </w:r>
    </w:p>
    <w:p>
      <w:pPr>
        <w:pStyle w:val="Normal"/>
        <w:tabs>
          <w:tab w:val="clear" w:pos="720"/>
          <w:tab w:val="left" w:pos="1700" w:leader="none"/>
        </w:tabs>
        <w:spacing w:before="0" w:after="60"/>
        <w:ind w:hanging="1700" w:left="1700"/>
        <w:rPr/>
      </w:pPr>
      <w:r>
        <w:rPr>
          <w:b/>
          <w:bCs/>
        </w:rPr>
        <w:t>TA</w:t>
      </w:r>
      <w:r>
        <w:rPr/>
        <w:tab/>
        <w:t>Technical assistance</w:t>
      </w:r>
    </w:p>
    <w:p>
      <w:pPr>
        <w:pStyle w:val="Normal"/>
        <w:tabs>
          <w:tab w:val="clear" w:pos="720"/>
          <w:tab w:val="left" w:pos="1700" w:leader="none"/>
        </w:tabs>
        <w:spacing w:before="0" w:after="60"/>
        <w:ind w:hanging="1700" w:left="1700"/>
        <w:rPr/>
      </w:pPr>
      <w:r>
        <w:rPr>
          <w:b/>
          <w:bCs/>
        </w:rPr>
        <w:t>TASA</w:t>
      </w:r>
      <w:r>
        <w:rPr/>
        <w:tab/>
        <w:t>Tour and Safari Association (Namibia)</w:t>
      </w:r>
    </w:p>
    <w:p>
      <w:pPr>
        <w:pStyle w:val="Normal"/>
        <w:tabs>
          <w:tab w:val="clear" w:pos="720"/>
          <w:tab w:val="left" w:pos="1700" w:leader="none"/>
        </w:tabs>
        <w:spacing w:before="0" w:after="60"/>
        <w:ind w:hanging="1700" w:left="1700"/>
        <w:rPr/>
      </w:pPr>
      <w:r>
        <w:rPr>
          <w:b/>
          <w:bCs/>
        </w:rPr>
        <w:t>TBCZ</w:t>
      </w:r>
      <w:r>
        <w:rPr/>
        <w:tab/>
        <w:t>Tourism Business Council of Zimbabwe</w:t>
      </w:r>
    </w:p>
    <w:p>
      <w:pPr>
        <w:pStyle w:val="Normal"/>
        <w:tabs>
          <w:tab w:val="clear" w:pos="720"/>
          <w:tab w:val="left" w:pos="1700" w:leader="none"/>
        </w:tabs>
        <w:spacing w:before="0" w:after="60"/>
        <w:ind w:hanging="1700" w:left="1700"/>
        <w:rPr/>
      </w:pPr>
      <w:r>
        <w:rPr>
          <w:b/>
          <w:bCs/>
        </w:rPr>
        <w:t>TCZ</w:t>
      </w:r>
      <w:r>
        <w:rPr/>
        <w:tab/>
        <w:t>Tourism Council of Zambia</w:t>
      </w:r>
    </w:p>
    <w:p>
      <w:pPr>
        <w:pStyle w:val="Normal"/>
        <w:tabs>
          <w:tab w:val="clear" w:pos="720"/>
          <w:tab w:val="left" w:pos="1700" w:leader="none"/>
        </w:tabs>
        <w:spacing w:before="0" w:after="60"/>
        <w:ind w:hanging="1700" w:left="1700"/>
        <w:rPr/>
      </w:pPr>
      <w:r>
        <w:rPr>
          <w:b/>
          <w:bCs/>
        </w:rPr>
        <w:t>UNAM</w:t>
      </w:r>
      <w:r>
        <w:rPr/>
        <w:tab/>
        <w:t>University of Namibia</w:t>
      </w:r>
    </w:p>
    <w:p>
      <w:pPr>
        <w:pStyle w:val="Normal"/>
        <w:tabs>
          <w:tab w:val="clear" w:pos="720"/>
          <w:tab w:val="left" w:pos="1700" w:leader="none"/>
        </w:tabs>
        <w:spacing w:before="0" w:after="60"/>
        <w:ind w:hanging="1700" w:left="1700"/>
        <w:rPr/>
      </w:pPr>
      <w:r>
        <w:rPr>
          <w:b/>
          <w:bCs/>
        </w:rPr>
        <w:t>VSLA</w:t>
      </w:r>
      <w:r>
        <w:rPr/>
        <w:tab/>
        <w:t>Village savings and loan association</w:t>
      </w:r>
    </w:p>
    <w:p>
      <w:pPr>
        <w:pStyle w:val="Normal"/>
        <w:tabs>
          <w:tab w:val="clear" w:pos="720"/>
          <w:tab w:val="left" w:pos="1700" w:leader="none"/>
        </w:tabs>
        <w:spacing w:before="0" w:after="60"/>
        <w:ind w:hanging="1700" w:left="1700"/>
        <w:rPr/>
      </w:pPr>
      <w:r>
        <w:rPr>
          <w:b/>
          <w:bCs/>
        </w:rPr>
        <w:t>WIBA</w:t>
      </w:r>
      <w:r>
        <w:rPr/>
        <w:tab/>
        <w:t>Women in Business Association (Botswana)</w:t>
      </w:r>
    </w:p>
    <w:p>
      <w:pPr>
        <w:pStyle w:val="Normal"/>
        <w:tabs>
          <w:tab w:val="clear" w:pos="720"/>
          <w:tab w:val="left" w:pos="1700" w:leader="none"/>
        </w:tabs>
        <w:spacing w:before="0" w:after="60"/>
        <w:ind w:hanging="1700" w:left="1700"/>
        <w:rPr/>
      </w:pPr>
      <w:r>
        <w:rPr>
          <w:b/>
          <w:bCs/>
        </w:rPr>
        <w:t>YDF</w:t>
      </w:r>
      <w:r>
        <w:rPr/>
        <w:tab/>
        <w:t>Youth Development Fund (Botswana)</w:t>
      </w:r>
    </w:p>
    <w:p>
      <w:pPr>
        <w:pStyle w:val="Normal"/>
        <w:tabs>
          <w:tab w:val="clear" w:pos="720"/>
          <w:tab w:val="left" w:pos="1700" w:leader="none"/>
        </w:tabs>
        <w:spacing w:before="0" w:after="60"/>
        <w:ind w:hanging="1700" w:left="1700"/>
        <w:rPr/>
      </w:pPr>
      <w:r>
        <w:rPr>
          <w:b/>
          <w:bCs/>
        </w:rPr>
        <w:t>ZCGS</w:t>
      </w:r>
      <w:r>
        <w:rPr/>
        <w:tab/>
        <w:t>Zambia Credit Guarantee Scheme</w:t>
      </w:r>
    </w:p>
    <w:p>
      <w:pPr>
        <w:pStyle w:val="Normal"/>
        <w:tabs>
          <w:tab w:val="clear" w:pos="720"/>
          <w:tab w:val="left" w:pos="1700" w:leader="none"/>
        </w:tabs>
        <w:spacing w:before="0" w:after="60"/>
        <w:ind w:hanging="1700" w:left="1700"/>
        <w:rPr/>
      </w:pPr>
      <w:r>
        <w:rPr>
          <w:b/>
          <w:bCs/>
        </w:rPr>
        <w:t>ZCSMBA</w:t>
      </w:r>
      <w:r>
        <w:rPr/>
        <w:tab/>
        <w:t>Zambia Chamber of Small and Medium Business Associations</w:t>
      </w:r>
    </w:p>
    <w:p>
      <w:pPr>
        <w:pStyle w:val="Normal"/>
        <w:tabs>
          <w:tab w:val="clear" w:pos="720"/>
          <w:tab w:val="left" w:pos="1700" w:leader="none"/>
        </w:tabs>
        <w:spacing w:before="0" w:after="60"/>
        <w:ind w:hanging="1700" w:left="1700"/>
        <w:rPr/>
      </w:pPr>
      <w:r>
        <w:rPr>
          <w:b/>
          <w:bCs/>
        </w:rPr>
        <w:t>ZDA</w:t>
      </w:r>
      <w:r>
        <w:rPr/>
        <w:tab/>
        <w:t>Zambia Development Agency</w:t>
      </w:r>
    </w:p>
    <w:p>
      <w:pPr>
        <w:pStyle w:val="Normal"/>
        <w:tabs>
          <w:tab w:val="clear" w:pos="720"/>
          <w:tab w:val="left" w:pos="1700" w:leader="none"/>
        </w:tabs>
        <w:spacing w:before="0" w:after="60"/>
        <w:ind w:hanging="1700" w:left="1700"/>
        <w:rPr/>
      </w:pPr>
      <w:r>
        <w:rPr>
          <w:b/>
          <w:bCs/>
        </w:rPr>
        <w:t>ZEEX</w:t>
      </w:r>
      <w:r>
        <w:rPr/>
        <w:tab/>
        <w:t>Zimbabwe Entrepreneurship Exchange</w:t>
      </w:r>
    </w:p>
    <w:p>
      <w:pPr>
        <w:pStyle w:val="Normal"/>
        <w:tabs>
          <w:tab w:val="clear" w:pos="720"/>
          <w:tab w:val="left" w:pos="1700" w:leader="none"/>
        </w:tabs>
        <w:spacing w:before="0" w:after="60"/>
        <w:ind w:hanging="1700" w:left="1700"/>
        <w:rPr/>
      </w:pPr>
      <w:r>
        <w:rPr>
          <w:b/>
          <w:bCs/>
        </w:rPr>
        <w:t>ZIDA</w:t>
      </w:r>
      <w:r>
        <w:rPr/>
        <w:tab/>
        <w:t>Zimbabwe Investment and Development Agency</w:t>
      </w:r>
    </w:p>
    <w:p>
      <w:pPr>
        <w:pStyle w:val="Normal"/>
        <w:tabs>
          <w:tab w:val="clear" w:pos="720"/>
          <w:tab w:val="left" w:pos="1700" w:leader="none"/>
        </w:tabs>
        <w:spacing w:before="0" w:after="60"/>
        <w:ind w:hanging="1700" w:left="1700"/>
        <w:rPr/>
      </w:pPr>
      <w:r>
        <w:rPr>
          <w:b/>
          <w:bCs/>
        </w:rPr>
        <w:t>ZIMRA</w:t>
      </w:r>
      <w:r>
        <w:rPr/>
        <w:tab/>
        <w:t>Zimbabwe Revenue Authority</w:t>
      </w:r>
    </w:p>
    <w:p>
      <w:pPr>
        <w:pStyle w:val="Normal"/>
        <w:tabs>
          <w:tab w:val="clear" w:pos="720"/>
          <w:tab w:val="left" w:pos="1700" w:leader="none"/>
        </w:tabs>
        <w:spacing w:before="0" w:after="60"/>
        <w:ind w:hanging="1700" w:left="1700"/>
        <w:rPr/>
      </w:pPr>
      <w:r>
        <w:rPr>
          <w:b/>
          <w:bCs/>
        </w:rPr>
        <w:t>ZMW</w:t>
      </w:r>
      <w:r>
        <w:rPr/>
        <w:tab/>
        <w:t>Zambian kwacha</w:t>
      </w:r>
    </w:p>
    <w:p>
      <w:pPr>
        <w:pStyle w:val="Normal"/>
        <w:tabs>
          <w:tab w:val="clear" w:pos="720"/>
          <w:tab w:val="left" w:pos="1700" w:leader="none"/>
        </w:tabs>
        <w:spacing w:before="0" w:after="60"/>
        <w:ind w:hanging="1700" w:left="1700"/>
        <w:rPr/>
      </w:pPr>
      <w:r>
        <w:rPr>
          <w:b/>
          <w:bCs/>
        </w:rPr>
        <w:t>ZTA</w:t>
      </w:r>
      <w:r>
        <w:rPr/>
        <w:tab/>
        <w:t>Zimbabwe Tourism Authority</w:t>
      </w:r>
      <w:r>
        <w:br w:type="page"/>
      </w:r>
    </w:p>
    <w:p>
      <w:pPr>
        <w:pStyle w:val="Heading1"/>
        <w:spacing w:before="0" w:after="240"/>
        <w:rPr/>
      </w:pPr>
      <w:bookmarkStart w:id="0" w:name="__RefHeading___Toc1251_3920751122"/>
      <w:bookmarkEnd w:id="0"/>
      <w:r>
        <w:rPr/>
        <w:t>Executive Summary</w:t>
      </w:r>
    </w:p>
    <w:p>
      <w:pPr>
        <w:pStyle w:val="Normal"/>
        <w:jc w:val="both"/>
        <w:rPr/>
      </w:pPr>
      <w:r>
        <w:rPr/>
        <w:t>This assessment examines the investment readiness of micro, small and medium-sized enterprises (MSMEs) in the priority value chains of regenerative nature-based tourism (R-NBT) in the Kavango Zambezi Transfrontier Conservation Area (KAZA TFCA). It looks at MSME business models, financial practices, record-keeping and informality, and how these vary by gender, age and value chain node. It identifies the capacity-building needs of MSMEs, business support organisations (BSOs) and financial institutions, evaluates the enabling environment in the five Partner States, and recommends interventions and financing pathways. It is a companion to the KAZA Financial Landscape Analysis, which maps the supply of finance; this report maps the demand side and the gap between the two.</w:t>
      </w:r>
    </w:p>
    <w:p>
      <w:pPr>
        <w:pStyle w:val="Normal"/>
        <w:jc w:val="both"/>
        <w:rPr/>
      </w:pPr>
      <w:r>
        <w:rPr>
          <w:b/>
          <w:bCs/>
        </w:rPr>
        <w:t>Core finding.</w:t>
      </w:r>
      <w:r>
        <w:rPr/>
        <w:t xml:space="preserve"> The binding constraint on MSME investment readiness in KAZA is supplier reliability and business readiness, not buyer interest or the absence of finance. Anchor lodges want to buy locally but cannot consistently find suppliers who meet quality, volume and season-proof supply, and about 80% of lodge design and décor items in Namibia's Kavango and Zambezi regions are still imported. Most MSMEs in the priority chains are micro, informal or semi-formal, keep limited records, fund themselves from savings, family and savings groups, and earn highly seasonal revenue. Few are ready for conventional bank debt today; many are ready for smaller, better-structured finance linked to a credible buyer.</w:t>
      </w:r>
    </w:p>
    <w:p>
      <w:pPr>
        <w:pStyle w:val="Normal"/>
        <w:jc w:val="both"/>
        <w:rPr/>
      </w:pPr>
      <w:r>
        <w:rPr>
          <w:b/>
          <w:bCs/>
        </w:rPr>
        <w:t>Value chains.</w:t>
      </w:r>
      <w:r>
        <w:rPr/>
        <w:t xml:space="preserve"> Eight value chains emerge from the Macro Diagnostic. Two carry the strongest signal: </w:t>
      </w:r>
      <w:r>
        <w:rPr>
          <w:b/>
          <w:bCs/>
        </w:rPr>
        <w:t>local food and agricultural supply</w:t>
      </w:r>
      <w:r>
        <w:rPr/>
        <w:t xml:space="preserve"> to lodges, and </w:t>
      </w:r>
      <w:r>
        <w:rPr>
          <w:b/>
          <w:bCs/>
        </w:rPr>
        <w:t>lodge-linked goods</w:t>
      </w:r>
      <w:r>
        <w:rPr/>
        <w:t xml:space="preserve"> (décor, furnishings, building materials and gifts). </w:t>
      </w:r>
      <w:r>
        <w:rPr>
          <w:b/>
          <w:bCs/>
        </w:rPr>
        <w:t>Crafts and cultural products</w:t>
      </w:r>
      <w:r>
        <w:rPr/>
        <w:t xml:space="preserve"> are an opportunity with a warning attached: generic curios are oversupplied and buyer relationships are weak. </w:t>
      </w:r>
      <w:r>
        <w:rPr>
          <w:b/>
          <w:bCs/>
        </w:rPr>
        <w:t>Guiding and activities</w:t>
      </w:r>
      <w:r>
        <w:rPr/>
        <w:t xml:space="preserve">, </w:t>
      </w:r>
      <w:r>
        <w:rPr>
          <w:b/>
          <w:bCs/>
        </w:rPr>
        <w:t>transport and transfers</w:t>
      </w:r>
      <w:r>
        <w:rPr/>
        <w:t xml:space="preserve">, and </w:t>
      </w:r>
      <w:r>
        <w:rPr>
          <w:b/>
          <w:bCs/>
        </w:rPr>
        <w:t>waste, recycling and cleaning</w:t>
      </w:r>
      <w:r>
        <w:rPr/>
        <w:t xml:space="preserve"> are listed opportunities. </w:t>
      </w:r>
      <w:r>
        <w:rPr>
          <w:b/>
          <w:bCs/>
        </w:rPr>
        <w:t>Nature-positive community products</w:t>
      </w:r>
      <w:r>
        <w:rPr/>
        <w:t xml:space="preserve"> (honey, forest products, conservation-compatible farming) are emerging and show some of the clearest women-led models. </w:t>
      </w:r>
      <w:r>
        <w:rPr>
          <w:b/>
          <w:bCs/>
        </w:rPr>
        <w:t>Accommodation</w:t>
      </w:r>
      <w:r>
        <w:rPr/>
        <w:t xml:space="preserve"> is mainly context: MSME participation is thin and in several states legally reserved for citizens.</w:t>
      </w:r>
    </w:p>
    <w:p>
      <w:pPr>
        <w:pStyle w:val="Normal"/>
        <w:jc w:val="both"/>
        <w:rPr/>
      </w:pPr>
      <w:r>
        <w:rPr>
          <w:b/>
          <w:bCs/>
        </w:rPr>
        <w:t>Readiness varies most by value chain node.</w:t>
      </w:r>
      <w:r>
        <w:rPr/>
        <w:t xml:space="preserve"> Producers and community groups at the base of the chain are the least ready; suppliers with a contract or repeat orders from an anchor buyer are the most ready for finance; direct tourism service enterprises (guides, transfers) sit in between, with asset finance needs and acute seasonality. Readiness tiers in this report run from Tier 0 (pre-enterprise or group activity) to Tier 3 (investment-ready), and most MSMEs in the priority chains sit in Tiers 0 and 1.</w:t>
      </w:r>
    </w:p>
    <w:p>
      <w:pPr>
        <w:pStyle w:val="Normal"/>
        <w:jc w:val="both"/>
        <w:rPr/>
      </w:pPr>
      <w:r>
        <w:rPr>
          <w:b/>
          <w:bCs/>
        </w:rPr>
        <w:t>Capacity gaps.</w:t>
      </w:r>
      <w:r>
        <w:rPr/>
        <w:t xml:space="preserve"> MSMEs need supplier-readiness skills (quality, volume, reliability and pricing), aggregation into producer groups and cooperatives, basic bookkeeping and seasonal cash-flow planning, and formalisation sequenced to buyer and lender demands. BSOs offer mostly generic training, are concentrated in capitals, lack a common readiness diagnostic and seldom broker finance. A needs and capacity survey carried out in Botswana for the EU-funded Private Sector Development Programme found many of the same gaps more than a decade ago, which shows how persistent they are. It adds quality assurance and standards, productivity, market intelligence, negotiation and collective advocacy to the MSME list, and organisational systems, coordination between BSOs and impact monitoring to the BSO list. Chapter 6 also sets out ten roles that BSOs play along the readiness pathway, from diagnosis and training to finance brokerage and advocacy. It then applies these needs to tourism MSMEs in each Partner State. Angola needs readiness first (formalisation, basic business skills and Angolan guiding and logistics capacity in Cuando and Cubango). Botswana needs supplier development, standards and contract finance around the Kasane and Maun anchors. Namibia needs lodge-linked goods made to specification and a pathway from conservancy benefit to enterprise. Zambia needs smallholder aggregation, certification and youth enterprise in Livingstone. Zimbabwe needs tax clearance, irrigated produce supply and record-keeping around Victoria Falls and Hwange. Each country's needs are matched to interventions and to a lead BSO (INAPEM, LEA, NIPDB, ZDA and CEEC, and SMEDCO) and its partners. Financial institutions need to learn seasonal cash-flow lending, use contracts, receivables and movable assets as security, use existing guarantee schemes, and collect sex-disaggregated portfolio data.</w:t>
      </w:r>
    </w:p>
    <w:p>
      <w:pPr>
        <w:pStyle w:val="Normal"/>
        <w:jc w:val="both"/>
        <w:rPr/>
      </w:pPr>
      <w:r>
        <w:rPr>
          <w:b/>
          <w:bCs/>
        </w:rPr>
        <w:t>Enabling environment.</w:t>
      </w:r>
      <w:r>
        <w:rPr/>
        <w:t xml:space="preserve"> In the World Bank's last Doing Business rankings (Doing Business 2020), Zambia (85th of 190) and Botswana (87th) were the easiest of the five KAZA states in which to do business, followed by Namibia (104th), Zimbabwe (140th) and Angola (177th). The weaknesses that matter most for R-NBT MSMEs are shared: all five states ranked 117th or lower for starting a business, four of the five ranked 138th or lower for trading across borders, and contract enforcement was slow and costly everywhere except Namibia. Zambia's 4th place for getting credit shows that the legal basis for movable-asset and receivables lending exists in at least one state. Sector rules add to this: citizen reservation in Botswana, Zambia and Zimbabwe protects MSME space in transport, crafts and retail but limits outside capital, and Zimbabwe widened its reserved sectors in 2025. Online company registration (Botswana, Angola) and one-stop investment centres (Zimbabwe) have eased formalisation since 2020, but implementation is uneven, and Namibia's online registration system was reported not to be working in 2025.</w:t>
      </w:r>
    </w:p>
    <w:p>
      <w:pPr>
        <w:pStyle w:val="Normal"/>
        <w:jc w:val="both"/>
        <w:rPr/>
      </w:pPr>
      <w:r>
        <w:rPr>
          <w:b/>
          <w:bCs/>
        </w:rPr>
        <w:t>Market access.</w:t>
      </w:r>
      <w:r>
        <w:rPr/>
        <w:t xml:space="preserve"> Evidence beyond the Macro Diagnostic confirms that anchor operators can and do buy locally when suppliers are ready. Wilderness in Botswana reports that more than 80% of its procurement by value comes from Botswana-based suppliers. Its local supplier expo led to more than BWP 6.2 million of new contracts for citizen-owned businesses in its first year, and its suppliers can borrow from Stanbic Bank against their Wilderness contracts. In Livingstone, a hotel buys produce directly from smallholder farmers, and a women's mushroom farm sells most of its produce to hotels under long-term contracts. Research on the Okavango Delta shows how much value leaks out of the region when supply chains are not local. Cross-border supply is held back by limited adoption of the KAZA Univisa and by a simplified trade regime for small traders that covers only Zambia and Zimbabwe.</w:t>
      </w:r>
    </w:p>
    <w:p>
      <w:pPr>
        <w:pStyle w:val="Normal"/>
        <w:jc w:val="both"/>
        <w:rPr/>
      </w:pPr>
      <w:r>
        <w:rPr>
          <w:b/>
          <w:bCs/>
        </w:rPr>
        <w:t>Business development services.</w:t>
      </w:r>
      <w:r>
        <w:rPr/>
        <w:t xml:space="preserve"> Each state has a lead public BSO (INAPEM in Angola, LEA in Botswana, NIPDB in Namibia, ZDA and CEEC in Zambia, SMEDCO in Zimbabwe), supported by chambers, tourism associations and conservation NGOs. Several programmes could serve as entry points: NIPDB's High Potential Pool and SME fund, the ZDA-CEEC agreement on financial and non-financial services, SMEDCO's infrastructure programme and its partnership with the Zimbabwe Stock Exchange, the national incubator network INAPEM is building, and the Wilderness-LEA partnership. None yet offers a tourism supplier-development service at scale in the KAZA hubs.</w:t>
      </w:r>
    </w:p>
    <w:p>
      <w:pPr>
        <w:pStyle w:val="Normal"/>
        <w:jc w:val="both"/>
        <w:rPr/>
      </w:pPr>
      <w:r>
        <w:rPr>
          <w:b/>
          <w:bCs/>
        </w:rPr>
        <w:t>Gender and age.</w:t>
      </w:r>
      <w:r>
        <w:rPr/>
        <w:t xml:space="preserve"> The primary evidence used for this draft does not disaggregate MSME data by gender or age. Secondary sources indicate that women own or lead more than 60% of MSMEs in Zimbabwe and Zambia and that most women-owned businesses are informal, while young people face very high rates of being out of work, education or training and enter tourism mainly through guiding, transport and services. The clearest women-led model with investment potential in the evidence is a Zambian women's forest-products cooperative that supplies Livingstone hotels and has unsolicited export interest. All gender and age findings are flagged as indicative and should be confirmed through a disaggregated MSME survey in the next phase.</w:t>
      </w:r>
    </w:p>
    <w:p>
      <w:pPr>
        <w:pStyle w:val="Normal"/>
        <w:jc w:val="both"/>
        <w:rPr/>
      </w:pPr>
      <w:r>
        <w:rPr>
          <w:b/>
          <w:bCs/>
        </w:rPr>
        <w:t>Financial products.</w:t>
      </w:r>
      <w:r>
        <w:rPr/>
        <w:t xml:space="preserve"> Seasonality is decisive. In an illustrative guiding enterprise that earns 75% of its revenue in five peak months, a standard 24-month loan absorbs about 11% of peak-month revenue but about 48% of low-season revenue. Seasonal amortisation, low-season grace periods, contract-backed receivables finance and revenue-based repayment are better suited than standard monthly amortisation for most R-NBT MSMEs. Guarantees are relevant to financial institutions rather than directly to MSMEs. Equity is relevant to only a small number of growth enterprises and cooperatives and is better delivered as quasi-equity or revenue-share instruments.</w:t>
      </w:r>
    </w:p>
    <w:p>
      <w:pPr>
        <w:pStyle w:val="Normal"/>
        <w:jc w:val="both"/>
        <w:rPr/>
      </w:pPr>
      <w:r>
        <w:rPr>
          <w:b/>
          <w:bCs/>
        </w:rPr>
        <w:t>Recommendations.</w:t>
      </w:r>
      <w:r>
        <w:rPr/>
        <w:t xml:space="preserve"> The report proposes a four-tier readiness pathway with a different support package and finance pathway at each tier, delivered through strengthened BSOs and linked to real buyer contracts. It recommends gender-transformative measures (women's group-to-enterprise pathways, collateral alternatives, care-aware scheduling and women's leadership in cooperatives), youth-focused incubation centred on guiding, transport, waste and digital services, blended packages that pair technical assistance with grants converting to loans, BSO strengthening for investment-readiness and supplier development services, capacity building for financial institutions on seasonal cash-flow lending and tourism-sector risk, and a short list of enabling-environment actions that the programme can influence directly.</w:t>
      </w:r>
    </w:p>
    <w:p>
      <w:pPr>
        <w:pStyle w:val="Normal"/>
        <w:pBdr>
          <w:left w:val="single" w:sz="24" w:space="8" w:color="C8A951"/>
        </w:pBdr>
        <w:shd w:val="clear" w:color="auto" w:fill="E8F0EA"/>
        <w:spacing w:before="160" w:after="200"/>
        <w:ind w:left="200" w:right="200"/>
        <w:rPr/>
      </w:pPr>
      <w:r>
        <w:rPr>
          <w:i/>
          <w:iCs/>
          <w:sz w:val="21"/>
          <w:szCs w:val="21"/>
        </w:rPr>
        <w:t>This is a draft for discussion. It draws mainly on an extract of the KAZA R-NBT Macro Diagnostic Report (Draft, September 2026), which describes all of its findings as preliminary pending Partner State validation. Doing Business 2020 data date from May 2019 and refer to each country's largest business city, not to KAZA hubs. Gender and age findings rely on secondary national data and are indicative. Readiness ratings are the author's assessment and should be validated with MSMEs, BSOs, anchor buyers and financial institutions.</w:t>
      </w:r>
      <w:r>
        <w:br w:type="page"/>
      </w:r>
    </w:p>
    <w:p>
      <w:pPr>
        <w:pStyle w:val="Heading1"/>
        <w:spacing w:before="0" w:after="240"/>
        <w:rPr/>
      </w:pPr>
      <w:bookmarkStart w:id="1" w:name="__RefHeading___Toc1253_3920751122"/>
      <w:bookmarkEnd w:id="1"/>
      <w:r>
        <w:rPr/>
        <w:t>1. Introduction and Methodology</w:t>
      </w:r>
    </w:p>
    <w:p>
      <w:pPr>
        <w:pStyle w:val="Heading2"/>
        <w:rPr/>
      </w:pPr>
      <w:bookmarkStart w:id="2" w:name="__RefHeading___Toc1255_3920751122"/>
      <w:bookmarkEnd w:id="2"/>
      <w:r>
        <w:rPr/>
        <w:t>1.1 Purpose and Scope</w:t>
      </w:r>
    </w:p>
    <w:p>
      <w:pPr>
        <w:pStyle w:val="Normal"/>
        <w:jc w:val="both"/>
        <w:rPr/>
      </w:pPr>
      <w:r>
        <w:rPr/>
        <w:t>The assessment supports the KAZA Joint Action on Regenerative Nature-Based Tourism, funded by the European Union and Germany and implemented in the KAZA landscape by GIZ, which focuses on MSMEs led by women, youth and communities living near protected areas. Focusing on the priority value chains, it addresses five questions:</w:t>
      </w:r>
    </w:p>
    <w:p>
      <w:pPr>
        <w:pStyle w:val="ListParagraph"/>
        <w:numPr>
          <w:ilvl w:val="0"/>
          <w:numId w:val="4"/>
        </w:numPr>
        <w:rPr/>
      </w:pPr>
      <w:r>
        <w:rPr>
          <w:b/>
          <w:bCs/>
        </w:rPr>
        <w:t>Capacity-building needs:</w:t>
      </w:r>
      <w:r>
        <w:rPr/>
        <w:t xml:space="preserve"> what MSMEs, BSOs and financial institutions need to improve investment readiness and inclusive financing.</w:t>
      </w:r>
    </w:p>
    <w:p>
      <w:pPr>
        <w:pStyle w:val="ListParagraph"/>
        <w:numPr>
          <w:ilvl w:val="0"/>
          <w:numId w:val="5"/>
        </w:numPr>
        <w:rPr/>
      </w:pPr>
      <w:r>
        <w:rPr>
          <w:b/>
          <w:bCs/>
        </w:rPr>
        <w:t>Interventions:</w:t>
      </w:r>
      <w:r>
        <w:rPr/>
        <w:t xml:space="preserve"> which capacity-building interventions, tiered pathways, gender-transformative approaches, youth-focused incubation, blended support packages, BSO strengthening and financing pathways are recommended.</w:t>
      </w:r>
    </w:p>
    <w:p>
      <w:pPr>
        <w:pStyle w:val="ListParagraph"/>
        <w:numPr>
          <w:ilvl w:val="0"/>
          <w:numId w:val="6"/>
        </w:numPr>
        <w:rPr/>
      </w:pPr>
      <w:r>
        <w:rPr>
          <w:b/>
          <w:bCs/>
        </w:rPr>
        <w:t>Enabling environment:</w:t>
      </w:r>
      <w:r>
        <w:rPr/>
        <w:t xml:space="preserve"> how national (for each of the five KAZA states) and regional regulation, market access, business development services, linkages with larger tourism operators and policy conditions shape readiness.</w:t>
      </w:r>
    </w:p>
    <w:p>
      <w:pPr>
        <w:pStyle w:val="ListParagraph"/>
        <w:numPr>
          <w:ilvl w:val="0"/>
          <w:numId w:val="7"/>
        </w:numPr>
        <w:rPr/>
      </w:pPr>
      <w:r>
        <w:rPr>
          <w:b/>
          <w:bCs/>
        </w:rPr>
        <w:t>Scalable models:</w:t>
      </w:r>
      <w:r>
        <w:rPr/>
        <w:t xml:space="preserve"> which women- and youth-led MSME models show investment potential.</w:t>
      </w:r>
    </w:p>
    <w:p>
      <w:pPr>
        <w:pStyle w:val="ListParagraph"/>
        <w:numPr>
          <w:ilvl w:val="0"/>
          <w:numId w:val="8"/>
        </w:numPr>
        <w:rPr/>
      </w:pPr>
      <w:r>
        <w:rPr>
          <w:b/>
          <w:bCs/>
        </w:rPr>
        <w:t>Product readiness:</w:t>
      </w:r>
      <w:r>
        <w:rPr/>
        <w:t xml:space="preserve"> how ready MSMEs and financial institutions are for loans, guarantees and equity, how seasonality affects debt-based products, and whether alternatives such as revenue-based finance and flexible repayment are more appropriate.</w:t>
      </w:r>
    </w:p>
    <w:p>
      <w:pPr>
        <w:pStyle w:val="Heading2"/>
        <w:rPr/>
      </w:pPr>
      <w:bookmarkStart w:id="3" w:name="__RefHeading___Toc1257_3920751122"/>
      <w:bookmarkEnd w:id="3"/>
      <w:r>
        <w:rPr/>
        <w:t>1.2 Evidence Base</w:t>
      </w:r>
    </w:p>
    <w:p>
      <w:pPr>
        <w:pStyle w:val="Normal"/>
        <w:jc w:val="both"/>
        <w:rPr/>
      </w:pPr>
      <w:r>
        <w:rPr/>
        <w:t>The assessment draws on five sources of evidence, graded by confidence:</w:t>
      </w:r>
    </w:p>
    <w:p>
      <w:pPr>
        <w:pStyle w:val="Normal"/>
        <w:jc w:val="both"/>
        <w:rPr/>
      </w:pPr>
      <w:r>
        <w:rPr>
          <w:b/>
          <w:bCs/>
        </w:rPr>
        <w:t>Primary evidence: the Macro Diagnostic.</w:t>
      </w:r>
      <w:r>
        <w:rPr/>
        <w:t xml:space="preserve"> The main source is the KAZA R-NBT Macro Diagnostic Report prepared by SIGMA International for GIZ (draft, September 2026), used through an extract on priority value chains. It provides the value chains, the buyer and enterprise evidence, a survey of 71 MSMEs, destination and corridor findings, and the conditions the report attaches to supplier development. Its findings are draft and preliminary; some rest on single interviews, and Namibia (7 of the 71 survey responses) and Angola (no survey responses) are thinly covered.</w:t>
      </w:r>
    </w:p>
    <w:p>
      <w:pPr>
        <w:pStyle w:val="Normal"/>
        <w:jc w:val="both"/>
        <w:rPr/>
      </w:pPr>
      <w:r>
        <w:rPr>
          <w:b/>
          <w:bCs/>
        </w:rPr>
        <w:t>The KAZA Financial Landscape Analysis</w:t>
      </w:r>
      <w:r>
        <w:rPr/>
        <w:t xml:space="preserve"> (October 2026) supplies the supply-side picture: financial actors and products, guarantee schemes, BSOs and indicative institutional ratings for each country. It is a desk review, so its ratings are indicative.</w:t>
      </w:r>
    </w:p>
    <w:p>
      <w:pPr>
        <w:pStyle w:val="Normal"/>
        <w:jc w:val="both"/>
        <w:rPr/>
      </w:pPr>
      <w:r>
        <w:rPr>
          <w:b/>
          <w:bCs/>
        </w:rPr>
        <w:t>The Botswana PSDP needs and capacity survey,</w:t>
      </w:r>
      <w:r>
        <w:rPr/>
        <w:t xml:space="preserve"> carried out to design the EU-funded Private Sector Development Programme with CDE (c. 2013), sets out prioritised capacity-building needs for SMMEs and for ten SMME support institutions, together with cross-cutting needs and lessons on how BSOs are coordinated. It covers Botswana only, is more than a decade old and is not specific to tourism, and several of the institutions it names have since been renamed or merged. It is therefore used to corroborate and extend the capacity-building needs in Chapter 6 rather than as current evidence.</w:t>
      </w:r>
    </w:p>
    <w:p>
      <w:pPr>
        <w:pStyle w:val="Normal"/>
        <w:jc w:val="both"/>
        <w:rPr/>
      </w:pPr>
      <w:r>
        <w:rPr>
          <w:b/>
          <w:bCs/>
        </w:rPr>
        <w:t>The World Bank's Doing Business 2020 economy profiles</w:t>
      </w:r>
      <w:r>
        <w:rPr/>
        <w:t xml:space="preserve"> for the five states, supplemented by evidence on reforms since 2019 and by the first findings of the World Bank's Business Ready (B-READY) project, are used to compare business regulation. They are comparable across countries but dated (data to May 2019), measured in each country's largest business city for a standard limited company, and the series was discontinued in 2021. They are therefore used to indicate relative regulatory burden rather than current conditions in KAZA.</w:t>
      </w:r>
    </w:p>
    <w:p>
      <w:pPr>
        <w:pStyle w:val="Normal"/>
        <w:jc w:val="both"/>
        <w:rPr/>
      </w:pPr>
      <w:r>
        <w:rPr>
          <w:b/>
          <w:bCs/>
        </w:rPr>
        <w:t>Secondary national, sector and company data</w:t>
      </w:r>
      <w:r>
        <w:rPr/>
        <w:t xml:space="preserve"> include the FinScope MSME surveys, World Bank, AFI and UN Women studies, census labour data, operator reports, academic studies and agency and press reports. They inform the analysis of gender, age, informality and record-keeping, tourism demand, anchor procurement and BSO programmes. Most are not specific to KAZA and operator figures are self-reported, so each figure is attributed to its source.</w:t>
      </w:r>
    </w:p>
    <w:p>
      <w:pPr>
        <w:pStyle w:val="Normal"/>
        <w:jc w:val="both"/>
        <w:rPr/>
      </w:pPr>
      <w:r>
        <w:rPr/>
        <w:t>Page references to the Macro Diagnostic (shown as "MD p. N") are to the report's printed page numbers. Where this assessment draws an inference that the evidence does not state directly, it says so.</w:t>
      </w:r>
    </w:p>
    <w:p>
      <w:pPr>
        <w:pStyle w:val="Heading2"/>
        <w:rPr/>
      </w:pPr>
      <w:bookmarkStart w:id="4" w:name="__RefHeading___Toc1259_3920751122"/>
      <w:bookmarkEnd w:id="4"/>
      <w:r>
        <w:rPr/>
        <w:t>1.3 Readiness Framework</w:t>
      </w:r>
    </w:p>
    <w:p>
      <w:pPr>
        <w:pStyle w:val="Normal"/>
        <w:jc w:val="both"/>
        <w:rPr/>
      </w:pPr>
      <w:r>
        <w:rPr/>
        <w:t>Investment readiness is assessed across six dimensions, each rated Low, Medium or High for the typical MSME in a value chain or node:</w:t>
      </w:r>
    </w:p>
    <w:p>
      <w:pPr>
        <w:pStyle w:val="Normal"/>
        <w:jc w:val="both"/>
        <w:rPr/>
      </w:pPr>
      <w:r>
        <w:rPr/>
        <w:t xml:space="preserve">The </w:t>
      </w:r>
      <w:r>
        <w:rPr>
          <w:b/>
          <w:bCs/>
        </w:rPr>
        <w:t>business model</w:t>
      </w:r>
      <w:r>
        <w:rPr/>
        <w:t xml:space="preserve"> dimension looks at how clear the product and customer are, how the enterprise earns revenue, its margins and scalability, and how well it withstands seasonality and shocks. </w:t>
      </w:r>
      <w:r>
        <w:rPr>
          <w:b/>
          <w:bCs/>
        </w:rPr>
        <w:t>Market linkage</w:t>
      </w:r>
      <w:r>
        <w:rPr/>
        <w:t xml:space="preserve"> asks whether there is a credible buyer, whether there are repeat orders or contracts, and whether the enterprise can meet quality, volume and reliability standards. </w:t>
      </w:r>
      <w:r>
        <w:rPr>
          <w:b/>
          <w:bCs/>
        </w:rPr>
        <w:t>Financial practices</w:t>
      </w:r>
      <w:r>
        <w:rPr/>
        <w:t xml:space="preserve"> cover the separation of business and household money, saving, the use of formal and informal finance, pricing and costing, and the management of working capital.</w:t>
      </w:r>
    </w:p>
    <w:p>
      <w:pPr>
        <w:pStyle w:val="Normal"/>
        <w:jc w:val="both"/>
        <w:rPr/>
      </w:pPr>
      <w:r>
        <w:rPr>
          <w:b/>
          <w:bCs/>
        </w:rPr>
        <w:t>Record-keeping</w:t>
      </w:r>
      <w:r>
        <w:rPr/>
        <w:t xml:space="preserve"> concerns sales, cost and cash records, the existence of a bank or mobile-money trail, and the ability to produce management accounts or financial statements. </w:t>
      </w:r>
      <w:r>
        <w:rPr>
          <w:b/>
          <w:bCs/>
        </w:rPr>
        <w:t>Formality and compliance</w:t>
      </w:r>
      <w:r>
        <w:rPr/>
        <w:t xml:space="preserve"> cover business registration, tax clearance and VAT status, licences, and the insurance and certification that buyers require. </w:t>
      </w:r>
      <w:r>
        <w:rPr>
          <w:b/>
          <w:bCs/>
        </w:rPr>
        <w:t>Management and governance</w:t>
      </w:r>
      <w:r>
        <w:rPr/>
        <w:t xml:space="preserve"> look at the owner's or group's capacity to plan and to manage staff and suppliers and, for cooperatives and community enterprises, at governance and benefit-sharing rules.</w:t>
      </w:r>
    </w:p>
    <w:p>
      <w:pPr>
        <w:pStyle w:val="Normal"/>
        <w:jc w:val="both"/>
        <w:rPr/>
      </w:pPr>
      <w:r>
        <w:rPr/>
        <w:t>These dimensions combine into four readiness tiers, used throughout the report:</w:t>
      </w:r>
    </w:p>
    <w:p>
      <w:pPr>
        <w:pStyle w:val="Normal"/>
        <w:jc w:val="both"/>
        <w:rPr/>
      </w:pPr>
      <w:r>
        <w:rPr>
          <w:b/>
          <w:bCs/>
        </w:rPr>
        <w:t>Tier 0 (pre-enterprise)</w:t>
      </w:r>
      <w:r>
        <w:rPr/>
        <w:t xml:space="preserve"> describes an individual or group income activity that is not registered, keeps no records and sells informally or through a hub; its members often belong to a savings group. Appropriate finance at this stage is savings-group credit, grants and in-kind support.</w:t>
      </w:r>
    </w:p>
    <w:p>
      <w:pPr>
        <w:pStyle w:val="Normal"/>
        <w:jc w:val="both"/>
        <w:rPr/>
      </w:pPr>
      <w:r>
        <w:rPr>
          <w:b/>
          <w:bCs/>
        </w:rPr>
        <w:t>Tier 1 (emerging)</w:t>
      </w:r>
      <w:r>
        <w:rPr/>
        <w:t xml:space="preserve"> is an operating micro-enterprise that is informal or only partly registered, keeps basic records or none, and sells irregularly to tourists or lodges. It can use savings-linked micro-loans, small asset loans and matching grants.</w:t>
      </w:r>
    </w:p>
    <w:p>
      <w:pPr>
        <w:pStyle w:val="Normal"/>
        <w:jc w:val="both"/>
        <w:rPr/>
      </w:pPr>
      <w:r>
        <w:rPr>
          <w:b/>
          <w:bCs/>
        </w:rPr>
        <w:t>Tier 2 (supplier-ready)</w:t>
      </w:r>
      <w:r>
        <w:rPr/>
        <w:t xml:space="preserve"> is a registered enterprise that is tax-compliant or close to it, keeps simple records and has repeat orders or a contract with an anchor buyer. It is ready for contract-backed working capital, receivables finance, asset finance and leasing, and guaranteed bank loans.</w:t>
      </w:r>
    </w:p>
    <w:p>
      <w:pPr>
        <w:pStyle w:val="Normal"/>
        <w:jc w:val="both"/>
        <w:rPr/>
      </w:pPr>
      <w:r>
        <w:rPr>
          <w:b/>
          <w:bCs/>
        </w:rPr>
        <w:t>Tier 3 (investment-ready)</w:t>
      </w:r>
      <w:r>
        <w:rPr/>
        <w:t xml:space="preserve"> is a formal enterprise with management accounts, several buyers, a growth plan and governance in place. It can use term loans, guaranteed lending, quasi-equity and revenue-based finance, and a few such enterprises can take equity.</w:t>
      </w:r>
    </w:p>
    <w:p>
      <w:pPr>
        <w:pStyle w:val="Heading2"/>
        <w:rPr/>
      </w:pPr>
      <w:bookmarkStart w:id="5" w:name="__RefHeading___Toc1261_3920751122"/>
      <w:bookmarkEnd w:id="5"/>
      <w:r>
        <w:rPr/>
        <w:t>1.4 Limitations</w:t>
      </w:r>
    </w:p>
    <w:p>
      <w:pPr>
        <w:pStyle w:val="ListParagraph"/>
        <w:numPr>
          <w:ilvl w:val="0"/>
          <w:numId w:val="9"/>
        </w:numPr>
        <w:rPr/>
      </w:pPr>
      <w:r>
        <w:rPr>
          <w:b/>
          <w:bCs/>
        </w:rPr>
        <w:t>No primary gender or age disaggregation.</w:t>
      </w:r>
      <w:r>
        <w:rPr/>
        <w:t xml:space="preserve"> The Macro Diagnostic extract available for this draft does not report MSME characteristics by gender or age of owner. Section 5 uses secondary national data and enterprise cases, and Annex B sets out how to close this gap.</w:t>
      </w:r>
    </w:p>
    <w:p>
      <w:pPr>
        <w:pStyle w:val="ListParagraph"/>
        <w:numPr>
          <w:ilvl w:val="0"/>
          <w:numId w:val="10"/>
        </w:numPr>
        <w:rPr/>
      </w:pPr>
      <w:r>
        <w:rPr>
          <w:b/>
          <w:bCs/>
        </w:rPr>
        <w:t>No value chain sizing.</w:t>
      </w:r>
      <w:r>
        <w:rPr/>
        <w:t xml:space="preserve"> The Macro Diagnostic does not size, rank or cost value chains and gives no margins (MD p. 31, 49). Readiness ratings are therefore qualitative.</w:t>
      </w:r>
    </w:p>
    <w:p>
      <w:pPr>
        <w:pStyle w:val="ListParagraph"/>
        <w:numPr>
          <w:ilvl w:val="0"/>
          <w:numId w:val="11"/>
        </w:numPr>
        <w:rPr/>
      </w:pPr>
      <w:r>
        <w:rPr>
          <w:b/>
          <w:bCs/>
        </w:rPr>
        <w:t>Uneven country coverage.</w:t>
      </w:r>
      <w:r>
        <w:rPr/>
        <w:t xml:space="preserve"> Botswana, Zimbabwe and Zambia are better evidenced than Namibia and Angola (MD p. 10, 109). Craft findings are Botswana-only (MD p. 153).</w:t>
      </w:r>
    </w:p>
    <w:p>
      <w:pPr>
        <w:pStyle w:val="ListParagraph"/>
        <w:numPr>
          <w:ilvl w:val="0"/>
          <w:numId w:val="12"/>
        </w:numPr>
        <w:rPr/>
      </w:pPr>
      <w:r>
        <w:rPr>
          <w:b/>
          <w:bCs/>
        </w:rPr>
        <w:t>Dated regulatory benchmarks.</w:t>
      </w:r>
      <w:r>
        <w:rPr/>
        <w:t xml:space="preserve"> Doing Business 2020 is the last edition of the series, which the World Bank discontinued in 2021 after data irregularities were found in earlier editions. Its successor, B-READY, covered 101 economies in its 2025 interim edition and will cover 164 by the end of 2026, but country results for all five KAZA states were not available for this draft. Doing Business rankings are used here only to compare the five states and to identify which regulatory procedures weigh most on MSMEs.</w:t>
      </w:r>
    </w:p>
    <w:p>
      <w:pPr>
        <w:pStyle w:val="ListParagraph"/>
        <w:numPr>
          <w:ilvl w:val="0"/>
          <w:numId w:val="13"/>
        </w:numPr>
        <w:rPr/>
      </w:pPr>
      <w:r>
        <w:rPr>
          <w:b/>
          <w:bCs/>
        </w:rPr>
        <w:t>Draft status.</w:t>
      </w:r>
      <w:r>
        <w:rPr/>
        <w:t xml:space="preserve"> The Macro Diagnostic is a draft for validation at the September 2026 Roundtable. Findings should be updated once it is final.</w:t>
      </w:r>
      <w:r>
        <w:br w:type="page"/>
      </w:r>
    </w:p>
    <w:p>
      <w:pPr>
        <w:pStyle w:val="Heading1"/>
        <w:spacing w:before="0" w:after="240"/>
        <w:rPr/>
      </w:pPr>
      <w:bookmarkStart w:id="6" w:name="__RefHeading___Toc1263_3920751122"/>
      <w:bookmarkEnd w:id="6"/>
      <w:r>
        <w:rPr/>
        <w:t>2. Priority Value Chains and Value Chain Nodes</w:t>
      </w:r>
    </w:p>
    <w:p>
      <w:pPr>
        <w:pStyle w:val="Heading2"/>
        <w:rPr/>
      </w:pPr>
      <w:bookmarkStart w:id="7" w:name="__RefHeading___Toc1265_3920751122"/>
      <w:bookmarkEnd w:id="7"/>
      <w:r>
        <w:rPr/>
        <w:t>2.1 The Eight Value Chains</w:t>
      </w:r>
    </w:p>
    <w:p>
      <w:pPr>
        <w:pStyle w:val="Normal"/>
        <w:jc w:val="both"/>
        <w:rPr/>
      </w:pPr>
      <w:r>
        <w:rPr/>
        <w:t xml:space="preserve">The Macro Diagnostic does not rank value chains. Its buyer evidence, destination findings and enterprise cases point to eight chains. This assessment groups them by the strength of the signal in the report: a </w:t>
      </w:r>
      <w:r>
        <w:rPr>
          <w:b/>
          <w:bCs/>
        </w:rPr>
        <w:t>strongest</w:t>
      </w:r>
      <w:r>
        <w:rPr/>
        <w:t xml:space="preserve"> signal means a buyer or the destination findings name the chain as the clearest opportunity, or a quantified gap supports it; a </w:t>
      </w:r>
      <w:r>
        <w:rPr>
          <w:b/>
          <w:bCs/>
        </w:rPr>
        <w:t>listed</w:t>
      </w:r>
      <w:r>
        <w:rPr/>
        <w:t xml:space="preserve"> chain is named among opportunities without ranking; an </w:t>
      </w:r>
      <w:r>
        <w:rPr>
          <w:b/>
          <w:bCs/>
        </w:rPr>
        <w:t>emerging</w:t>
      </w:r>
      <w:r>
        <w:rPr/>
        <w:t xml:space="preserve"> chain rests on single-interview enterprise cases; and </w:t>
      </w:r>
      <w:r>
        <w:rPr>
          <w:b/>
          <w:bCs/>
        </w:rPr>
        <w:t>context</w:t>
      </w:r>
      <w:r>
        <w:rPr/>
        <w:t xml:space="preserve"> marks a chain that shows where MSME participation is thin rather than a supply line in its own right.</w:t>
      </w:r>
    </w:p>
    <w:p>
      <w:pPr>
        <w:pStyle w:val="Heading3"/>
        <w:rPr/>
      </w:pPr>
      <w:r>
        <w:rPr/>
        <w:t>Chains with the strongest signal</w:t>
      </w:r>
    </w:p>
    <w:p>
      <w:pPr>
        <w:pStyle w:val="Normal"/>
        <w:jc w:val="both"/>
        <w:rPr/>
      </w:pPr>
      <w:r>
        <w:rPr>
          <w:b/>
          <w:bCs/>
        </w:rPr>
        <w:t>Local food and agricultural supply</w:t>
      </w:r>
      <w:r>
        <w:rPr/>
        <w:t xml:space="preserve"> (fresh produce, dry goods and beverages) has the clearest buyer endorsement in the evidence. A Hwange anchor lodge calls irrigated fruit and vegetable supply the clearest near-term opportunity, because sourcing from Bulawayo brings long transport chains, delays and quality problems (MD p. 75). A Botswana anchor operator puts food and produce, dry goods and beverages among the strongest genuine MSME opportunities (MD p. 68), and primary engagement in Kasane/Chobe lists local food and agricultural supply first among its supply-chain opportunities (MD p. 108). The report places the chain in Kasane/Chobe, Hwange, the Victoria Falls and Chobe-Zambezi corridors and the agricultural economy of Namibia's Zambezi Region, and notes that many of the strongest value-capture opportunities lie in agriculture and food supply, outside the conventional definition of a tourism business (MD p. 143). Retailers in Botswana report that they lack local produce to sell (MD p. 31).</w:t>
      </w:r>
    </w:p>
    <w:p>
      <w:pPr>
        <w:pStyle w:val="Normal"/>
        <w:jc w:val="both"/>
        <w:rPr/>
      </w:pPr>
      <w:r>
        <w:rPr>
          <w:b/>
          <w:bCs/>
        </w:rPr>
        <w:t>Lodge-linked goods</w:t>
      </w:r>
      <w:r>
        <w:rPr/>
        <w:t xml:space="preserve"> (décor, furnishings, building materials and gifts) are the chain with the strongest quantified gap. About 80% of lodge design and décor items in Namibia's Kavango and Zambezi regions are still imported, because local suppliers cannot yet match the consistency, quality, scale and price of imports (MD p. 70, 128); an anchor lodge and an industry association cite the same figure independently (MD p. 82). In Botswana, camp construction materials arrive largely through South African intermediaries (MD p. 68), while in Hwange sustained tourism demand has already drawn local suppliers into gifts, building materials and services (MD p. 75). The opportunity is therefore import substitution in a market that already exists, and the main barrier is the supplier's ability to meet lodge specifications rather than demand.</w:t>
      </w:r>
    </w:p>
    <w:p>
      <w:pPr>
        <w:pStyle w:val="Heading3"/>
        <w:rPr/>
      </w:pPr>
      <w:r>
        <w:rPr/>
        <w:t>Listed opportunities</w:t>
      </w:r>
    </w:p>
    <w:p>
      <w:pPr>
        <w:pStyle w:val="Normal"/>
        <w:jc w:val="both"/>
        <w:rPr/>
      </w:pPr>
      <w:r>
        <w:rPr>
          <w:b/>
          <w:bCs/>
        </w:rPr>
        <w:t>Crafts, cultural products and destination retail</w:t>
      </w:r>
      <w:r>
        <w:rPr/>
        <w:t xml:space="preserve"> are listed with a warning. The chain appears in Okavango/Maun, Kasane/Chobe, the Zambezi Region, the Victoria Falls corridor and the Ngamo CAMPFIRE area. Mass-produced generic curios oversupply the market without diversifying it, and the most frequently purchased item is a simple fridge magnet (MD p. 68). A Maun craft hub that connects more than 100 rural artisans holds export certifications but has no committed international buyers (MD p. 69). The report rates craft oversupply and weak buyer relationships as triangulated (MD p. 82) but notes that this evidence comes from Botswana only (MD p. 153). In Namibian conservancies, craft and similar small enterprises capture less than 1% of conservancy returns (MD p. 37, 40).</w:t>
      </w:r>
    </w:p>
    <w:p>
      <w:pPr>
        <w:pStyle w:val="Normal"/>
        <w:jc w:val="both"/>
        <w:rPr/>
      </w:pPr>
      <w:r>
        <w:rPr>
          <w:b/>
          <w:bCs/>
        </w:rPr>
        <w:t>Guiding, tours and activities</w:t>
      </w:r>
      <w:r>
        <w:rPr/>
        <w:t>, including cultural experiences, form the largest single-activity category in the MSME survey (7 of 71 respondents), and 42 of the 71 respondents combine several activities, most often guiding, transport and cultural experiences (MD p. 61). The chain is concentrated along the Livingstone-Victoria Falls-Kazungula-Chobe corridor, in the Okavango and Chobe system, and potentially in the Kavango/Cubango-Zambezi corridor, where bookings, guiding and logistics for Angola's flagship Luiana camp currently accrue in Namibia (MD p. 25, 118-119). A destination management company identifies guiding quality as a shared bottleneck across Zimbabwe, Zambia and Botswana (MD p. 84), and equipment finance for guides is a named financing gap in Botswana (MD p. 68).</w:t>
      </w:r>
    </w:p>
    <w:p>
      <w:pPr>
        <w:pStyle w:val="Normal"/>
        <w:jc w:val="both"/>
        <w:rPr/>
      </w:pPr>
      <w:r>
        <w:rPr>
          <w:b/>
          <w:bCs/>
        </w:rPr>
        <w:t>Transport, transfers and logistics</w:t>
      </w:r>
      <w:r>
        <w:rPr/>
        <w:t xml:space="preserve"> are listed for Kasane/Chobe, Hwange and the Victoria Falls corridor (MD p. 68, 75, 108, 118). This chain is shaped by ownership rules more than any other: Botswana bans foreign equity in touristic transfer companies, making them structurally an MSME space that depends on domestic capital and lodge or DMC contracts (MD p. 32, 34); Zambia and Angola also restrict foreign participation in road transport (MD p. 26, 44). Tax clearance and insurance are non-negotiable for transport sub-contractors to anchor operators (MD p. 74, 84).</w:t>
      </w:r>
    </w:p>
    <w:p>
      <w:pPr>
        <w:pStyle w:val="Normal"/>
        <w:jc w:val="both"/>
        <w:rPr/>
      </w:pPr>
      <w:r>
        <w:rPr>
          <w:b/>
          <w:bCs/>
        </w:rPr>
        <w:t>Waste, recycling, circular economy and cleaning</w:t>
      </w:r>
      <w:r>
        <w:rPr/>
        <w:t xml:space="preserve"> appear in the Botswana anchor operator's opportunity list and in the Kasane/Chobe list (MD p. 68, 108), and recycling is one of the practical opportunities named for the Zambezi Region (MD p. 108). Two enterprise cases illustrate the chain: the Maun craft hub turns bottle tops and fabric off-cuts into homeware, and a Namibian community trust grew from a waste-infrastructure gap into sewing, recycled-aluminium and beehive enterprises (MD p. 69, 71, 115). Both rest on single interviews.</w:t>
      </w:r>
    </w:p>
    <w:p>
      <w:pPr>
        <w:pStyle w:val="Heading3"/>
        <w:rPr/>
      </w:pPr>
      <w:r>
        <w:rPr/>
        <w:t>Emerging and contextual chains</w:t>
      </w:r>
    </w:p>
    <w:p>
      <w:pPr>
        <w:pStyle w:val="Normal"/>
        <w:jc w:val="both"/>
        <w:rPr/>
      </w:pPr>
      <w:r>
        <w:rPr>
          <w:b/>
          <w:bCs/>
        </w:rPr>
        <w:t>Nature-positive community products</w:t>
      </w:r>
      <w:r>
        <w:rPr/>
        <w:t xml:space="preserve"> (honey, forest products, conservation-compatible farming and dung paper) are emerging. In Botswana's Eastern Panhandle, an "Elephant Aware Economy" combines a low-tillage farming cooperative selling at a premium, a honey enterprise that uses bees to deter elephants, and elephant-dung paper (MD p. 69-70, 115). In Zambia, a women's forest-products cooperative sells mungongo oil and baobab coffee to Livingstone hotels and export buyers (MD p. 73, 101), and in Namibia the Sijwa beehive project returns 12% of sales to the conservancy (MD p. 115). Each case rests on a single interview and is illustrative rather than representative, but together they show some of the clearest women-led and conservation-linked models in the evidence.</w:t>
      </w:r>
    </w:p>
    <w:p>
      <w:pPr>
        <w:pStyle w:val="Normal"/>
        <w:jc w:val="both"/>
        <w:rPr/>
      </w:pPr>
      <w:r>
        <w:rPr>
          <w:b/>
          <w:bCs/>
        </w:rPr>
        <w:t>Accommodation</w:t>
      </w:r>
      <w:r>
        <w:rPr/>
        <w:t xml:space="preserve"> (community lodges, campsites and guesthouses) is context rather than a supply line. The report uses it to show where MSME participation is thin: only 1 of 80 surveyed community enterprises in Zimbabwe is a lodging operation, community campsites and traditional villages bring 0.9% of Namibian conservancy returns against 59.7% from joint-venture lodges, and Botswana reserves guesthouses for citizens (MD p. 11, 34, 37, 43, 109).</w:t>
      </w:r>
    </w:p>
    <w:p>
      <w:pPr>
        <w:pStyle w:val="Heading3"/>
        <w:rPr/>
      </w:pPr>
      <w:r>
        <w:rPr/>
        <w:t>Where the chains sit by destination</w:t>
      </w:r>
    </w:p>
    <w:p>
      <w:pPr>
        <w:pStyle w:val="Normal"/>
        <w:jc w:val="both"/>
        <w:rPr/>
      </w:pPr>
      <w:r>
        <w:rPr/>
        <w:t>The destination findings point to different entry chains in each pilot candidate (MD p. 106-110). Kasane/Chobe and Hwange-Victoria Falls offer the broadest anchor-led procurement opportunities across food, transport, building materials, waste and crafts. Okavango/Maun is framed around commercialising crafts and conservation-compatible products, the Zambezi Region around moving from benefit-sharing to local supply and commercial enterprise in recycling, agriculture and beekeeping, and Livingstone around helping smaller enterprises participate consistently through working capital, formalisation, certification and buyer connections. Angola's Cubango-Okavango is at an early stage that calls for enterprise identification and capability building before finance.</w:t>
      </w:r>
    </w:p>
    <w:p>
      <w:pPr>
        <w:pStyle w:val="Heading2"/>
        <w:rPr/>
      </w:pPr>
      <w:bookmarkStart w:id="8" w:name="__RefHeading___Toc1267_3920751122"/>
      <w:bookmarkEnd w:id="8"/>
      <w:r>
        <w:rPr/>
        <w:t>2.2 Value Chain Nodes</w:t>
      </w:r>
    </w:p>
    <w:p>
      <w:pPr>
        <w:pStyle w:val="Normal"/>
        <w:jc w:val="both"/>
        <w:rPr/>
      </w:pPr>
      <w:r>
        <w:rPr/>
        <w:t>To compare readiness across chains, the assessment uses five nodes. The same MSME may sit at more than one node, for example a cooperative that grows produce and delivers it to a lodge.</w:t>
      </w:r>
    </w:p>
    <w:p>
      <w:pPr>
        <w:pStyle w:val="Normal"/>
        <w:jc w:val="both"/>
        <w:rPr/>
      </w:pPr>
      <w:r>
        <w:rPr>
          <w:b/>
          <w:bCs/>
        </w:rPr>
        <w:t>Node A, the primary producer,</w:t>
      </w:r>
      <w:r>
        <w:rPr/>
        <w:t xml:space="preserve"> grows, harvests or makes a product, usually as an individual or household; in KAZA this means market gardeners, beekeepers, forest-product harvesters and artisans. </w:t>
      </w:r>
      <w:r>
        <w:rPr>
          <w:b/>
          <w:bCs/>
        </w:rPr>
        <w:t>Node B, the aggregator or processor,</w:t>
      </w:r>
      <w:r>
        <w:rPr/>
        <w:t xml:space="preserve"> collects, processes, packages or adds value for several producers, as craft hubs, produce cooperatives, oil-pressing cooperatives and recycling workshops do. </w:t>
      </w:r>
      <w:r>
        <w:rPr>
          <w:b/>
          <w:bCs/>
        </w:rPr>
        <w:t>Node C, the supplier to anchor buyers,</w:t>
      </w:r>
      <w:r>
        <w:rPr/>
        <w:t xml:space="preserve"> sells regularly to lodges, hotels, DMCs or retailers against orders or contracts; examples are fresh-produce suppliers, décor and furniture makers, and building-material and cleaning suppliers.</w:t>
      </w:r>
    </w:p>
    <w:p>
      <w:pPr>
        <w:pStyle w:val="Normal"/>
        <w:jc w:val="both"/>
        <w:rPr/>
      </w:pPr>
      <w:r>
        <w:rPr>
          <w:b/>
          <w:bCs/>
        </w:rPr>
        <w:t>Node D, the direct tourism service enterprise,</w:t>
      </w:r>
      <w:r>
        <w:rPr/>
        <w:t xml:space="preserve"> sells experiences or services to visitors or operators, as guides, mokoro polers, transfer operators and cultural-tour operators do. </w:t>
      </w:r>
      <w:r>
        <w:rPr>
          <w:b/>
          <w:bCs/>
        </w:rPr>
        <w:t>Node E, the community enterprise,</w:t>
      </w:r>
      <w:r>
        <w:rPr/>
        <w:t xml:space="preserve"> is owned by a conservancy, trust, CBO or CAMPFIRE ward and carries benefit-sharing obligations; community campsites, JV lodge partners and community craft markets are typical.</w:t>
      </w:r>
    </w:p>
    <w:p>
      <w:pPr>
        <w:pStyle w:val="Normal"/>
        <w:jc w:val="both"/>
        <w:rPr/>
      </w:pPr>
      <w:r>
        <w:rPr/>
        <w:t>The Macro Diagnostic stresses that local procurement is not the same as local value-add: the test is how much value is produced and retained locally (MD p. 68, 79). Readiness at nodes A and B therefore matters as much as at node C, even though finance is easiest to deliver at node C.</w:t>
      </w:r>
      <w:r>
        <w:br w:type="page"/>
      </w:r>
    </w:p>
    <w:p>
      <w:pPr>
        <w:pStyle w:val="Heading1"/>
        <w:spacing w:before="0" w:after="240"/>
        <w:rPr/>
      </w:pPr>
      <w:bookmarkStart w:id="9" w:name="__RefHeading___Toc1269_3920751122"/>
      <w:bookmarkEnd w:id="9"/>
      <w:r>
        <w:rPr/>
        <w:t>3. MSME Business Models</w:t>
      </w:r>
    </w:p>
    <w:p>
      <w:pPr>
        <w:pStyle w:val="Heading2"/>
        <w:rPr/>
      </w:pPr>
      <w:bookmarkStart w:id="10" w:name="__RefHeading___Toc1271_3920751122"/>
      <w:bookmarkEnd w:id="10"/>
      <w:r>
        <w:rPr/>
        <w:t>3.1 Common Features</w:t>
      </w:r>
    </w:p>
    <w:p>
      <w:pPr>
        <w:pStyle w:val="Normal"/>
        <w:jc w:val="both"/>
        <w:rPr/>
      </w:pPr>
      <w:r>
        <w:rPr/>
        <w:t>Across the priority chains, MSME business models share five features that shape their readiness for finance:</w:t>
      </w:r>
    </w:p>
    <w:p>
      <w:pPr>
        <w:pStyle w:val="ListParagraph"/>
        <w:numPr>
          <w:ilvl w:val="0"/>
          <w:numId w:val="14"/>
        </w:numPr>
        <w:rPr/>
      </w:pPr>
      <w:r>
        <w:rPr>
          <w:b/>
          <w:bCs/>
        </w:rPr>
        <w:t>Diversified and part-time.</w:t>
      </w:r>
      <w:r>
        <w:rPr/>
        <w:t xml:space="preserve"> 42 of the 71 MSMEs surveyed for the Macro Diagnostic combine several activities, most often guiding, transport and cultural experiences (MD p. 61). Many owners also farm or hold other jobs. Diversification spreads risk but makes cash flows harder for lenders to read.</w:t>
      </w:r>
    </w:p>
    <w:p>
      <w:pPr>
        <w:pStyle w:val="ListParagraph"/>
        <w:numPr>
          <w:ilvl w:val="0"/>
          <w:numId w:val="15"/>
        </w:numPr>
        <w:rPr/>
      </w:pPr>
      <w:r>
        <w:rPr>
          <w:b/>
          <w:bCs/>
        </w:rPr>
        <w:t>Small and micro.</w:t>
      </w:r>
      <w:r>
        <w:rPr/>
        <w:t xml:space="preserve"> Working capital needs for small suppliers can start as low as BWP 10,000 (MD p. 68), well below the minimum ticket size of most bank SME products.</w:t>
      </w:r>
    </w:p>
    <w:p>
      <w:pPr>
        <w:pStyle w:val="ListParagraph"/>
        <w:numPr>
          <w:ilvl w:val="0"/>
          <w:numId w:val="16"/>
        </w:numPr>
        <w:rPr/>
      </w:pPr>
      <w:r>
        <w:rPr>
          <w:b/>
          <w:bCs/>
        </w:rPr>
        <w:t>Dependent on anchor buyers or visitor flows.</w:t>
      </w:r>
      <w:r>
        <w:rPr/>
        <w:t xml:space="preserve"> Most revenue comes either from a small number of lodges and DMCs or directly from visitors in a short peak season. Anchor buyers value reliability over price, and a single failed delivery can end a relationship (MD p. 68).</w:t>
      </w:r>
    </w:p>
    <w:p>
      <w:pPr>
        <w:pStyle w:val="ListParagraph"/>
        <w:numPr>
          <w:ilvl w:val="0"/>
          <w:numId w:val="17"/>
        </w:numPr>
        <w:rPr/>
      </w:pPr>
      <w:r>
        <w:rPr>
          <w:b/>
          <w:bCs/>
        </w:rPr>
        <w:t>Seasonal.</w:t>
      </w:r>
      <w:r>
        <w:rPr/>
        <w:t xml:space="preserve"> Tourism demand is concentrated in the dry season (roughly June to October), and agricultural supply has its own seasons. Revenue and working-capital needs rarely line up.</w:t>
      </w:r>
    </w:p>
    <w:p>
      <w:pPr>
        <w:pStyle w:val="ListParagraph"/>
        <w:numPr>
          <w:ilvl w:val="0"/>
          <w:numId w:val="18"/>
        </w:numPr>
        <w:rPr/>
      </w:pPr>
      <w:r>
        <w:rPr>
          <w:b/>
          <w:bCs/>
        </w:rPr>
        <w:t>Low value capture.</w:t>
      </w:r>
      <w:r>
        <w:rPr/>
        <w:t xml:space="preserve"> In Namibian conservancies, craft, soap and oil, textile, village-tour and taxi SMMEs together capture under 1% of conservancy returns, against 59.7% from joint-venture lodges (MD p. 37, 40).</w:t>
      </w:r>
    </w:p>
    <w:p>
      <w:pPr>
        <w:pStyle w:val="Heading2"/>
        <w:rPr/>
      </w:pPr>
      <w:bookmarkStart w:id="11" w:name="__RefHeading___Toc1273_3920751122"/>
      <w:bookmarkEnd w:id="11"/>
      <w:r>
        <w:rPr/>
        <w:t>3.2 Business Models by Value Chain</w:t>
      </w:r>
    </w:p>
    <w:p>
      <w:pPr>
        <w:pStyle w:val="Normal"/>
        <w:jc w:val="both"/>
        <w:rPr/>
      </w:pPr>
      <w:r>
        <w:rPr>
          <w:b/>
          <w:bCs/>
        </w:rPr>
        <w:t>Food and agricultural supply.</w:t>
      </w:r>
      <w:r>
        <w:rPr/>
        <w:t xml:space="preserve"> The dominant model is the smallholder or household garden selling individually, with few cooperatives or aggregators. Sales to lodges and local retailers are mostly spot transactions with few contracts, and when local supply fails, Hwange lodges fall back on sourcing from Bulawayo (MD p. 75). The main weakness is the absence of aggregation: individual growers have neither the volume to supply a lodge consistently nor the bargaining power to negotiate terms, quality is inconsistent, and transport costs eat into margins (MD p. 75). The model becomes financeable once producers are organised into a group or cooperative that can hold a supply agreement.</w:t>
      </w:r>
    </w:p>
    <w:p>
      <w:pPr>
        <w:pStyle w:val="Normal"/>
        <w:jc w:val="both"/>
        <w:rPr/>
      </w:pPr>
      <w:r>
        <w:rPr>
          <w:b/>
          <w:bCs/>
        </w:rPr>
        <w:t>Lodge-linked goods.</w:t>
      </w:r>
      <w:r>
        <w:rPr/>
        <w:t xml:space="preserve"> The typical enterprise is a workshop-based artisan or small manufacturer of furniture, textiles, décor or building materials. Orders are project-based, arriving when lodges are built or refurbished, and imported substitutes set the benchmark for price and quality. The weakness is the inability, so far, to match the consistency, quality, scale and price of imports (MD p. 70, 128). Because orders are lumpy, these enterprises need working capital to buy materials ahead of delivery and occasional equipment finance to raise quality and volume.</w:t>
      </w:r>
    </w:p>
    <w:p>
      <w:pPr>
        <w:pStyle w:val="Normal"/>
        <w:jc w:val="both"/>
        <w:rPr/>
      </w:pPr>
      <w:r>
        <w:rPr>
          <w:b/>
          <w:bCs/>
        </w:rPr>
        <w:t>Crafts and cultural products.</w:t>
      </w:r>
      <w:r>
        <w:rPr/>
        <w:t xml:space="preserve"> Most producers are individual artisans, some organised through hubs or community markets. They sell to visitors at markets and lodge shops, where low-value items dominate; the fridge magnet is the most purchased item (MD p. 68). The weakness is structural: generic products are oversupplied and even certified producers lack committed export buyers (MD p. 69). Finance does not solve this problem; product differentiation and buyer relationships must come first.</w:t>
      </w:r>
    </w:p>
    <w:p>
      <w:pPr>
        <w:pStyle w:val="Normal"/>
        <w:jc w:val="both"/>
        <w:rPr/>
      </w:pPr>
      <w:r>
        <w:rPr>
          <w:b/>
          <w:bCs/>
        </w:rPr>
        <w:t>Guiding, tours and activities.</w:t>
      </w:r>
      <w:r>
        <w:rPr/>
        <w:t xml:space="preserve"> The model is the owner-operator guide or small activity operator, often combined with transport. Revenue comes from direct bookings and sub-contracts from lodges and DMCs, and two or three successful bookings can lead to regular listing (MD p. 75). The weaknesses are uneven guiding quality (MD p. 84), the cost of equipment and vehicles (MD p. 68), and the cost of visibility, including trade shows (MD p. 75). The model suits asset finance and revenue-linked repayment, provided it is matched to the season.</w:t>
      </w:r>
    </w:p>
    <w:p>
      <w:pPr>
        <w:pStyle w:val="Normal"/>
        <w:jc w:val="both"/>
        <w:rPr/>
      </w:pPr>
      <w:r>
        <w:rPr>
          <w:b/>
          <w:bCs/>
        </w:rPr>
        <w:t>Transport and transfers.</w:t>
      </w:r>
      <w:r>
        <w:rPr/>
        <w:t xml:space="preserve"> Owner-driven vehicle and boat operators earn per-trip or sub-hire income from operators and DMCs, which makes their revenue more contractual than most. Insurance is mandatory for sub-hire (MD p. 74, 84). The weaknesses are high vehicle costs, tax-clearance penalties for informal operators, and ownership rules that limit outside equity (MD p. 26, 32, 44). With a sub-hire contract and a vehicle as security, these are among the MSMEs closest to bankable.</w:t>
      </w:r>
    </w:p>
    <w:p>
      <w:pPr>
        <w:pStyle w:val="Normal"/>
        <w:jc w:val="both"/>
        <w:rPr/>
      </w:pPr>
      <w:r>
        <w:rPr>
          <w:b/>
          <w:bCs/>
        </w:rPr>
        <w:t>Waste, recycling and cleaning.</w:t>
      </w:r>
      <w:r>
        <w:rPr/>
        <w:t xml:space="preserve"> Community trusts, small service firms and upcycling workshops earn service-contract income from lodges and towns and sell upcycled goods. The chain is at an early stage and evidenced by a single case (MD p. 115). Service contracts with lodges or municipalities are the anchor that would make it financeable.</w:t>
      </w:r>
    </w:p>
    <w:p>
      <w:pPr>
        <w:pStyle w:val="Normal"/>
        <w:jc w:val="both"/>
        <w:rPr/>
      </w:pPr>
      <w:r>
        <w:rPr>
          <w:b/>
          <w:bCs/>
        </w:rPr>
        <w:t>Nature-positive community products.</w:t>
      </w:r>
      <w:r>
        <w:rPr/>
        <w:t xml:space="preserve"> Cooperatives and community enterprises produce honey, oils, low-tillage crops and dung paper and sell at premium prices to hotels and export buyers, often with conservation-linked benefit-sharing such as the 12% of Sijwa beehive sales returned to the conservancy (MD p. 115). The weakness is supply rather than demand: producers cannot meet existing orders, and certification is costly, about ZMW 30,000 for two products in the Zambian case (MD p. 73). Grants for certification and equipment, followed by working capital against export orders, fit this model.</w:t>
      </w:r>
    </w:p>
    <w:p>
      <w:pPr>
        <w:pStyle w:val="Normal"/>
        <w:jc w:val="both"/>
        <w:rPr/>
      </w:pPr>
      <w:r>
        <w:rPr>
          <w:b/>
          <w:bCs/>
        </w:rPr>
        <w:t>Accommodation.</w:t>
      </w:r>
      <w:r>
        <w:rPr/>
        <w:t xml:space="preserve"> Community campsites, JV partners and guesthouses earn visitor bookings or JV lease income. The MSME share is very small, and land and citizen-reservation rules shape who can participate (MD p. 34, 37). Finance needs are larger and longer-term than in the supply chains, and readiness depends heavily on governance and land tenure.</w:t>
      </w:r>
    </w:p>
    <w:p>
      <w:pPr>
        <w:pStyle w:val="Normal"/>
        <w:pBdr>
          <w:left w:val="single" w:sz="24" w:space="8" w:color="C8A951"/>
        </w:pBdr>
        <w:shd w:val="clear" w:color="auto" w:fill="E8F0EA"/>
        <w:spacing w:before="160" w:after="200"/>
        <w:ind w:left="200" w:right="200"/>
        <w:rPr/>
      </w:pPr>
      <w:r>
        <w:rPr>
          <w:i/>
          <w:iCs/>
          <w:sz w:val="21"/>
          <w:szCs w:val="21"/>
        </w:rPr>
        <w:t>Reading for finance: business models with a named buyer and repeat orders (suppliers to anchors, sub-hire transport, contracted guiding) can support debt sooner than those selling to passing visitors. Aggregation is the missing business-model element in food, crafts and nature-positive products.</w:t>
      </w:r>
      <w:r>
        <w:br w:type="page"/>
      </w:r>
    </w:p>
    <w:p>
      <w:pPr>
        <w:pStyle w:val="Heading1"/>
        <w:spacing w:before="0" w:after="240"/>
        <w:rPr/>
      </w:pPr>
      <w:bookmarkStart w:id="12" w:name="__RefHeading___Toc1275_3920751122"/>
      <w:bookmarkEnd w:id="12"/>
      <w:r>
        <w:rPr/>
        <w:t>4. Financial Practices, Record-Keeping and Informality</w:t>
      </w:r>
    </w:p>
    <w:p>
      <w:pPr>
        <w:pStyle w:val="Heading2"/>
        <w:rPr/>
      </w:pPr>
      <w:bookmarkStart w:id="13" w:name="__RefHeading___Toc1277_3920751122"/>
      <w:bookmarkEnd w:id="13"/>
      <w:r>
        <w:rPr/>
        <w:t>4.1 Financial Practices</w:t>
      </w:r>
    </w:p>
    <w:p>
      <w:pPr>
        <w:pStyle w:val="Normal"/>
        <w:jc w:val="both"/>
        <w:rPr/>
      </w:pPr>
      <w:r>
        <w:rPr/>
        <w:t>The evidence points to MSMEs that fund themselves from owner savings, family, savings groups and buyer prepayments rather than from formal credit:</w:t>
      </w:r>
    </w:p>
    <w:p>
      <w:pPr>
        <w:pStyle w:val="ListParagraph"/>
        <w:numPr>
          <w:ilvl w:val="0"/>
          <w:numId w:val="19"/>
        </w:numPr>
        <w:rPr/>
      </w:pPr>
      <w:r>
        <w:rPr>
          <w:b/>
          <w:bCs/>
        </w:rPr>
        <w:t>Self-funding.</w:t>
      </w:r>
      <w:r>
        <w:rPr/>
        <w:t xml:space="preserve"> The Zambian forest-products cooperative delays certification and self-funds because it cannot finance a ZMW 30,000 certification quote (MD p. 73). This pattern, in which growth is limited to what retained earnings allow, is typical of the cases in the diagnostic.</w:t>
      </w:r>
    </w:p>
    <w:p>
      <w:pPr>
        <w:pStyle w:val="ListParagraph"/>
        <w:numPr>
          <w:ilvl w:val="0"/>
          <w:numId w:val="20"/>
        </w:numPr>
        <w:rPr/>
      </w:pPr>
      <w:r>
        <w:rPr>
          <w:b/>
          <w:bCs/>
        </w:rPr>
        <w:t>Savings groups are the main financial institution.</w:t>
      </w:r>
      <w:r>
        <w:rPr/>
        <w:t xml:space="preserve"> Motshelo in Botswana, VSLAs in Namibia, chilimba and VSLAs in Zambia, mukando and ISALs in Zimbabwe, and kixikila in Angola are widespread (Financial Landscape Analysis). They are a savings base and a route to group lending, especially for women, but loan sizes are small and short.</w:t>
      </w:r>
    </w:p>
    <w:p>
      <w:pPr>
        <w:pStyle w:val="ListParagraph"/>
        <w:numPr>
          <w:ilvl w:val="0"/>
          <w:numId w:val="21"/>
        </w:numPr>
        <w:rPr/>
      </w:pPr>
      <w:r>
        <w:rPr>
          <w:b/>
          <w:bCs/>
        </w:rPr>
        <w:t>Thin buffers.</w:t>
      </w:r>
      <w:r>
        <w:rPr/>
        <w:t xml:space="preserve"> Savings are falling in at least one state: the Reserve Bank of Zimbabwe reports that the share of Zimbabwean adults who save fell from about 47% in 2014 to 36% in 2022 (Chipika, citing FinScope). Low-season cash shortfalls are therefore met by cutting activity, informal borrowing or drawing on household income.</w:t>
      </w:r>
    </w:p>
    <w:p>
      <w:pPr>
        <w:pStyle w:val="ListParagraph"/>
        <w:numPr>
          <w:ilvl w:val="0"/>
          <w:numId w:val="22"/>
        </w:numPr>
        <w:rPr/>
      </w:pPr>
      <w:r>
        <w:rPr>
          <w:b/>
          <w:bCs/>
        </w:rPr>
        <w:t>Pricing and costing.</w:t>
      </w:r>
      <w:r>
        <w:rPr/>
        <w:t xml:space="preserve"> New suppliers usually have to match the price and quality of the anchor's largest existing supplier (MD p. 68). Without cost records, many MSMEs cannot tell whether that price is profitable.</w:t>
      </w:r>
    </w:p>
    <w:p>
      <w:pPr>
        <w:pStyle w:val="ListParagraph"/>
        <w:numPr>
          <w:ilvl w:val="0"/>
          <w:numId w:val="23"/>
        </w:numPr>
        <w:rPr/>
      </w:pPr>
      <w:r>
        <w:rPr>
          <w:b/>
          <w:bCs/>
        </w:rPr>
        <w:t>Limited formal credit.</w:t>
      </w:r>
      <w:r>
        <w:rPr/>
        <w:t xml:space="preserve"> Formal lenders' requirements (collateral, registration, financial statements) exclude most MSMEs. Where credit is used, it tends to be short-term and costly, and seasonal repayment structures are rare (Financial Landscape Analysis).</w:t>
      </w:r>
    </w:p>
    <w:p>
      <w:pPr>
        <w:pStyle w:val="Heading2"/>
        <w:rPr/>
      </w:pPr>
      <w:bookmarkStart w:id="14" w:name="__RefHeading___Toc1279_3920751122"/>
      <w:bookmarkEnd w:id="14"/>
      <w:r>
        <w:rPr/>
        <w:t>4.2 Record-Keeping</w:t>
      </w:r>
    </w:p>
    <w:p>
      <w:pPr>
        <w:pStyle w:val="Normal"/>
        <w:jc w:val="both"/>
        <w:rPr/>
      </w:pPr>
      <w:r>
        <w:rPr/>
        <w:t>The Macro Diagnostic does not report record-keeping practice directly. National surveys suggest it is weak. In Zimbabwe's 2012 FinScope MSME survey, 49% of MSME owners kept no financial records and only 8% kept up-to-date accounts (FinMark Trust), and the 2022 survey found that only 17% always keep records, while 37% do so sometimes (FinScope MSME Zimbabwe 2022). The Financial Landscape Analysis notes that limited records, informality and weak credit histories are a common barrier across all five states, and that Botswana's LEA supports tourism enterprises in record keeping. For R-NBT MSMEs the practical issues are:</w:t>
      </w:r>
    </w:p>
    <w:p>
      <w:pPr>
        <w:pStyle w:val="ListParagraph"/>
        <w:numPr>
          <w:ilvl w:val="0"/>
          <w:numId w:val="24"/>
        </w:numPr>
        <w:rPr/>
      </w:pPr>
      <w:r>
        <w:rPr/>
        <w:t>Business and household cash are mixed, so lenders cannot see business cash flow.</w:t>
      </w:r>
    </w:p>
    <w:p>
      <w:pPr>
        <w:pStyle w:val="ListParagraph"/>
        <w:numPr>
          <w:ilvl w:val="0"/>
          <w:numId w:val="25"/>
        </w:numPr>
        <w:rPr/>
      </w:pPr>
      <w:r>
        <w:rPr/>
        <w:t>Sales to lodges usually generate invoices or purchase orders, which are a usable record even when the MSME keeps no books. This makes suppliers to anchors (node C) easier to assess than visitor-facing enterprises.</w:t>
      </w:r>
    </w:p>
    <w:p>
      <w:pPr>
        <w:pStyle w:val="ListParagraph"/>
        <w:numPr>
          <w:ilvl w:val="0"/>
          <w:numId w:val="26"/>
        </w:numPr>
        <w:rPr/>
      </w:pPr>
      <w:r>
        <w:rPr/>
        <w:t>Mobile-money and card payments create a digital trail, but women-owned SMEs in Zambia received only 6% of their sales through mobile money in a World Bank survey (World Bank, 2021), so the trail is still thin.</w:t>
      </w:r>
    </w:p>
    <w:p>
      <w:pPr>
        <w:pStyle w:val="ListParagraph"/>
        <w:numPr>
          <w:ilvl w:val="0"/>
          <w:numId w:val="27"/>
        </w:numPr>
        <w:rPr/>
      </w:pPr>
      <w:r>
        <w:rPr/>
        <w:t>Cooperatives and community enterprises need records not only for lenders but for members and benefit-sharing, which raises the stakes of poor record-keeping.</w:t>
      </w:r>
    </w:p>
    <w:p>
      <w:pPr>
        <w:pStyle w:val="Heading2"/>
        <w:rPr/>
      </w:pPr>
      <w:bookmarkStart w:id="15" w:name="__RefHeading___Toc1281_3920751122"/>
      <w:bookmarkEnd w:id="15"/>
      <w:r>
        <w:rPr/>
        <w:t>4.3 Informality and its Cost</w:t>
      </w:r>
    </w:p>
    <w:p>
      <w:pPr>
        <w:pStyle w:val="Normal"/>
        <w:jc w:val="both"/>
        <w:rPr/>
      </w:pPr>
      <w:r>
        <w:rPr/>
        <w:t>Informality is the norm in the priority chains. In Zimbabwe, only about one in seven MSMEs is registered or licensed (FinScope MSME Zimbabwe 2022). In Namibia, the World Bank estimates that some 34,000 MSMEs operate, of which about 15,000 are formally registered (World Bank, 2024). In Botswana, micro-enterprises make up about 91% of the estimated 138,000 MSMEs (FinScope MSME Botswana 2024). Section 7.1 shows that the cost and time of formalising are themselves part of the explanation: all five states ranked in the bottom half of the world for starting a business in Doing Business 2020.</w:t>
      </w:r>
    </w:p>
    <w:p>
      <w:pPr>
        <w:pStyle w:val="Normal"/>
        <w:jc w:val="both"/>
        <w:rPr/>
      </w:pPr>
      <w:r>
        <w:rPr/>
        <w:t>Informality has a measurable cost for suppliers to the tourism industry:</w:t>
      </w:r>
    </w:p>
    <w:p>
      <w:pPr>
        <w:pStyle w:val="ListParagraph"/>
        <w:numPr>
          <w:ilvl w:val="0"/>
          <w:numId w:val="28"/>
        </w:numPr>
        <w:rPr/>
      </w:pPr>
      <w:r>
        <w:rPr>
          <w:b/>
          <w:bCs/>
        </w:rPr>
        <w:t>Tax penalties.</w:t>
      </w:r>
      <w:r>
        <w:rPr/>
        <w:t xml:space="preserve"> An anchor operator reports that a supplier without a tax clearance certificate faces 30% withholding tax, so roughly 54% of an improperly registered supplier's receipts can go to taxes and charges (MD p. 74, 84; operator-reported, not independently verified).</w:t>
      </w:r>
    </w:p>
    <w:p>
      <w:pPr>
        <w:pStyle w:val="ListParagraph"/>
        <w:numPr>
          <w:ilvl w:val="0"/>
          <w:numId w:val="29"/>
        </w:numPr>
        <w:rPr/>
      </w:pPr>
      <w:r>
        <w:rPr>
          <w:b/>
          <w:bCs/>
        </w:rPr>
        <w:t>VAT registration</w:t>
      </w:r>
      <w:r>
        <w:rPr/>
        <w:t xml:space="preserve"> is named as a constraint for food suppliers (MD p. 75).</w:t>
      </w:r>
    </w:p>
    <w:p>
      <w:pPr>
        <w:pStyle w:val="ListParagraph"/>
        <w:numPr>
          <w:ilvl w:val="0"/>
          <w:numId w:val="30"/>
        </w:numPr>
        <w:rPr/>
      </w:pPr>
      <w:r>
        <w:rPr>
          <w:b/>
          <w:bCs/>
        </w:rPr>
        <w:t>Insurance</w:t>
      </w:r>
      <w:r>
        <w:rPr/>
        <w:t xml:space="preserve"> is non-negotiable for transport sub-hire suppliers (MD p. 84).</w:t>
      </w:r>
    </w:p>
    <w:p>
      <w:pPr>
        <w:pStyle w:val="ListParagraph"/>
        <w:numPr>
          <w:ilvl w:val="0"/>
          <w:numId w:val="31"/>
        </w:numPr>
        <w:rPr/>
      </w:pPr>
      <w:r>
        <w:rPr>
          <w:b/>
          <w:bCs/>
        </w:rPr>
        <w:t>Certification</w:t>
      </w:r>
      <w:r>
        <w:rPr/>
        <w:t xml:space="preserve"> is a barrier for nature-positive products and craft exports (MD p. 69, 73).</w:t>
      </w:r>
    </w:p>
    <w:p>
      <w:pPr>
        <w:pStyle w:val="Normal"/>
        <w:jc w:val="both"/>
        <w:rPr/>
      </w:pPr>
      <w:r>
        <w:rPr/>
        <w:t>The Macro Diagnostic recommends that formalisation should not be a binary gate for programme support (MD p. 133-134, 137, 144). This assessment agrees: formalisation is better treated as a milestone on the readiness pathway, triggered when a real buyer or lender requires it, so that the benefit is visible to the MSME.</w:t>
      </w:r>
    </w:p>
    <w:p>
      <w:pPr>
        <w:pStyle w:val="Heading2"/>
        <w:rPr/>
      </w:pPr>
      <w:bookmarkStart w:id="16" w:name="__RefHeading___Toc1283_3920751122"/>
      <w:bookmarkEnd w:id="16"/>
      <w:r>
        <w:rPr/>
        <w:t>4.4 Readiness by Value Chain</w:t>
      </w:r>
    </w:p>
    <w:p>
      <w:pPr>
        <w:pStyle w:val="Normal"/>
        <w:jc w:val="both"/>
        <w:rPr/>
      </w:pPr>
      <w:r>
        <w:rPr/>
        <w:t>The typical MSME in each chain is rated below on the six readiness dimensions. The ratings are the author's assessment from the evidence above and should be validated.</w:t>
      </w:r>
    </w:p>
    <w:p>
      <w:pPr>
        <w:pStyle w:val="Normal"/>
        <w:jc w:val="both"/>
        <w:rPr/>
      </w:pPr>
      <w:r>
        <w:rPr>
          <w:b/>
          <w:bCs/>
        </w:rPr>
        <w:t>Three chains sit mostly in Tiers 0 and 1.</w:t>
      </w:r>
      <w:r>
        <w:rPr/>
        <w:t xml:space="preserve"> In </w:t>
      </w:r>
      <w:r>
        <w:rPr>
          <w:b/>
          <w:bCs/>
        </w:rPr>
        <w:t>food and agricultural supply</w:t>
      </w:r>
      <w:r>
        <w:rPr/>
        <w:t xml:space="preserve">, the business model and market linkage are of medium strength, because lodges want local produce, but financial practices, records, formality and management are all low; the typical producer is a Tier 0 or Tier 1 enterprise. </w:t>
      </w:r>
      <w:r>
        <w:rPr>
          <w:b/>
          <w:bCs/>
        </w:rPr>
        <w:t>Crafts and cultural products</w:t>
      </w:r>
      <w:r>
        <w:rPr/>
        <w:t xml:space="preserve"> are the weakest chain: the business model, market linkage, financial practices, records and formality are all low, and only management and governance reach low to medium where artisans are organised in hubs. </w:t>
      </w:r>
      <w:r>
        <w:rPr>
          <w:b/>
          <w:bCs/>
        </w:rPr>
        <w:t>Waste and recycling</w:t>
      </w:r>
      <w:r>
        <w:rPr/>
        <w:t xml:space="preserve"> enterprises are rated low to medium on business model, market linkage and formality, low on financial practices and records, and medium on governance, reflecting their community-trust origins; they too sit in Tiers 0 and 1.</w:t>
      </w:r>
    </w:p>
    <w:p>
      <w:pPr>
        <w:pStyle w:val="Normal"/>
        <w:jc w:val="both"/>
        <w:rPr/>
      </w:pPr>
      <w:r>
        <w:rPr>
          <w:b/>
          <w:bCs/>
        </w:rPr>
        <w:t>Five chains sit mostly in Tiers 1 and 2.</w:t>
      </w:r>
      <w:r>
        <w:rPr/>
        <w:t xml:space="preserve"> </w:t>
      </w:r>
      <w:r>
        <w:rPr>
          <w:b/>
          <w:bCs/>
        </w:rPr>
        <w:t>Lodge-linked goods</w:t>
      </w:r>
      <w:r>
        <w:rPr/>
        <w:t xml:space="preserve"> score medium on business model, market linkage, formality and management, and low to medium on financial practices and records. </w:t>
      </w:r>
      <w:r>
        <w:rPr>
          <w:b/>
          <w:bCs/>
        </w:rPr>
        <w:t>Guiding and activities</w:t>
      </w:r>
      <w:r>
        <w:rPr/>
        <w:t xml:space="preserve"> are medium on business model, market linkage, formality and management, low to medium on financial practices and low on records. </w:t>
      </w:r>
      <w:r>
        <w:rPr>
          <w:b/>
          <w:bCs/>
        </w:rPr>
        <w:t>Transport and transfers</w:t>
      </w:r>
      <w:r>
        <w:rPr/>
        <w:t xml:space="preserve"> are the most consistent performers, with medium to high market linkage because of sub-hire contracts and medium ratings on every other dimension. </w:t>
      </w:r>
      <w:r>
        <w:rPr>
          <w:b/>
          <w:bCs/>
        </w:rPr>
        <w:t>Nature-positive products</w:t>
      </w:r>
      <w:r>
        <w:rPr/>
        <w:t xml:space="preserve"> combine a medium business model with medium to high market linkage, because demand exceeds supply, medium formality and governance, and low to medium financial practices and records. </w:t>
      </w:r>
      <w:r>
        <w:rPr>
          <w:b/>
          <w:bCs/>
        </w:rPr>
        <w:t>Community accommodation</w:t>
      </w:r>
      <w:r>
        <w:rPr/>
        <w:t xml:space="preserve"> is medium on business model, market linkage, records and formality, but only low to medium on financial practices and governance.</w:t>
      </w:r>
      <w:r>
        <w:br w:type="page"/>
      </w:r>
    </w:p>
    <w:p>
      <w:pPr>
        <w:pStyle w:val="Heading1"/>
        <w:spacing w:before="0" w:after="240"/>
        <w:rPr/>
      </w:pPr>
      <w:bookmarkStart w:id="17" w:name="__RefHeading___Toc1285_3920751122"/>
      <w:bookmarkEnd w:id="17"/>
      <w:r>
        <w:rPr/>
        <w:t>5. Variation by Gender, Age and Value Chain Node</w:t>
      </w:r>
    </w:p>
    <w:p>
      <w:pPr>
        <w:pStyle w:val="Heading2"/>
        <w:rPr/>
      </w:pPr>
      <w:bookmarkStart w:id="18" w:name="__RefHeading___Toc1287_3920751122"/>
      <w:bookmarkEnd w:id="18"/>
      <w:r>
        <w:rPr/>
        <w:t>5.1 What the Evidence Can and Cannot Say</w:t>
      </w:r>
    </w:p>
    <w:p>
      <w:pPr>
        <w:pStyle w:val="Normal"/>
        <w:jc w:val="both"/>
        <w:rPr/>
      </w:pPr>
      <w:r>
        <w:rPr/>
        <w:t>The Terms of Reference ask for attention to variation by gender, age and value chain node. Value chain node can be assessed from the Macro Diagnostic. Gender and age cannot: the diagnostic extract does not report MSME data by sex or age of owner or manager, and the 71-respondent survey is too small to support disaggregation even if it did. The findings below on gender and age therefore draw on national surveys, sector studies and the enterprise cases, and are indicative. Annex B proposes the indicators and sampling needed to close the gap.</w:t>
      </w:r>
    </w:p>
    <w:p>
      <w:pPr>
        <w:pStyle w:val="Heading2"/>
        <w:rPr/>
      </w:pPr>
      <w:bookmarkStart w:id="19" w:name="__RefHeading___Toc1289_3920751122"/>
      <w:bookmarkEnd w:id="19"/>
      <w:r>
        <w:rPr/>
        <w:t>5.2 Gender</w:t>
      </w:r>
    </w:p>
    <w:p>
      <w:pPr>
        <w:pStyle w:val="Normal"/>
        <w:jc w:val="both"/>
        <w:rPr/>
      </w:pPr>
      <w:r>
        <w:rPr/>
        <w:t>Secondary data point to five patterns relevant to the priority chains:</w:t>
      </w:r>
    </w:p>
    <w:p>
      <w:pPr>
        <w:pStyle w:val="ListParagraph"/>
        <w:numPr>
          <w:ilvl w:val="0"/>
          <w:numId w:val="32"/>
        </w:numPr>
        <w:rPr/>
      </w:pPr>
      <w:r>
        <w:rPr>
          <w:b/>
          <w:bCs/>
        </w:rPr>
        <w:t>Women own or lead most MSMEs in at least two states.</w:t>
      </w:r>
      <w:r>
        <w:rPr/>
        <w:t xml:space="preserve"> Women-owned MSMEs account for more than 60% of all MSMEs in Zimbabwe (Chipika, citing FinScope MSME 2022), and a Bank of Zambia official reports that more than 60% of Zambia's MSMEs are now women-led (AFI).</w:t>
      </w:r>
    </w:p>
    <w:p>
      <w:pPr>
        <w:pStyle w:val="ListParagraph"/>
        <w:numPr>
          <w:ilvl w:val="0"/>
          <w:numId w:val="33"/>
        </w:numPr>
        <w:rPr/>
      </w:pPr>
      <w:r>
        <w:rPr>
          <w:b/>
          <w:bCs/>
        </w:rPr>
        <w:t>Most women-owned businesses are informal.</w:t>
      </w:r>
      <w:r>
        <w:rPr/>
        <w:t xml:space="preserve"> In a 2025 UN Women survey of 582 women-owned MSMEs across ten provinces of Zimbabwe, 64% were unregistered and 68% were individually owned (UN Women, 2025).</w:t>
      </w:r>
    </w:p>
    <w:p>
      <w:pPr>
        <w:pStyle w:val="ListParagraph"/>
        <w:numPr>
          <w:ilvl w:val="0"/>
          <w:numId w:val="34"/>
        </w:numPr>
        <w:rPr/>
      </w:pPr>
      <w:r>
        <w:rPr>
          <w:b/>
          <w:bCs/>
        </w:rPr>
        <w:t>Women's enterprises face a large finance gap.</w:t>
      </w:r>
      <w:r>
        <w:rPr/>
        <w:t xml:space="preserve"> AFI's Zambia case study puts the MSME financing gap at about 17% of GDP, of which the share attributable to women-owned enterprises is about USD 657 million (AFI, 2024). Savings groups are where most women's enterprise finance happens. Policy responses are emerging, such as Zimbabwe's Collateral Registry System, launched in November 2022 to allow movable assets to be used as security (Chipika).</w:t>
      </w:r>
    </w:p>
    <w:p>
      <w:pPr>
        <w:pStyle w:val="ListParagraph"/>
        <w:numPr>
          <w:ilvl w:val="0"/>
          <w:numId w:val="35"/>
        </w:numPr>
        <w:rPr/>
      </w:pPr>
      <w:r>
        <w:rPr>
          <w:b/>
          <w:bCs/>
        </w:rPr>
        <w:t>Collateral and land.</w:t>
      </w:r>
      <w:r>
        <w:rPr/>
        <w:t xml:space="preserve"> Customary and communal tenure, which already limits collateral for all R-NBT MSMEs, typically weighs more heavily on women, whose land rights are often secondary. Movable-asset and contract-based security therefore matter more for women.</w:t>
      </w:r>
    </w:p>
    <w:p>
      <w:pPr>
        <w:pStyle w:val="ListParagraph"/>
        <w:numPr>
          <w:ilvl w:val="0"/>
          <w:numId w:val="36"/>
        </w:numPr>
        <w:rPr/>
      </w:pPr>
      <w:r>
        <w:rPr>
          <w:b/>
          <w:bCs/>
        </w:rPr>
        <w:t>Women are likely concentrated in crafts, food and nature-positive products.</w:t>
      </w:r>
      <w:r>
        <w:rPr/>
        <w:t xml:space="preserve"> The only enterprise case in the diagnostic explicitly described as women-led is the Zambian forest-products cooperative (MD p. 73). The gender mix of the Maun craft hub, produce suppliers and other cases is not reported. Concentration of women in crafts and food is an inference from regional patterns and should be tested.</w:t>
      </w:r>
    </w:p>
    <w:p>
      <w:pPr>
        <w:pStyle w:val="Normal"/>
        <w:jc w:val="both"/>
        <w:rPr/>
      </w:pPr>
      <w:r>
        <w:rPr/>
        <w:t>Women are also prominent in small-scale cross-border trade, which links producers on either side of the Zambia-Zimbabwe border: by 2013, 5,926 of the roughly 10,970 traders using the COMESA Simplified Trade Regime were women (COMESA, 2016). This is relevant to food and craft supply along the Victoria Falls corridor.</w:t>
      </w:r>
    </w:p>
    <w:p>
      <w:pPr>
        <w:pStyle w:val="Normal"/>
        <w:jc w:val="both"/>
        <w:rPr/>
      </w:pPr>
      <w:r>
        <w:rPr>
          <w:b/>
          <w:bCs/>
        </w:rPr>
        <w:t>Implication.</w:t>
      </w:r>
      <w:r>
        <w:rPr/>
        <w:t xml:space="preserve"> Because crafts are oversupplied and food supply is fragmented, a programme that simply supports women in the chains where they already are risks locking them into the lowest-margin nodes. Gender-transformative support should help women move up the chain into aggregation, processing and supply contracts (nodes B and C), and into the higher-value chains such as lodge-linked goods and guiding.</w:t>
      </w:r>
    </w:p>
    <w:p>
      <w:pPr>
        <w:pStyle w:val="Heading2"/>
        <w:rPr/>
      </w:pPr>
      <w:bookmarkStart w:id="20" w:name="__RefHeading___Toc1291_3920751122"/>
      <w:bookmarkEnd w:id="20"/>
      <w:r>
        <w:rPr/>
        <w:t>5.3 Age</w:t>
      </w:r>
    </w:p>
    <w:p>
      <w:pPr>
        <w:pStyle w:val="ListParagraph"/>
        <w:numPr>
          <w:ilvl w:val="0"/>
          <w:numId w:val="37"/>
        </w:numPr>
        <w:rPr/>
      </w:pPr>
      <w:r>
        <w:rPr>
          <w:b/>
          <w:bCs/>
        </w:rPr>
        <w:t>Many young people are out of work and education.</w:t>
      </w:r>
      <w:r>
        <w:rPr/>
        <w:t xml:space="preserve"> In Namibia, 41.9% of young people aged 15 to 34 are not in employment, education or training (Namibia Statistics Agency, 2023 census labour force report). Youth unemployment is similarly a priority in all five states.</w:t>
      </w:r>
    </w:p>
    <w:p>
      <w:pPr>
        <w:pStyle w:val="ListParagraph"/>
        <w:numPr>
          <w:ilvl w:val="0"/>
          <w:numId w:val="38"/>
        </w:numPr>
        <w:rPr/>
      </w:pPr>
      <w:r>
        <w:rPr>
          <w:b/>
          <w:bCs/>
        </w:rPr>
        <w:t>Young people enter through services.</w:t>
      </w:r>
      <w:r>
        <w:rPr/>
        <w:t xml:space="preserve"> Guiding, transport and cultural experiences, the most common combination of activities in the MSME survey (MD p. 61), have low start-up costs for skills-based services and are accessible to young people with training. This is an inference; the survey does not report respondents' ages.</w:t>
      </w:r>
    </w:p>
    <w:p>
      <w:pPr>
        <w:pStyle w:val="ListParagraph"/>
        <w:numPr>
          <w:ilvl w:val="0"/>
          <w:numId w:val="39"/>
        </w:numPr>
        <w:rPr/>
      </w:pPr>
      <w:r>
        <w:rPr>
          <w:b/>
          <w:bCs/>
        </w:rPr>
        <w:t>Youth lack track record and assets.</w:t>
      </w:r>
      <w:r>
        <w:rPr/>
        <w:t xml:space="preserve"> Young entrepreneurs have no credit history, no collateral and often no registered business, which places them in Tier 0 or 1 regardless of the quality of their idea.</w:t>
      </w:r>
    </w:p>
    <w:p>
      <w:pPr>
        <w:pStyle w:val="ListParagraph"/>
        <w:numPr>
          <w:ilvl w:val="0"/>
          <w:numId w:val="40"/>
        </w:numPr>
        <w:rPr/>
      </w:pPr>
      <w:r>
        <w:rPr>
          <w:b/>
          <w:bCs/>
        </w:rPr>
        <w:t>Youth finance exists but is rarely tourism-specific.</w:t>
      </w:r>
      <w:r>
        <w:rPr/>
        <w:t xml:space="preserve"> Botswana's Youth Development Fund, Zimbabwe's EmpowerBank and youth windows at banks such as FNB Zambia offer youth products, but none is designed for seasonal tourism cash flows (Financial Landscape Analysis). Youth BDS programmes are emerging in the KAZA hubs, for example UNDP's youth-led MSME programme in Livingstone (Section 7.3).</w:t>
      </w:r>
    </w:p>
    <w:p>
      <w:pPr>
        <w:pStyle w:val="ListParagraph"/>
        <w:numPr>
          <w:ilvl w:val="0"/>
          <w:numId w:val="41"/>
        </w:numPr>
        <w:rPr/>
      </w:pPr>
      <w:r>
        <w:rPr>
          <w:b/>
          <w:bCs/>
        </w:rPr>
        <w:t>Waste, recycling and digital services</w:t>
      </w:r>
      <w:r>
        <w:rPr/>
        <w:t xml:space="preserve"> are newer activities with lower incumbency and may suit youth-led enterprises, although the evidence base is thin.</w:t>
      </w:r>
    </w:p>
    <w:p>
      <w:pPr>
        <w:pStyle w:val="Heading2"/>
        <w:rPr/>
      </w:pPr>
      <w:bookmarkStart w:id="21" w:name="__RefHeading___Toc1293_3920751122"/>
      <w:bookmarkEnd w:id="21"/>
      <w:r>
        <w:rPr/>
        <w:t>5.4 Value Chain Node</w:t>
      </w:r>
    </w:p>
    <w:p>
      <w:pPr>
        <w:pStyle w:val="Normal"/>
        <w:jc w:val="both"/>
        <w:rPr/>
      </w:pPr>
      <w:r>
        <w:rPr/>
        <w:t>Node is the strongest predictor of readiness in the evidence. Readiness and finance needs vary by node as follows.</w:t>
      </w:r>
    </w:p>
    <w:p>
      <w:pPr>
        <w:pStyle w:val="Normal"/>
        <w:jc w:val="both"/>
        <w:rPr/>
      </w:pPr>
      <w:r>
        <w:rPr>
          <w:b/>
          <w:bCs/>
        </w:rPr>
        <w:t>Primary producers (node A)</w:t>
      </w:r>
      <w:r>
        <w:rPr/>
        <w:t xml:space="preserve"> are typically in Tiers 0 and 1. Their binding constraints are scale, quality, access to inputs and distance to market, and their finance needs are small: inputs, tools, irrigation and savings-group credit. Women and older producers appear to be prominent at this node in food and crafts. </w:t>
      </w:r>
      <w:r>
        <w:rPr>
          <w:b/>
          <w:bCs/>
        </w:rPr>
        <w:t>Aggregators and processors (node B)</w:t>
      </w:r>
      <w:r>
        <w:rPr/>
        <w:t xml:space="preserve"> are typically in Tiers 1 and 2 and are held back by governance, working capital, certification and equipment, which is also what they need to finance, often with certification grants. Women-led cooperatives such as the Zambian forest-products cooperative sit here, although the gender profile is mixed.</w:t>
      </w:r>
    </w:p>
    <w:p>
      <w:pPr>
        <w:pStyle w:val="Normal"/>
        <w:jc w:val="both"/>
        <w:rPr/>
      </w:pPr>
      <w:r>
        <w:rPr>
          <w:b/>
          <w:bCs/>
        </w:rPr>
        <w:t>Suppliers to anchor buyers (node C)</w:t>
      </w:r>
      <w:r>
        <w:rPr/>
        <w:t xml:space="preserve"> are the most ready, in Tiers 2 and 3. Their constraints are reliability, volume, tax compliance and the working capital needed between delivery and payment, so contract-backed working capital and receivables and asset finance fit them best. By inference, they are more often owned by older men. </w:t>
      </w:r>
      <w:r>
        <w:rPr>
          <w:b/>
          <w:bCs/>
        </w:rPr>
        <w:t>Direct tourism service enterprises (node D)</w:t>
      </w:r>
      <w:r>
        <w:rPr/>
        <w:t xml:space="preserve"> are in Tiers 1 and 2; skills and quality, equipment, visibility and seasonality constrain them, and they need asset finance and leasing and help with licensing and insurance costs. Young people are prominent in guiding, while transport is more often male. </w:t>
      </w:r>
      <w:r>
        <w:rPr>
          <w:b/>
          <w:bCs/>
        </w:rPr>
        <w:t>Community enterprises (node E)</w:t>
      </w:r>
      <w:r>
        <w:rPr/>
        <w:t xml:space="preserve"> are in Tiers 1 and 2 and depend on governance, benefit-sharing, tenure and leadership; grants, revolving funds and blended finance suit them, and women and youth are often under-represented in their leadership.</w:t>
      </w:r>
      <w:r>
        <w:br w:type="page"/>
      </w:r>
    </w:p>
    <w:p>
      <w:pPr>
        <w:pStyle w:val="Heading1"/>
        <w:spacing w:before="0" w:after="240"/>
        <w:rPr/>
      </w:pPr>
      <w:bookmarkStart w:id="22" w:name="__RefHeading___Toc1295_3920751122"/>
      <w:bookmarkEnd w:id="22"/>
      <w:r>
        <w:rPr/>
        <w:t>6. Capacity-Building Needs</w:t>
      </w:r>
    </w:p>
    <w:p>
      <w:pPr>
        <w:pStyle w:val="Normal"/>
        <w:jc w:val="both"/>
        <w:rPr/>
      </w:pPr>
      <w:r>
        <w:rPr/>
        <w:t>This chapter identifies what MSMEs, BSOs and financial institutions need in order to improve investment readiness and make financing more inclusive. The needs follow from the business models, financial practices and readiness ratings in Chapters 3 to 5, and from the enabling-environment evidence in Chapter 7. Sections 6.1 to 6.3 set out the needs that apply across KAZA; Section 6.4 applies them to tourism MSMEs in each Partner State, with the recommended interventions and the support BSOs in each country.</w:t>
      </w:r>
    </w:p>
    <w:p>
      <w:pPr>
        <w:pStyle w:val="Normal"/>
        <w:jc w:val="both"/>
        <w:rPr/>
      </w:pPr>
      <w:r>
        <w:rPr/>
        <w:t>The chapter also draws on the needs and capacity survey of SMMEs (small, medium and micro enterprises, the term used for MSMEs in Botswana) and of SMME support institutions that was carried out in Botswana to design the EU-funded Private Sector Development Programme (PSDP), implemented with the Centre for the Development of Enterprise (CDE) (PSDP survey). The survey is more than a decade old, covers Botswana only and spans manufacturing (including agro-industries), tourism, construction and ICT rather than R-NBT alone. Its findings are used here because they closely match the gaps identified in this assessment, which suggests that these needs are persistent rather than new, and because it sets out needs and priorities institution by institution.</w:t>
      </w:r>
    </w:p>
    <w:p>
      <w:pPr>
        <w:pStyle w:val="Heading2"/>
        <w:rPr/>
      </w:pPr>
      <w:bookmarkStart w:id="23" w:name="__RefHeading___Toc1297_3920751122"/>
      <w:bookmarkEnd w:id="23"/>
      <w:r>
        <w:rPr/>
        <w:t>6.1 MSMEs</w:t>
      </w:r>
    </w:p>
    <w:p>
      <w:pPr>
        <w:pStyle w:val="ListParagraph"/>
        <w:numPr>
          <w:ilvl w:val="0"/>
          <w:numId w:val="42"/>
        </w:numPr>
        <w:rPr/>
      </w:pPr>
      <w:r>
        <w:rPr>
          <w:b/>
          <w:bCs/>
        </w:rPr>
        <w:t>Supplier readiness:</w:t>
      </w:r>
      <w:r>
        <w:rPr/>
        <w:t xml:space="preserve"> meeting anchor buyers' quality, volume, reliability and price standards; delivery scheduling; packaging and food safety for produce suppliers; managing the supply chain and export quality where products cross borders or are exported (PSDP survey).</w:t>
      </w:r>
    </w:p>
    <w:p>
      <w:pPr>
        <w:pStyle w:val="ListParagraph"/>
        <w:numPr>
          <w:ilvl w:val="0"/>
          <w:numId w:val="43"/>
        </w:numPr>
        <w:rPr/>
      </w:pPr>
      <w:r>
        <w:rPr>
          <w:b/>
          <w:bCs/>
        </w:rPr>
        <w:t>Product development:</w:t>
      </w:r>
      <w:r>
        <w:rPr/>
        <w:t xml:space="preserve"> moving crafts from generic curios to market-led, storytelling-driven design (MD p. 68); developing décor and furnishing lines to lodge specifications; export packaging, marketing and branding (PSDP survey).</w:t>
      </w:r>
    </w:p>
    <w:p>
      <w:pPr>
        <w:pStyle w:val="ListParagraph"/>
        <w:numPr>
          <w:ilvl w:val="0"/>
          <w:numId w:val="44"/>
        </w:numPr>
        <w:rPr/>
      </w:pPr>
      <w:r>
        <w:rPr>
          <w:b/>
          <w:bCs/>
        </w:rPr>
        <w:t>Quality assurance, standards and productivity:</w:t>
      </w:r>
      <w:r>
        <w:rPr/>
        <w:t xml:space="preserve"> using quality-assurance schemes and certification to national standards or ISO; on-the-job training so that owners can keep training staff in productivity and quality improvement; workplace productivity methods such as </w:t>
      </w:r>
      <w:r>
        <w:rPr>
          <w:i/>
          <w:iCs/>
        </w:rPr>
        <w:t>kaizen</w:t>
      </w:r>
      <w:r>
        <w:rPr/>
        <w:t xml:space="preserve"> (PSDP survey).</w:t>
      </w:r>
    </w:p>
    <w:p>
      <w:pPr>
        <w:pStyle w:val="ListParagraph"/>
        <w:numPr>
          <w:ilvl w:val="0"/>
          <w:numId w:val="45"/>
        </w:numPr>
        <w:rPr/>
      </w:pPr>
      <w:r>
        <w:rPr>
          <w:b/>
          <w:bCs/>
        </w:rPr>
        <w:t>Aggregation and collective action:</w:t>
      </w:r>
      <w:r>
        <w:rPr/>
        <w:t xml:space="preserve"> forming and governing cooperatives or producer groups to achieve volume and bargaining power (MD p. 75).</w:t>
      </w:r>
    </w:p>
    <w:p>
      <w:pPr>
        <w:pStyle w:val="ListParagraph"/>
        <w:numPr>
          <w:ilvl w:val="0"/>
          <w:numId w:val="46"/>
        </w:numPr>
        <w:rPr/>
      </w:pPr>
      <w:r>
        <w:rPr>
          <w:b/>
          <w:bCs/>
        </w:rPr>
        <w:t>Financial management:</w:t>
      </w:r>
      <w:r>
        <w:rPr/>
        <w:t xml:space="preserve"> separating business and household money, simple bookkeeping, budgeting, cost analysis and pricing, cash-flow planning across the season, using mobile money to build a trail.</w:t>
      </w:r>
    </w:p>
    <w:p>
      <w:pPr>
        <w:pStyle w:val="ListParagraph"/>
        <w:numPr>
          <w:ilvl w:val="0"/>
          <w:numId w:val="47"/>
        </w:numPr>
        <w:rPr/>
      </w:pPr>
      <w:r>
        <w:rPr>
          <w:b/>
          <w:bCs/>
        </w:rPr>
        <w:t>Formalisation and compliance:</w:t>
      </w:r>
      <w:r>
        <w:rPr/>
        <w:t xml:space="preserve"> registration, tax clearance and VAT, insurance, licences and certification, sequenced to buyer and lender requirements. Given the cost and time of formalising (Section 7.1), MSMEs also need practical help through the procedures, not only information about them.</w:t>
      </w:r>
    </w:p>
    <w:p>
      <w:pPr>
        <w:pStyle w:val="ListParagraph"/>
        <w:numPr>
          <w:ilvl w:val="0"/>
          <w:numId w:val="48"/>
        </w:numPr>
        <w:rPr/>
      </w:pPr>
      <w:r>
        <w:rPr>
          <w:b/>
          <w:bCs/>
        </w:rPr>
        <w:t>Contracting and negotiation:</w:t>
      </w:r>
      <w:r>
        <w:rPr/>
        <w:t xml:space="preserve"> understanding and negotiating supply agreements, payment terms and delivery obligations, which matters more where courts are slow to enforce contracts (Section 7.1); general negotiating skills for dealing with buyers and lenders (PSDP survey).</w:t>
      </w:r>
    </w:p>
    <w:p>
      <w:pPr>
        <w:pStyle w:val="ListParagraph"/>
        <w:numPr>
          <w:ilvl w:val="0"/>
          <w:numId w:val="49"/>
        </w:numPr>
        <w:rPr/>
      </w:pPr>
      <w:r>
        <w:rPr>
          <w:b/>
          <w:bCs/>
        </w:rPr>
        <w:t>Market intelligence and partnerships:</w:t>
      </w:r>
      <w:r>
        <w:rPr/>
        <w:t xml:space="preserve"> identifying and using opportunities created by regional and international trade agreements; entering and maintaining strategic partnerships with larger and foreign firms; learning to compete with imports and with firms in other countries (PSDP survey).</w:t>
      </w:r>
    </w:p>
    <w:p>
      <w:pPr>
        <w:pStyle w:val="ListParagraph"/>
        <w:numPr>
          <w:ilvl w:val="0"/>
          <w:numId w:val="50"/>
        </w:numPr>
        <w:rPr/>
      </w:pPr>
      <w:r>
        <w:rPr>
          <w:b/>
          <w:bCs/>
        </w:rPr>
        <w:t>Marketing and visibility:</w:t>
      </w:r>
      <w:r>
        <w:rPr/>
        <w:t xml:space="preserve"> digital listing, trade shows and operator familiarisation (MD p. 75); e-business tools and links to export-oriented web platforms that improve bargaining power (PSDP survey).</w:t>
      </w:r>
    </w:p>
    <w:p>
      <w:pPr>
        <w:pStyle w:val="ListParagraph"/>
        <w:numPr>
          <w:ilvl w:val="0"/>
          <w:numId w:val="51"/>
        </w:numPr>
        <w:rPr/>
      </w:pPr>
      <w:r>
        <w:rPr>
          <w:b/>
          <w:bCs/>
        </w:rPr>
        <w:t>Technical and service skills:</w:t>
      </w:r>
      <w:r>
        <w:rPr/>
        <w:t xml:space="preserve"> guiding quality (MD p. 84), hospitality, vehicle and boat maintenance, recycling technology.</w:t>
      </w:r>
    </w:p>
    <w:p>
      <w:pPr>
        <w:pStyle w:val="ListParagraph"/>
        <w:numPr>
          <w:ilvl w:val="0"/>
          <w:numId w:val="52"/>
        </w:numPr>
        <w:rPr/>
      </w:pPr>
      <w:r>
        <w:rPr>
          <w:b/>
          <w:bCs/>
        </w:rPr>
        <w:t>Investment readiness:</w:t>
      </w:r>
      <w:r>
        <w:rPr/>
        <w:t xml:space="preserve"> preparing a business plan, project proposal and loan application; identifying and accessing national, regional and international financing schemes; understanding product terms and negotiating with lenders; and business stewardship, meaning the disciplined use of credit once it is received (PSDP survey).</w:t>
      </w:r>
    </w:p>
    <w:p>
      <w:pPr>
        <w:pStyle w:val="ListParagraph"/>
        <w:numPr>
          <w:ilvl w:val="0"/>
          <w:numId w:val="53"/>
        </w:numPr>
        <w:rPr/>
      </w:pPr>
      <w:r>
        <w:rPr>
          <w:b/>
          <w:bCs/>
        </w:rPr>
        <w:t>Voice and advocacy:</w:t>
      </w:r>
      <w:r>
        <w:rPr/>
        <w:t xml:space="preserve"> recognising unfair business practices by dominant players, such as late payment or exclusion from procurement, and raising them through associations rather than individually (PSDP survey).</w:t>
      </w:r>
    </w:p>
    <w:p>
      <w:pPr>
        <w:pStyle w:val="Heading3"/>
        <w:rPr/>
      </w:pPr>
      <w:r>
        <w:rPr/>
        <w:t>Evidence from the Botswana PSDP needs and capacity survey</w:t>
      </w:r>
    </w:p>
    <w:p>
      <w:pPr>
        <w:pStyle w:val="Normal"/>
        <w:jc w:val="both"/>
        <w:rPr/>
      </w:pPr>
      <w:r>
        <w:rPr/>
        <w:t>The PSDP survey ranked SMME capacity-building needs under five types of intervention: technical assistance, mentoring and coaching, on-the-job training, workshops and seminars, and benchmarking or learning visits. Priorities are ranked within each type, with 1 the highest. The table lists every need the survey identified and shows how each applies to the R-NBT value chains.</w:t>
      </w:r>
    </w:p>
    <w:p>
      <w:pPr>
        <w:pStyle w:val="Normal"/>
        <w:jc w:val="both"/>
        <w:rPr/>
      </w:pPr>
      <w:r>
        <w:rPr>
          <w:b/>
          <w:bCs/>
        </w:rPr>
        <w:t>Technical assistance.</w:t>
      </w:r>
      <w:r>
        <w:rPr/>
        <w:t xml:space="preserve"> The survey's top priority was to help selected SMMEs identify and use market opportunities created by regional and international trade agreements, which in KAZA applies to cross-border supply to lodges, including under the COMESA Simplified Trade Regime, and to export orders for crafts and nature-positive products. Second came advisory services on export value chain management, covering supply chain management, export quality management and packaging, which correspond to the supplier-readiness needs of anchor lodge suppliers and the export readiness of nature-positive products. Third were sustainable e-business solutions and market intelligence to strengthen bargaining power, for example by linking SMMEs to export-oriented websites such as BEMA's; in R-NBT this means online visibility and booking for guides and activity operators and online and curated sales for crafts. The fourth priority was help to identify and access regional and international financing schemes, which matches the readiness and grant-to-loan facilities in Section 10.8. The fifth was help to identify unfair business practices by dominant players and to advocate for their removal, which in KAZA concerns the payment terms and procurement practices of anchor buyers and the local procurement and reservation rules discussed in Chapter 7.</w:t>
      </w:r>
    </w:p>
    <w:p>
      <w:pPr>
        <w:pStyle w:val="Normal"/>
        <w:jc w:val="both"/>
        <w:rPr/>
      </w:pPr>
      <w:r>
        <w:rPr>
          <w:b/>
          <w:bCs/>
        </w:rPr>
        <w:t>Mentoring and coaching.</w:t>
      </w:r>
      <w:r>
        <w:rPr/>
        <w:t xml:space="preserve"> The survey gave first priority to coaching SMMEs to enter into and maintain regional and international strategic partnerships, which for R-NBT MSMEs means long-term supply agreements and joint ventures with anchor operators and DMCs, including across borders. Second was mentoring on how to compete locally, regionally and internationally, which applies to lodge-linked goods competing with imports and to crafts competing with generic curios. Third was coaching on quality-assurance schemes such as ISO certification, which in KAZA covers food safety, product certification, tourism grading and the certification of nature-positive products.</w:t>
      </w:r>
    </w:p>
    <w:p>
      <w:pPr>
        <w:pStyle w:val="Normal"/>
        <w:jc w:val="both"/>
        <w:rPr/>
      </w:pPr>
      <w:r>
        <w:rPr>
          <w:b/>
          <w:bCs/>
        </w:rPr>
        <w:t>On-the-job training.</w:t>
      </w:r>
      <w:r>
        <w:rPr/>
        <w:t xml:space="preserve"> The first priority was on-the-job training and teaching owners how to keep training their own staff in productivity and quality improvement, which applies to service quality in guiding and hospitality, consistent finishing in lodge-linked goods and reliable delivery in food supply. The second covered budgeting and cost analysis, effective operations and manufacturing, and how to access and manage development finance from CEDA. In the KAZA context these skills underpin costing against imports, seasonal cash-flow planning and the use of concessional citizen finance from CEDA, YDF, CEEC and SMEDCO.</w:t>
      </w:r>
    </w:p>
    <w:p>
      <w:pPr>
        <w:pStyle w:val="Normal"/>
        <w:jc w:val="both"/>
        <w:rPr/>
      </w:pPr>
      <w:r>
        <w:rPr>
          <w:b/>
          <w:bCs/>
        </w:rPr>
        <w:t>Workshops and seminars.</w:t>
      </w:r>
      <w:r>
        <w:rPr/>
        <w:t xml:space="preserve"> The first priority was competitiveness, including export packaging, export marketing and branding, which applies most to crafts and nature-positive products and to product storytelling linked to the destination. The second was a group of topics that correspond to Tier 2 and Tier 3 investment readiness: export quality and supply chain management, project proposal development to support credit applications, effective negotiating, and business stewardship, including the use of business credit, advocacy and lobbying.</w:t>
      </w:r>
    </w:p>
    <w:p>
      <w:pPr>
        <w:pStyle w:val="Normal"/>
        <w:jc w:val="both"/>
        <w:rPr/>
      </w:pPr>
      <w:r>
        <w:rPr>
          <w:b/>
          <w:bCs/>
        </w:rPr>
        <w:t>Benchmarking and learning visits.</w:t>
      </w:r>
      <w:r>
        <w:rPr/>
        <w:t xml:space="preserve"> The survey recommended visits to learn regional and international best practice in SMME competitiveness and productivity. For KAZA, the natural equivalent is peer exchange between destinations and with established supplier and conservancy enterprise programmes.</w:t>
      </w:r>
    </w:p>
    <w:p>
      <w:pPr>
        <w:pStyle w:val="Normal"/>
        <w:jc w:val="both"/>
        <w:rPr/>
      </w:pPr>
      <w:r>
        <w:rPr>
          <w:b/>
          <w:bCs/>
        </w:rPr>
        <w:t>What the survey adds.</w:t>
      </w:r>
      <w:r>
        <w:rPr/>
        <w:t xml:space="preserve"> Three points stand out. First, the core needs it identified in Botswana a decade ago (supply chain and quality management, costing, credit applications and access to development finance) are the same as those identified in this assessment, which suggests that general SMME programmes have not closed them. Second, it adds needs that are less prominent in the R-NBT evidence used elsewhere in this assessment: quality assurance and standards, productivity improvement, market intelligence on trade agreements, strategic partnerships, negotiation and collective advocacy, all of which matter for MSMEs that supply anchor lodges or sell across borders. Third, it shows that MSMEs need a mix of delivery modes. The PSDP design concluded that capacity building should go beyond formal training and workshops to include mentoring, exchange visits, technical studies and reviews, coaching and on-the-job training (PSDP survey, Section 3.1). This mix is built into the tiered pathway in Section 10.1.</w:t>
      </w:r>
    </w:p>
    <w:p>
      <w:pPr>
        <w:pStyle w:val="Normal"/>
        <w:jc w:val="both"/>
        <w:rPr/>
      </w:pPr>
      <w:r>
        <w:rPr/>
        <w:t>The priority gaps differ by chain. The main gaps in each priority chain are linked below to the interventions recommended in Chapter 10 and to the partners best placed to deliver them.</w:t>
      </w:r>
    </w:p>
    <w:p>
      <w:pPr>
        <w:pStyle w:val="Normal"/>
        <w:jc w:val="both"/>
        <w:rPr/>
      </w:pPr>
      <w:r>
        <w:rPr>
          <w:b/>
          <w:bCs/>
        </w:rPr>
        <w:t>Food and agricultural supply.</w:t>
      </w:r>
      <w:r>
        <w:rPr/>
        <w:t xml:space="preserve"> Producers need to aggregate, deliver consistent quality and volume, meet food-safety and packaging standards, obtain VAT registration and tax clearance, and bridge the cash-flow gap between delivery and payment. The recommended response is producer-group formation, irrigation and post-harvest support, supply agreements with lodges and contract-backed working capital, delivered by anchor lodges with LEA, SMEDCO, CEEC, agricultural extension services and conservancies.</w:t>
      </w:r>
    </w:p>
    <w:p>
      <w:pPr>
        <w:pStyle w:val="Normal"/>
        <w:jc w:val="both"/>
        <w:rPr/>
      </w:pPr>
      <w:r>
        <w:rPr>
          <w:b/>
          <w:bCs/>
        </w:rPr>
        <w:t>Lodge-linked goods.</w:t>
      </w:r>
      <w:r>
        <w:rPr/>
        <w:t xml:space="preserve"> Makers need to design to lodge specifications, improve consistency and finishing, cost their products against imports and finance materials ahead of delivery. Design and quality coaching with lodge procurement teams, tooling and equipment finance and order-backed working capital address these gaps, with anchor operators, NIPDB, LEA, ZimTrade, ZDA and training institutions as delivery partners.</w:t>
      </w:r>
    </w:p>
    <w:p>
      <w:pPr>
        <w:pStyle w:val="Normal"/>
        <w:jc w:val="both"/>
        <w:rPr/>
      </w:pPr>
      <w:r>
        <w:rPr>
          <w:b/>
          <w:bCs/>
        </w:rPr>
        <w:t>Crafts and cultural products.</w:t>
      </w:r>
      <w:r>
        <w:rPr/>
        <w:t xml:space="preserve"> The gaps are product differentiation, buyer relationships, pricing and export compliance. Market-led design, buyer brokerage and curated retail, and e-commerce listing should come first, with finance offered only once orders exist. Craft hubs, BTO, the Namibia Tourism Board, ZimTrade and tourism associations are the natural partners.</w:t>
      </w:r>
    </w:p>
    <w:p>
      <w:pPr>
        <w:pStyle w:val="Normal"/>
        <w:jc w:val="both"/>
        <w:rPr/>
      </w:pPr>
      <w:r>
        <w:rPr>
          <w:b/>
          <w:bCs/>
        </w:rPr>
        <w:t>Guiding and activities.</w:t>
      </w:r>
      <w:r>
        <w:rPr/>
        <w:t xml:space="preserve"> Guides need quality improvements and certification, equipment, online visibility and help managing seasonal cash flow. Guide certification, lease-to-own equipment, digital marketing support and seasonal or revenue-linked repayment respond to these needs, delivered with guides associations, training institutions, DMCs and youth funds.</w:t>
      </w:r>
    </w:p>
    <w:p>
      <w:pPr>
        <w:pStyle w:val="Normal"/>
        <w:jc w:val="both"/>
        <w:rPr/>
      </w:pPr>
      <w:r>
        <w:rPr>
          <w:b/>
          <w:bCs/>
        </w:rPr>
        <w:t>Transport and transfers.</w:t>
      </w:r>
      <w:r>
        <w:rPr/>
        <w:t xml:space="preserve"> Operators need tax clearance, insurance, vehicle maintenance skills and sub-hire contracts. Compliance support through one-stop centres, asset finance on seasonal schedules and standard sub-hire contract templates are recommended, working with ZIDA, CIPA, ZDA, banks' asset-finance units and DMCs.</w:t>
      </w:r>
    </w:p>
    <w:p>
      <w:pPr>
        <w:pStyle w:val="Normal"/>
        <w:jc w:val="both"/>
        <w:rPr/>
      </w:pPr>
      <w:r>
        <w:rPr>
          <w:b/>
          <w:bCs/>
        </w:rPr>
        <w:t>Waste, recycling and cleaning.</w:t>
      </w:r>
      <w:r>
        <w:rPr/>
        <w:t xml:space="preserve"> Enterprises need a viable business model, service contracts, equipment and health and safety practices. Brokering service contracts with lodges and towns, equipment grants and youth incubation are recommended, delivered with local authorities, anchor lodges, NGOs and incubators.</w:t>
      </w:r>
    </w:p>
    <w:p>
      <w:pPr>
        <w:pStyle w:val="Normal"/>
        <w:jc w:val="both"/>
        <w:rPr/>
      </w:pPr>
      <w:r>
        <w:rPr>
          <w:b/>
          <w:bCs/>
        </w:rPr>
        <w:t>Nature-positive products.</w:t>
      </w:r>
      <w:r>
        <w:rPr/>
        <w:t xml:space="preserve"> The gaps are supply volume, certification, governance and export readiness. Certification grants, processing equipment, governance support and finance against export orders are recommended, with conservancies, CBNRM NGOs, CEEC, ZDA and export promotion bodies as partners.</w:t>
      </w:r>
    </w:p>
    <w:p>
      <w:pPr>
        <w:pStyle w:val="Normal"/>
        <w:jc w:val="both"/>
        <w:rPr/>
      </w:pPr>
      <w:r>
        <w:rPr>
          <w:b/>
          <w:bCs/>
        </w:rPr>
        <w:t>Community accommodation.</w:t>
      </w:r>
      <w:r>
        <w:rPr/>
        <w:t xml:space="preserve"> Community enterprises need stronger governance, better JV negotiation, higher service standards and secure tenure. Governance and JV advisory support, grading and service training and blended finance are recommended, delivered with BTO, the Namibia Tourism Board, the Zimbabwe Tourism Authority, NACSO and the CAMPFIRE Association.</w:t>
      </w:r>
    </w:p>
    <w:p>
      <w:pPr>
        <w:pStyle w:val="Heading2"/>
        <w:rPr/>
      </w:pPr>
      <w:bookmarkStart w:id="24" w:name="__RefHeading___Toc1299_3920751122"/>
      <w:bookmarkEnd w:id="24"/>
      <w:r>
        <w:rPr/>
        <w:t>6.2 Business Support Organisations</w:t>
      </w:r>
    </w:p>
    <w:p>
      <w:pPr>
        <w:pStyle w:val="Normal"/>
        <w:jc w:val="both"/>
        <w:rPr/>
      </w:pPr>
      <w:r>
        <w:rPr/>
        <w:t>BSOs in KAZA include public agencies (INAPEM in Angola, LEA in Botswana, NIPDB in Namibia, ZDA and CEEC in Zambia, SMEDCO in Zimbabwe), associations (such as WIBA in Botswana and the tourism associations in each state), conservation NGOs and community institutions. Section 7.3 profiles the main organisations in each country. Their gaps are:</w:t>
      </w:r>
    </w:p>
    <w:p>
      <w:pPr>
        <w:pStyle w:val="ListParagraph"/>
        <w:numPr>
          <w:ilvl w:val="0"/>
          <w:numId w:val="54"/>
        </w:numPr>
        <w:rPr/>
      </w:pPr>
      <w:r>
        <w:rPr>
          <w:b/>
          <w:bCs/>
        </w:rPr>
        <w:t>Generic rather than sector-specific services.</w:t>
      </w:r>
      <w:r>
        <w:rPr/>
        <w:t xml:space="preserve"> Most BDS is general business training, not tourism supplier development or R-NBT product development.</w:t>
      </w:r>
    </w:p>
    <w:p>
      <w:pPr>
        <w:pStyle w:val="ListParagraph"/>
        <w:numPr>
          <w:ilvl w:val="0"/>
          <w:numId w:val="55"/>
        </w:numPr>
        <w:rPr/>
      </w:pPr>
      <w:r>
        <w:rPr>
          <w:b/>
          <w:bCs/>
        </w:rPr>
        <w:t>Weak link to finance.</w:t>
      </w:r>
      <w:r>
        <w:rPr/>
        <w:t xml:space="preserve"> BSOs and financiers operate in silos, producing weak pipelines of investment-ready MSMEs (Financial Landscape Analysis). Few BSOs prepare loan applications or broker introductions to lenders. Where BSOs are also lenders (CEDA, CEEC, SMEDCO), mentoring tends to follow a loan rather than prepare an MSME for one.</w:t>
      </w:r>
    </w:p>
    <w:p>
      <w:pPr>
        <w:pStyle w:val="ListParagraph"/>
        <w:numPr>
          <w:ilvl w:val="0"/>
          <w:numId w:val="56"/>
        </w:numPr>
        <w:rPr/>
      </w:pPr>
      <w:r>
        <w:rPr>
          <w:b/>
          <w:bCs/>
        </w:rPr>
        <w:t>Limited reach in KAZA hubs.</w:t>
      </w:r>
      <w:r>
        <w:rPr/>
        <w:t xml:space="preserve"> Services are concentrated in capitals; outreach to Kasane, Maun, Katima Mulilo, Rundu, Livingstone, Hwange and Cuando Cubango is thin. INAPEM's first decentralised incubation programme, for example, is in Huíla province rather than Cuando Cubango (Section 7.3).</w:t>
      </w:r>
    </w:p>
    <w:p>
      <w:pPr>
        <w:pStyle w:val="ListParagraph"/>
        <w:numPr>
          <w:ilvl w:val="0"/>
          <w:numId w:val="57"/>
        </w:numPr>
        <w:rPr/>
      </w:pPr>
      <w:r>
        <w:rPr>
          <w:b/>
          <w:bCs/>
        </w:rPr>
        <w:t>Institutional uncertainty.</w:t>
      </w:r>
      <w:r>
        <w:rPr/>
        <w:t xml:space="preserve"> Some lead agencies are being restructured or are rebuilding systems. Botswana has long-standing plans to rationalise parastatals with overlapping mandates, which unions have questioned (Business Weekly, 2026), and Namibia's BIPA is still procuring a new online registration system (Section 7.1). This makes it harder for BSOs to commit to multi-year supplier-development programmes.</w:t>
      </w:r>
    </w:p>
    <w:p>
      <w:pPr>
        <w:pStyle w:val="ListParagraph"/>
        <w:numPr>
          <w:ilvl w:val="0"/>
          <w:numId w:val="58"/>
        </w:numPr>
        <w:rPr/>
      </w:pPr>
      <w:r>
        <w:rPr>
          <w:b/>
          <w:bCs/>
        </w:rPr>
        <w:t>No diagnostic or tracking tools.</w:t>
      </w:r>
      <w:r>
        <w:rPr/>
        <w:t xml:space="preserve"> BSOs lack a common readiness diagnostic and do not track MSMEs' progress from tier to tier.</w:t>
      </w:r>
    </w:p>
    <w:p>
      <w:pPr>
        <w:pStyle w:val="ListParagraph"/>
        <w:numPr>
          <w:ilvl w:val="0"/>
          <w:numId w:val="59"/>
        </w:numPr>
        <w:rPr/>
      </w:pPr>
      <w:r>
        <w:rPr>
          <w:b/>
          <w:bCs/>
        </w:rPr>
        <w:t>Gender and youth capacity.</w:t>
      </w:r>
      <w:r>
        <w:rPr/>
        <w:t xml:space="preserve"> Few BSOs have staff or methods for gender-transformative or youth-specific support.</w:t>
      </w:r>
    </w:p>
    <w:p>
      <w:pPr>
        <w:pStyle w:val="ListParagraph"/>
        <w:numPr>
          <w:ilvl w:val="0"/>
          <w:numId w:val="60"/>
        </w:numPr>
        <w:rPr/>
      </w:pPr>
      <w:r>
        <w:rPr>
          <w:b/>
          <w:bCs/>
        </w:rPr>
        <w:t>Funding.</w:t>
      </w:r>
      <w:r>
        <w:rPr/>
        <w:t xml:space="preserve"> The 2025 wind-down of USAID programmes removed grant and technical-assistance funding for many community enterprise programmes (Financial Landscape Analysis). Public BSOs also face shrinking government budgets; the PSDP survey already found that Botswana's productivity centre and training authority needed new ways to serve SMMEs and community organisations as public funding declined (PSDP survey).</w:t>
      </w:r>
    </w:p>
    <w:p>
      <w:pPr>
        <w:pStyle w:val="ListParagraph"/>
        <w:numPr>
          <w:ilvl w:val="0"/>
          <w:numId w:val="61"/>
        </w:numPr>
        <w:rPr/>
      </w:pPr>
      <w:r>
        <w:rPr>
          <w:b/>
          <w:bCs/>
        </w:rPr>
        <w:t>Weak coordination and overlapping mandates.</w:t>
      </w:r>
      <w:r>
        <w:rPr/>
        <w:t xml:space="preserve"> The PSDP design found limited communication and coordination among BDS providers, limited capacity in intermediary organisations, overlapping activities among private-sector associations, and a lack of knowledge, among SMMEs and BSOs alike, of the services each institution offers. It described Botswana's trade support network as broad, with capacity that varied greatly, mandates that often overlapped and weak coordination that led to an ineffective and inefficient use of resources (PSDP survey, Sections 3.1 and 10). The BSO profiles in Section 7.3 suggest that the same holds across KAZA.</w:t>
      </w:r>
    </w:p>
    <w:p>
      <w:pPr>
        <w:pStyle w:val="ListParagraph"/>
        <w:numPr>
          <w:ilvl w:val="0"/>
          <w:numId w:val="62"/>
        </w:numPr>
        <w:rPr/>
      </w:pPr>
      <w:r>
        <w:rPr>
          <w:b/>
          <w:bCs/>
        </w:rPr>
        <w:t>Weak organisational systems.</w:t>
      </w:r>
      <w:r>
        <w:rPr/>
        <w:t xml:space="preserve"> Several BSOs lack strategic plans, performance management systems and ways to assess and report the impact of their services to members and funders (PSDP survey). Without these, BSOs cannot show which services move MSMEs towards finance.</w:t>
      </w:r>
    </w:p>
    <w:p>
      <w:pPr>
        <w:pStyle w:val="Heading3"/>
        <w:rPr/>
      </w:pPr>
      <w:r>
        <w:rPr/>
        <w:t>Institution-level needs identified in the PSDP survey</w:t>
      </w:r>
    </w:p>
    <w:p>
      <w:pPr>
        <w:pStyle w:val="Normal"/>
        <w:jc w:val="both"/>
        <w:rPr/>
      </w:pPr>
      <w:r>
        <w:rPr/>
        <w:t>The PSDP survey set out prioritised capacity-building needs for ten Botswana institutions that support SMMEs, including LEA, CEDA and HATAB, which are profiled in Section 7.3. Several institutions have since been renamed or merged: BOCCIM is now Business Botswana, BEDIA was merged into the Botswana Investment and Trade Centre (BITC), and the Ministry of Trade and Industry is now the Ministry of Trade and Entrepreneurship. The needs are summarised below with their implications for R-NBT. Priorities are ranked within each institution, with 1 the highest.</w:t>
      </w:r>
    </w:p>
    <w:p>
      <w:pPr>
        <w:pStyle w:val="Normal"/>
        <w:jc w:val="both"/>
        <w:rPr/>
      </w:pPr>
      <w:r>
        <w:rPr>
          <w:b/>
          <w:bCs/>
        </w:rPr>
        <w:t>BOCCIM</w:t>
      </w:r>
      <w:r>
        <w:rPr/>
        <w:t>, now Business Botswana, is the apex private-sector association. Its first-priority needs were the capacity to implement the Private Sector Development Strategy, sector desks that deal directly with sectors and strengthen priority sectors, a stronger Women in Business Association able to represent its members, and the capacity to act as the apex body for the private sector. Its second-priority needs were coaching for staff in research and economic policy analysis on internal and international trade, project management, sector coordination and SMME development; a mechanism to assess and report the impact of its services to members; and training for members on how to engage government and development partners on technical issues. For R-NBT, a tourism or KAZA sector desk could carry MSME supplier issues into public-private dialogue, strengthening WIBA is a direct route to women-led MSMEs, and impact reporting would support tier tracking.</w:t>
      </w:r>
    </w:p>
    <w:p>
      <w:pPr>
        <w:pStyle w:val="Normal"/>
        <w:jc w:val="both"/>
        <w:rPr/>
      </w:pPr>
      <w:r>
        <w:rPr>
          <w:b/>
          <w:bCs/>
        </w:rPr>
        <w:t>BEMA</w:t>
      </w:r>
      <w:r>
        <w:rPr/>
        <w:t xml:space="preserve">, the exporters' and manufacturers' association, needed, in order of priority, a trade and export database, the secondment of retired experts to work on specialist projects, support to lobby and negotiate for lower costs of manufacturing and exporting, the marketing of its services to non-members, and an agreement with BOCCIM to transfer exporter and manufacturer members to BEMA with a share of their subscription fees. Its database would serve lodge-linked goods, crafts and nature-positive products, and retired-expert secondments are a low-cost mentoring model. </w:t>
      </w:r>
      <w:r>
        <w:rPr>
          <w:b/>
          <w:bCs/>
        </w:rPr>
        <w:t>HATAB</w:t>
      </w:r>
      <w:r>
        <w:rPr/>
        <w:t>, the hospitality and tourism association, needed a strategic plan to deal with its human and financial constraints and then a performance management system. HATAB is the association closest to anchor lodges, but its own capacity limits its ability to run supplier development, so organisational strengthening should come first.</w:t>
      </w:r>
    </w:p>
    <w:p>
      <w:pPr>
        <w:pStyle w:val="Normal"/>
        <w:jc w:val="both"/>
        <w:rPr/>
      </w:pPr>
      <w:r>
        <w:rPr>
          <w:b/>
          <w:bCs/>
        </w:rPr>
        <w:t>The Botswana Training Authority (BOTA)</w:t>
      </w:r>
      <w:r>
        <w:rPr/>
        <w:t xml:space="preserve"> needed technical expertise to do more for community-based organisations within its budget, which in KAZA means accredited, affordable training for community trusts and CBO enterprises. </w:t>
      </w:r>
      <w:r>
        <w:rPr>
          <w:b/>
          <w:bCs/>
        </w:rPr>
        <w:t>The National Development Bank</w:t>
      </w:r>
      <w:r>
        <w:rPr/>
        <w:t xml:space="preserve"> was to sign a memorandum of understanding with LEA and CDE to strengthen the capacity of its SMME clients, an early model of the BSO-financier referral agreements recommended in Section 10.5. </w:t>
      </w:r>
      <w:r>
        <w:rPr>
          <w:b/>
          <w:bCs/>
        </w:rPr>
        <w:t>The Ministry of Trade and Industry</w:t>
      </w:r>
      <w:r>
        <w:rPr/>
        <w:t>, now the Ministry of Trade and Entrepreneurship, needed technical expertise to manage the Private Sector Development Strategy, including the coordination of MSME support.</w:t>
      </w:r>
    </w:p>
    <w:p>
      <w:pPr>
        <w:pStyle w:val="Normal"/>
        <w:jc w:val="both"/>
        <w:rPr/>
      </w:pPr>
      <w:r>
        <w:rPr>
          <w:b/>
          <w:bCs/>
        </w:rPr>
        <w:t>The Botswana Bureau of Standards (BOBS)</w:t>
      </w:r>
      <w:r>
        <w:rPr/>
        <w:t xml:space="preserve"> needed strategic alliances with already decentralised organisations so that its services could reach the rest of the country without opening offices countrywide; the survey also noted delays and high costs in quality and standards testing. For R-NBT this points to standards, testing and certification for suppliers in Kasane and Maun delivered through LEA or other decentralised partners. </w:t>
      </w:r>
      <w:r>
        <w:rPr>
          <w:b/>
          <w:bCs/>
        </w:rPr>
        <w:t>The Botswana National Productivity Centre (BNPC)</w:t>
      </w:r>
      <w:r>
        <w:rPr/>
        <w:t xml:space="preserve"> needed, in order of priority, synergies between the Private Sector Development Strategy and the Economic Diversification Drive, renewal in the face of dwindling government funding, and the extension of its BNPC-Japanese productivity programme, which applies </w:t>
      </w:r>
      <w:r>
        <w:rPr>
          <w:i/>
          <w:iCs/>
        </w:rPr>
        <w:t>kaizen</w:t>
      </w:r>
      <w:r>
        <w:rPr/>
        <w:t xml:space="preserve"> and other company-level productivity methods, to selected SMMEs. This could provide productivity and quality coaching for lodge suppliers and tourism service enterprises.</w:t>
      </w:r>
    </w:p>
    <w:p>
      <w:pPr>
        <w:pStyle w:val="Normal"/>
        <w:jc w:val="both"/>
        <w:rPr/>
      </w:pPr>
      <w:r>
        <w:rPr>
          <w:b/>
          <w:bCs/>
        </w:rPr>
        <w:t>CEDA</w:t>
      </w:r>
      <w:r>
        <w:rPr/>
        <w:t xml:space="preserve"> needed technical expertise to deepen its relationship with LEA for the benefit of their shared clients and coaching for its mentors in effective mentoring. This addresses the gap that mentoring tends to follow a loan rather than prepare an MSME for one. </w:t>
      </w:r>
      <w:r>
        <w:rPr>
          <w:b/>
          <w:bCs/>
        </w:rPr>
        <w:t>LEA</w:t>
      </w:r>
      <w:r>
        <w:rPr/>
        <w:t xml:space="preserve"> needed a pilot with CDE on the accreditation of its training services and stronger capacity among its consultants accredited by BOTA and BOBS, which would provide accredited supplier-development advisers for the KAZA hubs; LEA is the lead BSO proposed for Botswana.</w:t>
      </w:r>
    </w:p>
    <w:p>
      <w:pPr>
        <w:pStyle w:val="Normal"/>
        <w:jc w:val="both"/>
        <w:rPr/>
      </w:pPr>
      <w:r>
        <w:rPr/>
        <w:t xml:space="preserve">The survey also identified </w:t>
      </w:r>
      <w:r>
        <w:rPr>
          <w:b/>
          <w:bCs/>
        </w:rPr>
        <w:t>cross-cutting needs</w:t>
      </w:r>
      <w:r>
        <w:rPr/>
        <w:t xml:space="preserve"> for all SMME support institutions: training in effective dissemination of information to SMMEs; web-based performance monitoring systems for all support institutions; and, in a joint concept paper by CDE, BOCCIM, BEMA and BEDIA, trade information, trade finance, quality management, trade promotion and national branding, enterprise development, export packaging and institutional strengthening (PSDP survey). These needs apply equally to the BSOs in the other four KAZA states. The PSDP design also valued the participation of CEDA, BEDIA and LEA because their programmes cover the whole country and the whole private sector (PSDP survey, Section 11), which supports this assessment's recommendation to work through existing BSOs with national reach rather than create new ones.</w:t>
      </w:r>
    </w:p>
    <w:p>
      <w:pPr>
        <w:pStyle w:val="Heading3"/>
        <w:rPr/>
      </w:pPr>
      <w:r>
        <w:rPr/>
        <w:t>Roles of BSOs in building investment readiness</w:t>
      </w:r>
    </w:p>
    <w:p>
      <w:pPr>
        <w:pStyle w:val="Normal"/>
        <w:jc w:val="both"/>
        <w:rPr/>
      </w:pPr>
      <w:r>
        <w:rPr/>
        <w:t>The PSDP design grouped Botswana's trade support network by function: market promotion and access; quality control, standards and production; trade policy research; technology transfer; financing; and entrepreneurial development (PSDP survey, Section 10). Applied to the readiness pathway in this assessment, BSOs have ten distinct roles. No single BSO can play all of them, so each country needs a lead BSO that coordinates the others and refers MSMEs between them (Section 10.5).</w:t>
      </w:r>
    </w:p>
    <w:p>
      <w:pPr>
        <w:pStyle w:val="Normal"/>
        <w:jc w:val="both"/>
        <w:rPr/>
      </w:pPr>
      <w:r>
        <w:rPr>
          <w:b/>
          <w:bCs/>
        </w:rPr>
        <w:t>Diagnosis and tracking.</w:t>
      </w:r>
      <w:r>
        <w:rPr/>
        <w:t xml:space="preserve"> Lead BSOs such as INAPEM, LEA, NIPDB, ZDA and SMEDCO should apply a common readiness diagnostic, place MSMEs in a tier and track their progress across all tiers. </w:t>
      </w:r>
      <w:r>
        <w:rPr>
          <w:b/>
          <w:bCs/>
        </w:rPr>
        <w:t>Business skills and on-the-job training</w:t>
      </w:r>
      <w:r>
        <w:rPr/>
        <w:t xml:space="preserve"> in bookkeeping, budgeting, costing and pricing, operations, productivity and quality should be delivered on site as well as in workshops, by lead BSOs, training institutions, productivity centres such as BNPC and, for community enterprises, CBNRM NGOs; this role serves Tiers 0 to 2. </w:t>
      </w:r>
      <w:r>
        <w:rPr>
          <w:b/>
          <w:bCs/>
        </w:rPr>
        <w:t>Mentoring and coaching</w:t>
      </w:r>
      <w:r>
        <w:rPr/>
        <w:t xml:space="preserve"> accompany MSMEs after training on quality, competitiveness, partnerships and growth, through CEDA and LEA mentors, retired-expert schemes and NGOs, and serve Tiers 1 to 3.</w:t>
      </w:r>
    </w:p>
    <w:p>
      <w:pPr>
        <w:pStyle w:val="Normal"/>
        <w:jc w:val="both"/>
        <w:rPr/>
      </w:pPr>
      <w:r>
        <w:rPr>
          <w:b/>
          <w:bCs/>
        </w:rPr>
        <w:t>Standards, quality and certification</w:t>
      </w:r>
      <w:r>
        <w:rPr/>
        <w:t xml:space="preserve">, covering testing, product certification, food safety and tourism grading, fall to standards bureaux such as BOBS and to grading bodies such as BTO, the Namibia Tourism Board and the Zimbabwe Tourism Authority. </w:t>
      </w:r>
      <w:r>
        <w:rPr>
          <w:b/>
          <w:bCs/>
        </w:rPr>
        <w:t>Formalisation support</w:t>
      </w:r>
      <w:r>
        <w:rPr/>
        <w:t xml:space="preserve">, which takes MSMEs through registration, tax clearance and licensing when a contract requires it, is the role of CIPA, BIPA, ZIDA, the BUE and INAPEM's certification. </w:t>
      </w:r>
      <w:r>
        <w:rPr>
          <w:b/>
          <w:bCs/>
        </w:rPr>
        <w:t>Market linkage and supplier development</w:t>
      </w:r>
      <w:r>
        <w:rPr/>
        <w:t>, meaning buyer brokerage, supplier expos, product development to buyer specifications, export promotion and market information, is best delivered by anchor supplier programmes such as Wilderness-LEA, ZimTrade, ZDA, NIPDB and exporters' associations such as BEMA. These three roles mainly serve Tiers 1 and 2.</w:t>
      </w:r>
    </w:p>
    <w:p>
      <w:pPr>
        <w:pStyle w:val="Normal"/>
        <w:jc w:val="both"/>
        <w:rPr/>
      </w:pPr>
      <w:r>
        <w:rPr>
          <w:b/>
          <w:bCs/>
        </w:rPr>
        <w:t>Finance readiness and brokerage</w:t>
      </w:r>
      <w:r>
        <w:rPr/>
        <w:t xml:space="preserve"> covers business plans, proposals and loan packaging, referral to lenders and monitoring after finance is received; the partnerships between LEA and CEDA and between ZDA and CEEC, SMEDCO and its stock exchange partnership, and NIPDB's High Potential Pool are the main vehicles, serving Tiers 2 and 3. </w:t>
      </w:r>
      <w:r>
        <w:rPr>
          <w:b/>
          <w:bCs/>
        </w:rPr>
        <w:t>Representation and advocacy</w:t>
      </w:r>
      <w:r>
        <w:rPr/>
        <w:t xml:space="preserve">, which raises MSME issues such as payment terms, unfair practices and the cost of compliance with government and anchor buyers, is the role of chambers and apex bodies such as Business Botswana, the tourism associations (HATAB, TBCZ, TCZ and FENATA), WIBA, NACSO and the CAMPFIRE Association. </w:t>
      </w:r>
      <w:r>
        <w:rPr>
          <w:b/>
          <w:bCs/>
        </w:rPr>
        <w:t>Information and coordination</w:t>
      </w:r>
      <w:r>
        <w:rPr/>
        <w:t xml:space="preserve">, meaning publishing which BSO offers which service, referral between BSOs and monitoring impact, belongs to lead BSOs and apex bodies and, at regional level, the KAZA Secretariat. </w:t>
      </w:r>
      <w:r>
        <w:rPr>
          <w:b/>
          <w:bCs/>
        </w:rPr>
        <w:t>Gender and youth inclusion</w:t>
      </w:r>
      <w:r>
        <w:rPr/>
        <w:t xml:space="preserve"> runs through all roles and is led by WIBA, youth and women's finance institutions and programmes such as UNDP's youth MSME programme in Zambia.</w:t>
      </w:r>
    </w:p>
    <w:p>
      <w:pPr>
        <w:pStyle w:val="Heading2"/>
        <w:rPr/>
      </w:pPr>
      <w:bookmarkStart w:id="25" w:name="__RefHeading___Toc1301_3920751122"/>
      <w:bookmarkEnd w:id="25"/>
      <w:r>
        <w:rPr/>
        <w:t>6.3 Financial Institutions</w:t>
      </w:r>
    </w:p>
    <w:p>
      <w:pPr>
        <w:pStyle w:val="ListParagraph"/>
        <w:numPr>
          <w:ilvl w:val="0"/>
          <w:numId w:val="63"/>
        </w:numPr>
        <w:rPr/>
      </w:pPr>
      <w:r>
        <w:rPr>
          <w:b/>
          <w:bCs/>
        </w:rPr>
        <w:t>Seasonal cash-flow lending:</w:t>
      </w:r>
      <w:r>
        <w:rPr/>
        <w:t xml:space="preserve"> structuring repayment around tourism and agricultural seasons rather than monthly amortisation.</w:t>
      </w:r>
    </w:p>
    <w:p>
      <w:pPr>
        <w:pStyle w:val="ListParagraph"/>
        <w:numPr>
          <w:ilvl w:val="0"/>
          <w:numId w:val="64"/>
        </w:numPr>
        <w:rPr/>
      </w:pPr>
      <w:r>
        <w:rPr>
          <w:b/>
          <w:bCs/>
        </w:rPr>
        <w:t>Sector knowledge:</w:t>
      </w:r>
      <w:r>
        <w:rPr/>
        <w:t xml:space="preserve"> understanding R-NBT business models, anchor-buyer contracts, concessions and JV arrangements.</w:t>
      </w:r>
    </w:p>
    <w:p>
      <w:pPr>
        <w:pStyle w:val="ListParagraph"/>
        <w:numPr>
          <w:ilvl w:val="0"/>
          <w:numId w:val="65"/>
        </w:numPr>
        <w:rPr/>
      </w:pPr>
      <w:r>
        <w:rPr>
          <w:b/>
          <w:bCs/>
        </w:rPr>
        <w:t>Alternative collateral and data:</w:t>
      </w:r>
      <w:r>
        <w:rPr/>
        <w:t xml:space="preserve"> using purchase orders, receivables, movable-asset registries, mobile-money data and savings-group records in credit assessment. Zambia's 4th-place ranking for getting credit in Doing Business 2020 shows that the legal tools exist there; Zimbabwe launched a collateral registry for movable assets in 2022, and Botswana's CIPA is developing a National Collateral Registry for SME credit. The gap is lenders' use of these tools for small borrowers. In Angola, which ranked 185th for getting credit, lenders have few such tools and need contractual workarounds such as payment routing through the anchor buyer.</w:t>
      </w:r>
    </w:p>
    <w:p>
      <w:pPr>
        <w:pStyle w:val="ListParagraph"/>
        <w:numPr>
          <w:ilvl w:val="0"/>
          <w:numId w:val="66"/>
        </w:numPr>
        <w:rPr/>
      </w:pPr>
      <w:r>
        <w:rPr>
          <w:b/>
          <w:bCs/>
        </w:rPr>
        <w:t>Small-ticket economics:</w:t>
      </w:r>
      <w:r>
        <w:rPr/>
        <w:t xml:space="preserve"> reducing the unit cost of small loans through digital origination, group or value-chain lending, and BSO pre-screening.</w:t>
      </w:r>
    </w:p>
    <w:p>
      <w:pPr>
        <w:pStyle w:val="ListParagraph"/>
        <w:numPr>
          <w:ilvl w:val="0"/>
          <w:numId w:val="67"/>
        </w:numPr>
        <w:rPr/>
      </w:pPr>
      <w:r>
        <w:rPr>
          <w:b/>
          <w:bCs/>
        </w:rPr>
        <w:t>Guarantee use:</w:t>
      </w:r>
      <w:r>
        <w:rPr/>
        <w:t xml:space="preserve"> many banks under-use existing credit guarantee schemes; staff need to understand when and how to use them.</w:t>
      </w:r>
    </w:p>
    <w:p>
      <w:pPr>
        <w:pStyle w:val="ListParagraph"/>
        <w:numPr>
          <w:ilvl w:val="0"/>
          <w:numId w:val="68"/>
        </w:numPr>
        <w:rPr/>
      </w:pPr>
      <w:r>
        <w:rPr>
          <w:b/>
          <w:bCs/>
        </w:rPr>
        <w:t>Gender-smart lending:</w:t>
      </w:r>
      <w:r>
        <w:rPr/>
        <w:t xml:space="preserve"> collecting sex-disaggregated portfolio data, designing products for women-owned enterprises and training staff to reduce bias.</w:t>
      </w:r>
    </w:p>
    <w:p>
      <w:pPr>
        <w:pStyle w:val="ListParagraph"/>
        <w:numPr>
          <w:ilvl w:val="0"/>
          <w:numId w:val="69"/>
        </w:numPr>
        <w:rPr/>
      </w:pPr>
      <w:r>
        <w:rPr>
          <w:b/>
          <w:bCs/>
        </w:rPr>
        <w:t>Regenerative screening:</w:t>
      </w:r>
      <w:r>
        <w:rPr/>
        <w:t xml:space="preserve"> applying simple environmental and social criteria consistent with a KAZA R-NBT eligibility framework.</w:t>
      </w:r>
    </w:p>
    <w:p>
      <w:pPr>
        <w:pStyle w:val="Normal"/>
        <w:jc w:val="both"/>
        <w:rPr/>
      </w:pPr>
      <w:r>
        <w:rPr>
          <w:b/>
          <w:bCs/>
        </w:rPr>
        <w:t>In summary,</w:t>
      </w:r>
      <w:r>
        <w:rPr/>
        <w:t xml:space="preserve"> four groups have high-priority capacity gaps. Producers at node A need aggregation, better quality, basic records and savings discipline, above all in food, crafts and nature-positive products. Suppliers and service enterprises at nodes C and D need reliability, quality assurance and standards, compliance, contracting and negotiating skills, cash-flow planning and investment readiness, particularly in lodge-linked goods, food, transport and guiding. Cooperatives and community enterprises at nodes B and E need governance, benefit-sharing rules, certification and leadership that includes women and youth, especially in nature-positive products, crafts and accommodation. BSOs, across all chains, need sector-specific supplier development, a readiness diagnostic, finance brokerage, outreach in the KAZA hubs, standards and productivity services outside the capitals, better coordination and information on who offers which service, organisational systems for strategic planning and for monitoring performance and impact, accredited mentors and advisers, and gender and youth methods.</w:t>
      </w:r>
    </w:p>
    <w:p>
      <w:pPr>
        <w:pStyle w:val="Normal"/>
        <w:jc w:val="both"/>
        <w:rPr/>
      </w:pPr>
      <w:r>
        <w:rPr/>
        <w:t>Financial institutions' gaps are of medium to high priority and affect all chains, especially supply chains: seasonal structuring, alternative collateral, guarantee use and gender-disaggregated data. Anchor buyers' gaps are of medium priority but matter for food, lodge-linked goods and transport: a commitment to supplier development, payment terms that support MSME cash flow, and standard contract templates.</w:t>
      </w:r>
    </w:p>
    <w:p>
      <w:pPr>
        <w:pStyle w:val="Heading2"/>
        <w:rPr/>
      </w:pPr>
      <w:bookmarkStart w:id="26" w:name="__RefHeading___Toc1303_3920751122"/>
      <w:bookmarkEnd w:id="26"/>
      <w:r>
        <w:rPr/>
        <w:t>6.4 Tourism MSME Needs, Interventions and Support BSOs by Country</w:t>
      </w:r>
    </w:p>
    <w:p>
      <w:pPr>
        <w:pStyle w:val="Normal"/>
        <w:jc w:val="both"/>
        <w:rPr/>
      </w:pPr>
      <w:r>
        <w:rPr/>
        <w:t>The needs above apply across KAZA, but their weight, the interventions that fit and the BSOs able to deliver them differ by Partner State. This section applies them to tourism MSMEs in the KAZA area of each country: enterprises that sell to tourists directly (guiding, activities, transfers, accommodation, crafts) and those that supply lodges and operators (food, lodge-linked goods, services, nature-positive products). For each country it sets out the main needs, the recommended intervention and its delivery mode (using the PSDP survey's types: technical assistance, mentoring and coaching, on-the-job training, workshops and benchmarking visits), the support BSOs, with the proposed lead BSO first (Section 10.5), and a priority rating.</w:t>
      </w:r>
    </w:p>
    <w:p>
      <w:pPr>
        <w:pStyle w:val="Normal"/>
        <w:jc w:val="both"/>
        <w:rPr/>
      </w:pPr>
      <w:r>
        <w:rPr/>
        <w:t>The ratings are the author's assessment from the evidence in Chapters 2 to 5 and 7 and the Financial Landscape Analysis. Evidence is uneven: Botswana, Zimbabwe and Zambia are better covered than Namibia (7 of 71 survey responses) and Angola (no survey responses) (MD p. 10, 109), so the Namibian and Angolan tables in particular should be tested at the national validation workshops.</w:t>
      </w:r>
    </w:p>
    <w:p>
      <w:pPr>
        <w:pStyle w:val="Heading3"/>
        <w:rPr/>
      </w:pPr>
      <w:r>
        <w:rPr/>
        <w:t>Angola: Cuando and Cubango</w:t>
      </w:r>
    </w:p>
    <w:p>
      <w:pPr>
        <w:pStyle w:val="Normal"/>
        <w:jc w:val="both"/>
        <w:rPr/>
      </w:pPr>
      <w:r>
        <w:rPr/>
        <w:t>Tourism in Angola's KAZA component is nascent. Existing tourism MSMEs are guesthouses, restaurants and transport businesses in Menongue and Cuito Cuanavale, with emerging interest in river expeditions, birding, fishing and cultural and heritage tourism (Financial Landscape Analysis). Access is limited by poor roads, landmine contamination and sparse services, and bookings, guiding and logistics for Angola's flagship Luiana camp currently accrue in Namibia (MD p. 25, 118-119). Most enterprises are in Tiers 0 and 1. Banks ask for INAPEM certification before they lend (AllAfrica, 2026), and foreign shareholding in road passenger transport is capped at 49% (MD p. 26). The approach therefore has to be readiness first.</w:t>
      </w:r>
    </w:p>
    <w:p>
      <w:pPr>
        <w:pStyle w:val="Normal"/>
        <w:jc w:val="both"/>
        <w:rPr/>
      </w:pPr>
      <w:r>
        <w:rPr>
          <w:b/>
          <w:bCs/>
        </w:rPr>
        <w:t>Formalisation and certification</w:t>
      </w:r>
      <w:r>
        <w:rPr/>
        <w:t xml:space="preserve"> is a high priority. Tourism MSMEs in Cuando and Cubango need to register, obtain INAPEM certification, which banks ask for and which gives access to tax benefits, and obtain MINTUR licensing and classification for guesthouses and restaurants, none of which is easy from Menongue. Registration and certification clinics in Menongue and Cuito Cuanavale, with follow-up until each enterprise has completed the process, should be run by INAPEM with the BUE and Guiché Único, MINTUR and the provincial governments. </w:t>
      </w:r>
      <w:r>
        <w:rPr>
          <w:b/>
          <w:bCs/>
        </w:rPr>
        <w:t>Basic business and financial management</w:t>
      </w:r>
      <w:r>
        <w:rPr/>
        <w:t xml:space="preserve"> is equally urgent: bookkeeping, separating business and household money, costing and pricing, and managing a seasonal income. A tourism module in INAPEM's incubator network, delivered in the province with on-site coaching, would meet this need, working with the Envolver+ network and Universidade Cuito Cuanavale.</w:t>
      </w:r>
    </w:p>
    <w:p>
      <w:pPr>
        <w:pStyle w:val="Normal"/>
        <w:jc w:val="both"/>
        <w:rPr/>
      </w:pPr>
      <w:r>
        <w:rPr>
          <w:b/>
          <w:bCs/>
        </w:rPr>
        <w:t>Guiding, expedition and logistics skills</w:t>
      </w:r>
      <w:r>
        <w:rPr/>
        <w:t xml:space="preserve"> are the third high priority, so that Angolan guides, boat operators and logistics providers can serve Luiana and the river systems and this business is no longer captured in Namibia. Training and certification, apprenticeships with operators on the Namibian side and with expedition partners, delivered with MINTUR, Universidade Cuito Cuanavale, the National Geographic Okavango Wilderness Project and Namibian operators and training institutions, are recommended. Of medium priority are </w:t>
      </w:r>
      <w:r>
        <w:rPr>
          <w:b/>
          <w:bCs/>
        </w:rPr>
        <w:t>hospitality service standards</w:t>
      </w:r>
      <w:r>
        <w:rPr/>
        <w:t xml:space="preserve"> in guesthouses and restaurants, through workplace training linked to MINTUR classification with the hospitality associations and the university; </w:t>
      </w:r>
      <w:r>
        <w:rPr>
          <w:b/>
          <w:bCs/>
        </w:rPr>
        <w:t>product development and market linkage</w:t>
      </w:r>
      <w:r>
        <w:rPr/>
        <w:t xml:space="preserve">, turning birding, fishing, river, cultural and heritage experiences into bookable products through familiarisation trips and learning visits to Namibian and Botswana destinations; and </w:t>
      </w:r>
      <w:r>
        <w:rPr>
          <w:b/>
          <w:bCs/>
        </w:rPr>
        <w:t>community enterprise</w:t>
      </w:r>
      <w:r>
        <w:rPr/>
        <w:t xml:space="preserve"> governance and benefit-sharing, supported by ACADIR, local NGOs, The HALO Trust and traditional authorities. </w:t>
      </w:r>
      <w:r>
        <w:rPr>
          <w:b/>
          <w:bCs/>
        </w:rPr>
        <w:t>Investment readiness</w:t>
      </w:r>
      <w:r>
        <w:rPr/>
        <w:t xml:space="preserve"> for FGC-guaranteed loans and micro-loans from KixiCrédito and Banco Sol should follow once enterprises are certified and trading.</w:t>
      </w:r>
    </w:p>
    <w:p>
      <w:pPr>
        <w:pStyle w:val="Normal"/>
        <w:jc w:val="both"/>
        <w:rPr/>
      </w:pPr>
      <w:r>
        <w:rPr>
          <w:b/>
          <w:bCs/>
        </w:rPr>
        <w:t>Support BSO gaps in Angola.</w:t>
      </w:r>
      <w:r>
        <w:rPr/>
        <w:t xml:space="preserve"> No tourism-specific BDS was identified in the KAZA area, INAPEM's decentralised incubation started in Huíla rather than Cuando Cubango, and the hospitality associations are Luanda-based (Section 7.3). The first need is a BSO presence in Menongue: an INAPEM desk or incubator node with a tourism module, working with MINTUR and the provincial governments.</w:t>
      </w:r>
    </w:p>
    <w:p>
      <w:pPr>
        <w:pStyle w:val="Heading3"/>
        <w:rPr/>
      </w:pPr>
      <w:r>
        <w:rPr/>
        <w:t>Botswana: Chobe District and Ngamiland</w:t>
      </w:r>
    </w:p>
    <w:p>
      <w:pPr>
        <w:pStyle w:val="Normal"/>
        <w:jc w:val="both"/>
        <w:rPr/>
      </w:pPr>
      <w:r>
        <w:rPr/>
        <w:t>Botswana's KAZA component centres on Kasane and Maun, with high-value, low-volume tourism in the Okavango Delta, Chobe, Linyanti and Makgadikgadi. It has the strongest anchor-led procurement evidence in KAZA. Wilderness buys more than 80% of its supplies by value from Botswana-based suppliers, its supplier expo generated more than BWP 6.2 million of new contracts for citizen-owned businesses in its first year, and its suppliers can borrow from Stanbic Bank against their contracts (Section 7.2). Guesthouses and touristic transfer companies are reserved for citizens, which makes them MSME space that depends on domestic capital and lodge contracts (MD p. 32-34). Camp construction materials still come largely through South African intermediaries (MD p. 68), and a Maun craft hub connecting more than 100 artisans has export certifications but no committed international buyers (MD p. 69). Most tourism MSMEs are in Tiers 1 and 2. The PSDP survey (Section 6.1) is Botswana evidence and applies directly.</w:t>
      </w:r>
    </w:p>
    <w:p>
      <w:pPr>
        <w:pStyle w:val="Normal"/>
        <w:jc w:val="both"/>
        <w:rPr/>
      </w:pPr>
      <w:r>
        <w:rPr/>
        <w:t xml:space="preserve">Three needs are of high priority in Botswana. </w:t>
      </w:r>
      <w:r>
        <w:rPr>
          <w:b/>
          <w:bCs/>
        </w:rPr>
        <w:t>Supplier readiness for anchor camps</w:t>
      </w:r>
      <w:r>
        <w:rPr/>
        <w:t xml:space="preserve"> means meeting camp requirements for food, dry goods, beverages, building materials, laundry, maintenance and transfers in Kasane and Maun, and replacing South African intermediaries. Supplier development tied to named anchors' procurement plans, with supplier expos and nominated suppliers, should be led by LEA with Wilderness and other anchor operators, HATAB and WIBA. </w:t>
      </w:r>
      <w:r>
        <w:rPr>
          <w:b/>
          <w:bCs/>
        </w:rPr>
        <w:t>Investment readiness and contract finance</w:t>
      </w:r>
      <w:r>
        <w:rPr/>
        <w:t xml:space="preserve"> covers loan packaging, using contracts as security and credit discipline after a loan. The Wilderness-Stanbic model of contract-backed finance should be extended to other anchors and banks, with an LEA-CEDA referral pipeline, coaching for CEDA's mentors and YDF for young entrepreneurs. </w:t>
      </w:r>
      <w:r>
        <w:rPr>
          <w:b/>
          <w:bCs/>
        </w:rPr>
        <w:t>Quality, standards and grading</w:t>
      </w:r>
      <w:r>
        <w:rPr/>
        <w:t xml:space="preserve"> covers product testing and certification for food and goods suppliers and grading for citizen guesthouses; LEA, BOBS and BTO should deliver these services in Kasane and Maun rather than only in Gaborone.</w:t>
      </w:r>
    </w:p>
    <w:p>
      <w:pPr>
        <w:pStyle w:val="Normal"/>
        <w:jc w:val="both"/>
        <w:rPr/>
      </w:pPr>
      <w:r>
        <w:rPr/>
        <w:t xml:space="preserve">Of medium priority are </w:t>
      </w:r>
      <w:r>
        <w:rPr>
          <w:b/>
          <w:bCs/>
        </w:rPr>
        <w:t>crafts and cultural products</w:t>
      </w:r>
      <w:r>
        <w:rPr/>
        <w:t xml:space="preserve">, where the need is to move from generic curios to differentiated products with committed buyers, supported by BTO, the craft hubs, WIBA and BITC through market-led design, buyer brokerage and export packaging and branding; </w:t>
      </w:r>
      <w:r>
        <w:rPr>
          <w:b/>
          <w:bCs/>
        </w:rPr>
        <w:t>guiding and mokoro services</w:t>
      </w:r>
      <w:r>
        <w:rPr/>
        <w:t xml:space="preserve">, through certification, lease-to-own equipment and digital listing with BTO, the Botswana Guides Association and the mokoro polers' trusts; </w:t>
      </w:r>
      <w:r>
        <w:rPr>
          <w:b/>
          <w:bCs/>
        </w:rPr>
        <w:t>business management and productivity</w:t>
      </w:r>
      <w:r>
        <w:rPr/>
        <w:t xml:space="preserve">, through on-site coaching by LEA and BNPC; and </w:t>
      </w:r>
      <w:r>
        <w:rPr>
          <w:b/>
          <w:bCs/>
        </w:rPr>
        <w:t>community trust enterprises</w:t>
      </w:r>
      <w:r>
        <w:rPr/>
        <w:t xml:space="preserve">, through governance, JV advisory and certification grants with BOCOBONET, CBNRM NGOs and BTO. </w:t>
      </w:r>
      <w:r>
        <w:rPr>
          <w:b/>
          <w:bCs/>
        </w:rPr>
        <w:t>Voice and payment terms</w:t>
      </w:r>
      <w:r>
        <w:rPr/>
        <w:t xml:space="preserve"> are of lower priority but matter for suppliers: a tourism desk in Business Botswana and supplier representation in HATAB's dialogue with its members would carry these issues to anchors and government.</w:t>
      </w:r>
    </w:p>
    <w:p>
      <w:pPr>
        <w:pStyle w:val="Normal"/>
        <w:jc w:val="both"/>
        <w:rPr/>
      </w:pPr>
      <w:r>
        <w:rPr>
          <w:b/>
          <w:bCs/>
        </w:rPr>
        <w:t>Support BSO gaps in Botswana.</w:t>
      </w:r>
      <w:r>
        <w:rPr/>
        <w:t xml:space="preserve"> LEA is the natural lead, but needs tourism supplier-development staff in Kasane and Maun and accredited consultants. HATAB needs the strategic plan and performance system the PSDP survey identified before it can host supplier development. BOBS and BNPC need delivery partners in the KAZA hubs, and LEA and CEDA need a working referral agreement (Section 6.2).</w:t>
      </w:r>
    </w:p>
    <w:p>
      <w:pPr>
        <w:pStyle w:val="Heading3"/>
        <w:rPr/>
      </w:pPr>
      <w:r>
        <w:rPr/>
        <w:t>Namibia: Zambezi and Kavango East</w:t>
      </w:r>
    </w:p>
    <w:p>
      <w:pPr>
        <w:pStyle w:val="Normal"/>
        <w:jc w:val="both"/>
        <w:rPr/>
      </w:pPr>
      <w:r>
        <w:rPr/>
        <w:t>Namibia's KAZA component spans the Zambezi Region and Kavango East, with Katima Mulilo, Rundu, Divundu and Kongola as hubs and a dense network of conservancies. The gaps are clearest in lodge-linked goods: about 80% of lodge design and décor items in the Kavango and Zambezi regions are imported because local suppliers cannot match imports on consistency, quality, scale and price (MD p. 70, 128). Community SMMEs capture little value: craft, soap and oil, textile, village-tour and taxi enterprises together earn under 1% of conservancy returns, against 59.7% from joint-venture lodges (MD p. 37, 40). Company registration is slow (Section 7.1), and the end of visa-free travel for 31 countries in April 2025 has shifted demand (Section 7.2). Gondwana's sourcing at its Etosha lodge shows that local suppliers can meet lodge specifications when sourcing is designed in from the start (Section 7.2).</w:t>
      </w:r>
    </w:p>
    <w:p>
      <w:pPr>
        <w:pStyle w:val="Normal"/>
        <w:jc w:val="both"/>
        <w:rPr/>
      </w:pPr>
      <w:r>
        <w:rPr/>
        <w:t xml:space="preserve">Three needs are of high priority in Namibia. </w:t>
      </w:r>
      <w:r>
        <w:rPr>
          <w:b/>
          <w:bCs/>
        </w:rPr>
        <w:t>Lodge-linked goods to specification</w:t>
      </w:r>
      <w:r>
        <w:rPr/>
        <w:t xml:space="preserve"> means décor, furnishings, building materials and gifts that match imports on consistency, quality, scale and price. Design and quality coaching with lodge procurement teams, specifications agreed in advance and tooling finance should be delivered by NIPDB with the chamber's Zambezi and Kavango branches and lodge operators. </w:t>
      </w:r>
      <w:r>
        <w:rPr>
          <w:b/>
          <w:bCs/>
        </w:rPr>
        <w:t>Moving from conservancy benefit to enterprise</w:t>
      </w:r>
      <w:r>
        <w:rPr/>
        <w:t xml:space="preserve"> means turning conservancy crafts, soap and oil, textiles, village tours and taxis into commercial enterprises that sell to lodges, through a pathway of governance, business skills and buyer links run by NIPDB with NACSO, IRDNC, NNF and the conservancies. </w:t>
      </w:r>
      <w:r>
        <w:rPr>
          <w:b/>
          <w:bCs/>
        </w:rPr>
        <w:t>Formalisation</w:t>
      </w:r>
      <w:r>
        <w:rPr/>
        <w:t xml:space="preserve"> needs practical help with registration at BIPA, and with staying compliant to avoid de-registration, through the chamber's regional branches.</w:t>
      </w:r>
    </w:p>
    <w:p>
      <w:pPr>
        <w:pStyle w:val="Normal"/>
        <w:jc w:val="both"/>
        <w:rPr/>
      </w:pPr>
      <w:r>
        <w:rPr/>
        <w:t xml:space="preserve">Of medium priority are </w:t>
      </w:r>
      <w:r>
        <w:rPr>
          <w:b/>
          <w:bCs/>
        </w:rPr>
        <w:t>market diversification</w:t>
      </w:r>
      <w:r>
        <w:rPr/>
        <w:t xml:space="preserve">, through product inclusion in DMC itineraries, supply to several lodges and marketing support with NTB, FENATA, HAN, TASA and DMCs; </w:t>
      </w:r>
      <w:r>
        <w:rPr>
          <w:b/>
          <w:bCs/>
        </w:rPr>
        <w:t>nature-positive products</w:t>
      </w:r>
      <w:r>
        <w:rPr/>
        <w:t xml:space="preserve">, through certification and equipment grants and producer-group support with NNF, IRDNC, EIF and CCFN; </w:t>
      </w:r>
      <w:r>
        <w:rPr>
          <w:b/>
          <w:bCs/>
        </w:rPr>
        <w:t>guiding and hospitality skills</w:t>
      </w:r>
      <w:r>
        <w:rPr/>
        <w:t xml:space="preserve">, through skills-to-enterprise tracks with the Namibia Training Authority, UNAM's Katima Mulilo campus, the NUST hospitality school and NTB; and </w:t>
      </w:r>
      <w:r>
        <w:rPr>
          <w:b/>
          <w:bCs/>
        </w:rPr>
        <w:t>investment readiness</w:t>
      </w:r>
      <w:r>
        <w:rPr/>
        <w:t xml:space="preserve">, through pitch coaching linked to the SME fund, the High Potential Pool, DBN and the credit guarantee scheme. </w:t>
      </w:r>
      <w:r>
        <w:rPr>
          <w:b/>
          <w:bCs/>
        </w:rPr>
        <w:t>Waste and recycling services</w:t>
      </w:r>
      <w:r>
        <w:rPr/>
        <w:t>, supported by regional councils, lodges and NGOs, are a lower priority with a smaller evidence base.</w:t>
      </w:r>
    </w:p>
    <w:p>
      <w:pPr>
        <w:pStyle w:val="Normal"/>
        <w:jc w:val="both"/>
        <w:rPr/>
      </w:pPr>
      <w:r>
        <w:rPr>
          <w:b/>
          <w:bCs/>
        </w:rPr>
        <w:t>Support BSO gaps in Namibia.</w:t>
      </w:r>
      <w:r>
        <w:rPr/>
        <w:t xml:space="preserve"> NIPDB's programmes are national and not tourism-specific, so a KAZA supplier-development service has to be built with the conservancy support organisations and lodge operators (Section 7.3). The chamber's regional branches are the most practical local delivery point, but need advisers trained in tourism supply and registration support.</w:t>
      </w:r>
    </w:p>
    <w:p>
      <w:pPr>
        <w:pStyle w:val="Heading3"/>
        <w:rPr/>
      </w:pPr>
      <w:r>
        <w:rPr/>
        <w:t>Zambia: Livingstone and the southern KAZA area</w:t>
      </w:r>
    </w:p>
    <w:p>
      <w:pPr>
        <w:pStyle w:val="Normal"/>
        <w:jc w:val="both"/>
        <w:rPr/>
      </w:pPr>
      <w:r>
        <w:rPr/>
        <w:t>Zambia's KAZA tourism MSMEs are concentrated in Livingstone and along the Victoria Falls-Kazungula corridor, with community enterprise around Simalaha and Sioma Ngwezi. Linkages with hotels are better documented here than in most destinations: a Livingstone hotel buys produce directly from smallholders, and a women's mushroom farm sells most of its produce to hotels under long-term contracts (Section 7.2). A women's forest-products cooperative sells mungongo oil and baobab coffee to Livingstone hotels and export buyers but cannot finance a ZMW 30,000 certification quote (MD p. 73). Licensing is the main regulatory burden, and omnibus licensing for accommodation is under discussion (Section 7.1). Women lead more than 60% of Zambia's MSMEs (AFI), and youth BDS is emerging through UNDP's youth-led MSME programme in Livingstone (Section 7.3).</w:t>
      </w:r>
    </w:p>
    <w:p>
      <w:pPr>
        <w:pStyle w:val="Normal"/>
        <w:jc w:val="both"/>
        <w:rPr/>
      </w:pPr>
      <w:r>
        <w:rPr/>
        <w:t xml:space="preserve">Three needs are of high priority in Zambia. </w:t>
      </w:r>
      <w:r>
        <w:rPr>
          <w:b/>
          <w:bCs/>
        </w:rPr>
        <w:t>Smallholder aggregation and hotel supply</w:t>
      </w:r>
      <w:r>
        <w:rPr/>
        <w:t xml:space="preserve"> means moving smallholders from individual spot sales to organised, consistent supply under agreements with Livingstone hotels, through producer-group formation, supply agreements and post-harvest and quality coaching led by ZDA and CEEC with the Livingstone Tourism Association and hotels. </w:t>
      </w:r>
      <w:r>
        <w:rPr>
          <w:b/>
          <w:bCs/>
        </w:rPr>
        <w:t>Certification and export readiness</w:t>
      </w:r>
      <w:r>
        <w:rPr/>
        <w:t xml:space="preserve"> for nature-positive products such as forest products needs certification grants, quality-assurance coaching and links to COMESA and regional markets, delivered by ZDA, CEEC and Peace Parks Foundation. </w:t>
      </w:r>
      <w:r>
        <w:rPr>
          <w:b/>
          <w:bCs/>
        </w:rPr>
        <w:t>Youth enterprise in tourism services</w:t>
      </w:r>
      <w:r>
        <w:rPr/>
        <w:t>, in guiding, transfers, digital marketing and services, should build on the UNDP youth programme in Livingstone, with ZDA, BongoHive, the Hotel and Tourism Training Institute and the Livingstone tourism university providing incubation and apprenticeships.</w:t>
      </w:r>
    </w:p>
    <w:p>
      <w:pPr>
        <w:pStyle w:val="Normal"/>
        <w:jc w:val="both"/>
        <w:rPr/>
      </w:pPr>
      <w:r>
        <w:rPr/>
        <w:t xml:space="preserve">Of medium priority are </w:t>
      </w:r>
      <w:r>
        <w:rPr>
          <w:b/>
          <w:bCs/>
        </w:rPr>
        <w:t>licensing and compliance</w:t>
      </w:r>
      <w:r>
        <w:rPr/>
        <w:t xml:space="preserve">, through help at the point of need from the BRRA, the Ministry of Tourism and ZDA, with TCZ and ZCSMBA advocating omnibus licensing; </w:t>
      </w:r>
      <w:r>
        <w:rPr>
          <w:b/>
          <w:bCs/>
        </w:rPr>
        <w:t>guiding and hospitality service quality</w:t>
      </w:r>
      <w:r>
        <w:rPr/>
        <w:t xml:space="preserve">, through certification and workplace training with the training institutions and tour operator associations; </w:t>
      </w:r>
      <w:r>
        <w:rPr>
          <w:b/>
          <w:bCs/>
        </w:rPr>
        <w:t>women-led enterprise finance</w:t>
      </w:r>
      <w:r>
        <w:rPr/>
        <w:t xml:space="preserve">, through bookkeeping and mobile-money training and links to women's finance windows and the ZCGS, with CEEC, ZCSMBA and partner lenders; </w:t>
      </w:r>
      <w:r>
        <w:rPr>
          <w:b/>
          <w:bCs/>
        </w:rPr>
        <w:t>investment readiness and seasonal finance</w:t>
      </w:r>
      <w:r>
        <w:rPr/>
        <w:t xml:space="preserve">, through coaching and seasonal terms in CEEC products; and </w:t>
      </w:r>
      <w:r>
        <w:rPr>
          <w:b/>
          <w:bCs/>
        </w:rPr>
        <w:t>community enterprise</w:t>
      </w:r>
      <w:r>
        <w:rPr/>
        <w:t xml:space="preserve"> in conservancy areas, with Peace Parks Foundation and traditional authorities. </w:t>
      </w:r>
      <w:r>
        <w:rPr>
          <w:b/>
          <w:bCs/>
        </w:rPr>
        <w:t>Cross-border small trade</w:t>
      </w:r>
      <w:r>
        <w:rPr/>
        <w:t xml:space="preserve"> under the COMESA Simplified Trade Regime is a lower but specific need for women traders at Victoria Falls and Kazungula.</w:t>
      </w:r>
    </w:p>
    <w:p>
      <w:pPr>
        <w:pStyle w:val="Normal"/>
        <w:jc w:val="both"/>
        <w:rPr/>
      </w:pPr>
      <w:r>
        <w:rPr>
          <w:b/>
          <w:bCs/>
        </w:rPr>
        <w:t>Support BSO gaps in Zambia.</w:t>
      </w:r>
      <w:r>
        <w:rPr/>
        <w:t xml:space="preserve"> The ZDA-CEEC agreement combines BDS with finance, but is national rather than tourism-specific, and CEEC products are not yet designed around the tourism season. Tourism associations in Livingstone represent operators but rarely provide supplier development (Section 7.3). A Livingstone-based supplier-development service, run by ZDA and CEEC with the Livingstone Tourism Association, would close this gap.</w:t>
      </w:r>
    </w:p>
    <w:p>
      <w:pPr>
        <w:pStyle w:val="Heading3"/>
        <w:rPr/>
      </w:pPr>
      <w:r>
        <w:rPr/>
        <w:t>Zimbabwe: Victoria Falls, Hwange and Binga</w:t>
      </w:r>
    </w:p>
    <w:p>
      <w:pPr>
        <w:pStyle w:val="Normal"/>
        <w:jc w:val="both"/>
        <w:rPr/>
      </w:pPr>
      <w:r>
        <w:rPr/>
        <w:t>Zimbabwe's KAZA tourism MSMEs are concentrated around Victoria Falls, Hwange and Binga and in the CAMPFIRE districts. Anchor demand is clear: a Hwange anchor lodge calls irrigated fruit and vegetable supply the clearest near-term opportunity because sourcing from Bulawayo brings delays and quality problems, and new suppliers need only two or three successful bookings to be listed regularly (MD p. 75). Informality carries a heavy penalty: an anchor operator reports a 30% withholding tax on payments to suppliers without tax clearance (MD p. 74). Only about one in seven MSMEs is registered (FinScope MSME Zimbabwe 2022), only 17% always keep records, and women own more than 60% of MSMEs, most of them informal (Chapters 4 and 5). Passenger transport and local arts and crafts are reserved for citizens (Section 7.1), and currency instability complicates lending (Section 7.4).</w:t>
      </w:r>
    </w:p>
    <w:p>
      <w:pPr>
        <w:pStyle w:val="Normal"/>
        <w:jc w:val="both"/>
        <w:rPr/>
      </w:pPr>
      <w:r>
        <w:rPr/>
        <w:t xml:space="preserve">Three needs are of high priority in Zimbabwe. </w:t>
      </w:r>
      <w:r>
        <w:rPr>
          <w:b/>
          <w:bCs/>
        </w:rPr>
        <w:t>Tax clearance and formalisation</w:t>
      </w:r>
      <w:r>
        <w:rPr/>
        <w:t xml:space="preserve"> comes first, so that suppliers avoid the 30% withholding tax and can be contracted by anchors; SMEDCO should take enterprises through the ZIDA one-stop centre and ZIMRA, with the Victoria Falls City Council and the RDCs for local licences. </w:t>
      </w:r>
      <w:r>
        <w:rPr>
          <w:b/>
          <w:bCs/>
        </w:rPr>
        <w:t>Irrigated produce supply to lodges</w:t>
      </w:r>
      <w:r>
        <w:rPr/>
        <w:t xml:space="preserve"> in Hwange and Victoria Falls needs irrigation, aggregation, consistent quality and supply agreements, supported by SMEDCO, anchor lodges, Lupane State University and agricultural extension. </w:t>
      </w:r>
      <w:r>
        <w:rPr>
          <w:b/>
          <w:bCs/>
        </w:rPr>
        <w:t>Records and financial management</w:t>
      </w:r>
      <w:r>
        <w:rPr/>
        <w:t>, including cash-flow management in foreign currency, needs bookkeeping and mobile-money training with on-site follow-up from SMEDCO and the Ministry of Women Affairs, Community, Small and Medium Enterprises Development.</w:t>
      </w:r>
    </w:p>
    <w:p>
      <w:pPr>
        <w:pStyle w:val="Normal"/>
        <w:jc w:val="both"/>
        <w:rPr/>
      </w:pPr>
      <w:r>
        <w:rPr/>
        <w:t xml:space="preserve">Of medium priority are </w:t>
      </w:r>
      <w:r>
        <w:rPr>
          <w:b/>
          <w:bCs/>
        </w:rPr>
        <w:t>supplier listing and marketing</w:t>
      </w:r>
      <w:r>
        <w:rPr/>
        <w:t xml:space="preserve">, through sub-contracts, apprenticeships and joint marketing with TBCZ, ZTA, ZimTrade and DMCs; </w:t>
      </w:r>
      <w:r>
        <w:rPr>
          <w:b/>
          <w:bCs/>
        </w:rPr>
        <w:t>guiding standards</w:t>
      </w:r>
      <w:r>
        <w:rPr/>
        <w:t xml:space="preserve">, through certification with the guides' and safari operators' associations and ZTA; </w:t>
      </w:r>
      <w:r>
        <w:rPr>
          <w:b/>
          <w:bCs/>
        </w:rPr>
        <w:t>crafts and CAMPFIRE community enterprise</w:t>
      </w:r>
      <w:r>
        <w:rPr/>
        <w:t xml:space="preserve">, through market-led design, buyer links and governance support with the CAMPFIRE Association, the RDCs and ZimTrade; </w:t>
      </w:r>
      <w:r>
        <w:rPr>
          <w:b/>
          <w:bCs/>
        </w:rPr>
        <w:t>women-led enterprises</w:t>
      </w:r>
      <w:r>
        <w:rPr/>
        <w:t xml:space="preserve">, through a group-to-enterprise pathway and links to the Zimbabwe Women's Microfinance Bank; and </w:t>
      </w:r>
      <w:r>
        <w:rPr>
          <w:b/>
          <w:bCs/>
        </w:rPr>
        <w:t>investment readiness and finance</w:t>
      </w:r>
      <w:r>
        <w:rPr/>
        <w:t xml:space="preserve">, through SMEDCO's support, including for ZEEX, ECGC-guaranteed lending and EmpowerBank. </w:t>
      </w:r>
      <w:r>
        <w:rPr>
          <w:b/>
          <w:bCs/>
        </w:rPr>
        <w:t>Cross-border small trade</w:t>
      </w:r>
      <w:r>
        <w:rPr/>
        <w:t xml:space="preserve"> under the Simplified Trade Regime is a lower priority, supported by ZimTrade and ZIMRA.</w:t>
      </w:r>
    </w:p>
    <w:p>
      <w:pPr>
        <w:pStyle w:val="Normal"/>
        <w:jc w:val="both"/>
        <w:rPr/>
      </w:pPr>
      <w:r>
        <w:rPr>
          <w:b/>
          <w:bCs/>
        </w:rPr>
        <w:t>Support BSO gaps in Zimbabwe.</w:t>
      </w:r>
      <w:r>
        <w:rPr/>
        <w:t xml:space="preserve"> SMEDCO combines lending with capacity building, but its presence in Victoria Falls and Hwange is limited, and its mentoring, like that of other lender-BSOs, tends to follow a loan (Section 6.2). The tourism associations represent operators but do not run supplier development. A supplier-development service for Victoria Falls and Hwange, run by SMEDCO with ZIDA, TBCZ and the CAMPFIRE Association, is the main gap.</w:t>
      </w:r>
    </w:p>
    <w:p>
      <w:pPr>
        <w:pStyle w:val="Heading3"/>
        <w:rPr/>
      </w:pPr>
      <w:r>
        <w:rPr/>
        <w:t>Comparison across the five countries</w:t>
      </w:r>
    </w:p>
    <w:p>
      <w:pPr>
        <w:pStyle w:val="Normal"/>
        <w:jc w:val="both"/>
        <w:rPr/>
      </w:pPr>
      <w:r>
        <w:rPr>
          <w:b/>
          <w:bCs/>
        </w:rPr>
        <w:t>Comparing the five countries,</w:t>
      </w:r>
      <w:r>
        <w:rPr/>
        <w:t xml:space="preserve"> formalisation, licensing and tax clearance are a high priority in Angola, Namibia and Zimbabwe, where certification, slow registration and the withholding tax respectively stand between MSMEs and anchor contracts, but a lower priority in Botswana, where registration is online and the binding needs are supplier readiness, standards and contract finance. Supplier readiness and aggregation for lodges is a high priority everywhere except Angola, where the tourism market is too young and the priorities are basic business management, formalisation and guiding skills. Quality, standards and certification are most pressing in Botswana and Zambia, community enterprise in Namibia's conservancies, investment readiness in Botswana, where contract finance is already available, and women and youth enterprise in Zambia, where women lead most MSMEs and a youth programme is already running in Livingstone. The proposed lead BSOs are INAPEM in Angola, LEA in Botswana, NIPDB in Namibia, ZDA and CEEC in Zambia and SMEDCO in Zimbabwe.</w:t>
      </w:r>
      <w:r>
        <w:br w:type="page"/>
      </w:r>
    </w:p>
    <w:p>
      <w:pPr>
        <w:pStyle w:val="Heading1"/>
        <w:spacing w:before="0" w:after="240"/>
        <w:rPr/>
      </w:pPr>
      <w:bookmarkStart w:id="27" w:name="__RefHeading___Toc1305_3920751122"/>
      <w:bookmarkEnd w:id="27"/>
      <w:r>
        <w:rPr/>
        <w:t>7. Enabling Environment</w:t>
      </w:r>
    </w:p>
    <w:p>
      <w:pPr>
        <w:pStyle w:val="Normal"/>
        <w:jc w:val="both"/>
        <w:rPr/>
      </w:pPr>
      <w:r>
        <w:rPr/>
        <w:t>This chapter evaluates the conditions outside the enterprise that shape investment readiness: national and regional regulation, market access and links with larger tourism operators, business development services, and wider policy conditions. Section 7.1 draws on the World Bank's Doing Business 2020 country reports to compare the five states. Section 7.2 adds evidence on market access from sources outside the Macro Diagnostic, and Section 7.3 profiles the main BSOs in each country.</w:t>
      </w:r>
    </w:p>
    <w:p>
      <w:pPr>
        <w:pStyle w:val="Heading2"/>
        <w:rPr/>
      </w:pPr>
      <w:bookmarkStart w:id="28" w:name="__RefHeading___Toc1307_3920751122"/>
      <w:bookmarkEnd w:id="28"/>
      <w:r>
        <w:rPr/>
        <w:t>7.1 National and Regional Regulatory Frameworks</w:t>
      </w:r>
    </w:p>
    <w:p>
      <w:pPr>
        <w:pStyle w:val="Heading3"/>
        <w:rPr/>
      </w:pPr>
      <w:r>
        <w:rPr/>
        <w:t>What the Doing Business country reports show</w:t>
      </w:r>
    </w:p>
    <w:p>
      <w:pPr>
        <w:pStyle w:val="Normal"/>
        <w:jc w:val="both"/>
        <w:rPr/>
      </w:pPr>
      <w:r>
        <w:rPr/>
        <w:t>The World Bank's Doing Business 2020 economy profiles are the most recent source that measures business regulation in all five KAZA states in the same way. They score ten areas of regulation that a small or medium-sized domestic limited company meets over its life, from starting a business to resolving insolvency, and rank 190 economies. The data were collected to May 2019 and describe the largest business city in each country (Luanda, Gaborone, Windhoek, Lusaka and Harare), not the KAZA hubs, where procedures are usually slower and offices further away. The series was discontinued in 2021, so the rankings are best read as a comparison between the five states and a guide to which procedures weigh most on MSMEs.</w:t>
      </w:r>
    </w:p>
    <w:p>
      <w:pPr>
        <w:pStyle w:val="Normal"/>
        <w:jc w:val="both"/>
        <w:rPr/>
      </w:pPr>
      <w:r>
        <w:rPr>
          <w:b/>
          <w:bCs/>
        </w:rPr>
        <w:t>Overall rankings.</w:t>
      </w:r>
      <w:r>
        <w:rPr/>
        <w:t xml:space="preserve"> Of 190 economies, Zambia ranked 85th (score 66.9 out of 100) and Botswana 87th (66.2), the two easiest places to do business among the KAZA states. Namibia followed at 104th (61.4), Zimbabwe at 140th (54.5) and Angola at 177th (41.3).</w:t>
      </w:r>
    </w:p>
    <w:p>
      <w:pPr>
        <w:pStyle w:val="Normal"/>
        <w:jc w:val="both"/>
        <w:rPr/>
      </w:pPr>
      <w:r>
        <w:rPr>
          <w:b/>
          <w:bCs/>
        </w:rPr>
        <w:t>Topic rankings by country.</w:t>
      </w:r>
      <w:r>
        <w:rPr/>
        <w:t xml:space="preserve"> </w:t>
      </w:r>
      <w:r>
        <w:rPr>
          <w:b/>
          <w:bCs/>
        </w:rPr>
        <w:t>Angola</w:t>
      </w:r>
      <w:r>
        <w:rPr/>
        <w:t xml:space="preserve"> ranked 146th for starting a business, 120th for construction permits, 156th for getting electricity, 167th for registering property, 185th for getting credit, 147th for protecting minority investors, 106th for paying taxes, 174th for trading across borders, 186th for enforcing contracts and 168th for resolving insolvency. </w:t>
      </w:r>
      <w:r>
        <w:rPr>
          <w:b/>
          <w:bCs/>
        </w:rPr>
        <w:t>Botswana</w:t>
      </w:r>
      <w:r>
        <w:rPr/>
        <w:t xml:space="preserve"> ranked 159th for starting a business, 44th for construction permits, 139th for electricity, 82nd for property, 80th for credit, 72nd for minority investors, 59th for taxes, 55th for trading across borders, 137th for enforcing contracts and 84th for insolvency. </w:t>
      </w:r>
      <w:r>
        <w:rPr>
          <w:b/>
          <w:bCs/>
        </w:rPr>
        <w:t>Namibia</w:t>
      </w:r>
      <w:r>
        <w:rPr/>
        <w:t xml:space="preserve"> ranked 165th for starting a business, 84th for construction permits, 76th for electricity, 173rd for property, 80th for credit, 88th for minority investors, 138th for trading across borders, 64th for enforcing contracts and 127th for insolvency; its paying-taxes score was 74.5, but its rank could not be confirmed. </w:t>
      </w:r>
      <w:r>
        <w:rPr>
          <w:b/>
          <w:bCs/>
        </w:rPr>
        <w:t>Zambia</w:t>
      </w:r>
      <w:r>
        <w:rPr/>
        <w:t xml:space="preserve"> ranked 117th for starting a business, 67th for construction permits, 129th for electricity, 149th for property, 4th for credit, 72nd for minority investors, 17th for taxes, 155th for trading across borders, 130th for enforcing contracts and 79th for insolvency. </w:t>
      </w:r>
      <w:r>
        <w:rPr>
          <w:b/>
          <w:bCs/>
        </w:rPr>
        <w:t>Zimbabwe</w:t>
      </w:r>
      <w:r>
        <w:rPr/>
        <w:t xml:space="preserve"> ranked 167th for starting a business, 140th for construction permits, 167th for electricity, 109th for property, 67th for credit, 97th for minority investors, 146th for taxes, 159th for trading across borders, 169th for enforcing contracts and 142nd for insolvency.</w:t>
      </w:r>
    </w:p>
    <w:p>
      <w:pPr>
        <w:pStyle w:val="Normal"/>
        <w:jc w:val="both"/>
        <w:rPr/>
      </w:pPr>
      <w:r>
        <w:rPr/>
        <w:t>Source: World Bank, Doing Business 2020 report and economy profiles. Topic ranks were transcribed from the published profiles; the overall ranks and scores are confirmed in the World Bank's published rankings.</w:t>
      </w:r>
    </w:p>
    <w:p>
      <w:pPr>
        <w:pStyle w:val="Normal"/>
        <w:jc w:val="both"/>
        <w:rPr/>
      </w:pPr>
      <w:r>
        <w:rPr/>
        <w:t>Five findings stand out for R-NBT MSMEs:</w:t>
      </w:r>
    </w:p>
    <w:p>
      <w:pPr>
        <w:pStyle w:val="ListParagraph"/>
        <w:numPr>
          <w:ilvl w:val="0"/>
          <w:numId w:val="70"/>
        </w:numPr>
        <w:rPr/>
      </w:pPr>
      <w:r>
        <w:rPr>
          <w:b/>
          <w:bCs/>
        </w:rPr>
        <w:t>Formalising is slow everywhere.</w:t>
      </w:r>
      <w:r>
        <w:rPr/>
        <w:t xml:space="preserve"> All five states ranked 117th or lower for starting a business. Registering a company took about 8.5 days in Zambia, 27 days and 9 procedures in Zimbabwe, 36 days and 8 procedures in Angola, and 54 days and 10 procedures in Namibia. In Botswana in 2020, company registration could be completed online in a day, but tax registration took about 30 days; later US government reports put tax registration at about a week (US Department of State, 2020 and 2026). For a micro-enterprise earning most of its income in a five-month season, a registration process that takes one to two months has a real opportunity cost. This supports treating formalisation as a milestone tied to a contract (Section 4.3) and offering hands-on help with procedures.</w:t>
      </w:r>
    </w:p>
    <w:p>
      <w:pPr>
        <w:pStyle w:val="ListParagraph"/>
        <w:numPr>
          <w:ilvl w:val="0"/>
          <w:numId w:val="71"/>
        </w:numPr>
        <w:rPr/>
      </w:pPr>
      <w:r>
        <w:rPr>
          <w:b/>
          <w:bCs/>
        </w:rPr>
        <w:t>Credit infrastructure varies widely.</w:t>
      </w:r>
      <w:r>
        <w:rPr/>
        <w:t xml:space="preserve"> Zambia ranked 4th in the world for getting credit (score 95 of 100), reflecting strong legal rights for borrowers and lenders over movable assets and good credit-information coverage. Zimbabwe (67th), Botswana and Namibia (both 80th) were mid-ranked, while Angola ranked 185th (score 5 of 100). Where the legal framework is strong, receivables and movable-asset lending to suppliers is legally feasible and the constraint is lender practice; in Angola, finance will depend for some time on grants, guarantees and contractual arrangements with anchor buyers.</w:t>
      </w:r>
    </w:p>
    <w:p>
      <w:pPr>
        <w:pStyle w:val="ListParagraph"/>
        <w:numPr>
          <w:ilvl w:val="0"/>
          <w:numId w:val="72"/>
        </w:numPr>
        <w:rPr/>
      </w:pPr>
      <w:r>
        <w:rPr>
          <w:b/>
          <w:bCs/>
        </w:rPr>
        <w:t>Contracts are hard to enforce.</w:t>
      </w:r>
      <w:r>
        <w:rPr/>
        <w:t xml:space="preserve"> Enforcing a commercial contract through the courts took about 660 days in Botswana (137th) and 410 days at a cost of 83% of the claim in Zimbabwe (169th); Angola ranked 186th and Zambia 130th. Only Namibia (64th) ranked in the top half. Contract-backed supplier finance in KAZA therefore cannot rely on court enforcement. It needs arrangements in which the anchor buyer pays the lender directly, as in the Wilderness-Stanbic facility, where suppliers cede their right to receive payment from Wilderness to the bank (Mmegi, 2025).</w:t>
      </w:r>
    </w:p>
    <w:p>
      <w:pPr>
        <w:pStyle w:val="ListParagraph"/>
        <w:numPr>
          <w:ilvl w:val="0"/>
          <w:numId w:val="73"/>
        </w:numPr>
        <w:rPr/>
      </w:pPr>
      <w:r>
        <w:rPr>
          <w:b/>
          <w:bCs/>
        </w:rPr>
        <w:t>Tax compliance burdens differ.</w:t>
      </w:r>
      <w:r>
        <w:rPr/>
        <w:t xml:space="preserve"> Zambia ranked 17th for paying taxes and Botswana 59th, but Zimbabwe ranked 146th, and Namibia's tax system required 27 payments and 302 hours a year for the standard firm. Combined with the 30% withholding tax on suppliers without tax clearance in Zimbabwe (MD p. 74), this explains why tax clearance is the formalisation step that matters most to anchor buyers.</w:t>
      </w:r>
    </w:p>
    <w:p>
      <w:pPr>
        <w:pStyle w:val="ListParagraph"/>
        <w:numPr>
          <w:ilvl w:val="0"/>
          <w:numId w:val="74"/>
        </w:numPr>
        <w:rPr/>
      </w:pPr>
      <w:r>
        <w:rPr>
          <w:b/>
          <w:bCs/>
        </w:rPr>
        <w:t>Cross-border trade is costly.</w:t>
      </w:r>
      <w:r>
        <w:rPr/>
        <w:t xml:space="preserve"> Four of the five states ranked 138th or lower for trading across borders; only Botswana (55th) performed well. This matters in a transfrontier area where Hwange lodges, Kasane suppliers and Livingstone hotels could source across borders. Small traders face border procedures designed for larger consignments (see the regional frameworks below).</w:t>
      </w:r>
    </w:p>
    <w:p>
      <w:pPr>
        <w:pStyle w:val="Normal"/>
        <w:jc w:val="both"/>
        <w:rPr/>
      </w:pPr>
      <w:r>
        <w:rPr/>
        <w:t>Two further indicators affect specific chains. Getting electricity was slow and costly in Zimbabwe (167th), Angola (156th), Botswana (139th) and Zambia (129th), which raises the cost of processing, cold storage and workshop production for food, nature-positive products and lodge-linked goods, and strengthens the case for solar equipment finance. Registering property was difficult in Namibia (173rd), Angola (167th) and Zambia (149th); although most R-NBT MSMEs operate on communal land that cannot be mortgaged in any case, the rankings show that even freehold property is a slow route to collateral.</w:t>
      </w:r>
    </w:p>
    <w:p>
      <w:pPr>
        <w:pStyle w:val="Heading3"/>
        <w:rPr/>
      </w:pPr>
      <w:r>
        <w:rPr/>
        <w:t>Country profiles</w:t>
      </w:r>
    </w:p>
    <w:p>
      <w:pPr>
        <w:pStyle w:val="Normal"/>
        <w:jc w:val="both"/>
        <w:rPr/>
      </w:pPr>
      <w:r>
        <w:rPr>
          <w:b/>
          <w:bCs/>
        </w:rPr>
        <w:t>Angola</w:t>
      </w:r>
      <w:r>
        <w:rPr/>
        <w:t xml:space="preserve"> (177th) had the weakest business environment of the five, with bottom-ten rankings for getting credit and enforcing contracts. Government has tried to simplify entry: Presidential Decree 40/12 created the Balcão Único do Empreendedor (BUE) in 2012 to simplify the formation and licensing of micro and small enterprises and bring informal activity into the formal economy, and by 2021 a new platform at the Guiché Único da Empresa allowed a company to be created online or in person in about an hour when documents were in order (Ver Angola, 2021). INAPEM certification gives access to tax benefits, and banks ask for the certificate when a company applies for finance (AllAfrica, 2026). Sector rules cap foreign shareholding at 49% in road passenger transport and 50% in road freight (MD p. 26). For Cuando Cubango, the binding constraints are a thin enterprise base, distance from Luanda-based services, and the fact that guiding and logistics for Angolan sites accrue in Namibia (MD p. 118-119).</w:t>
      </w:r>
    </w:p>
    <w:p>
      <w:pPr>
        <w:pStyle w:val="Normal"/>
        <w:jc w:val="both"/>
        <w:rPr/>
      </w:pPr>
      <w:r>
        <w:rPr>
          <w:b/>
          <w:bCs/>
        </w:rPr>
        <w:t>Botswana</w:t>
      </w:r>
      <w:r>
        <w:rPr/>
        <w:t xml:space="preserve"> (87th) combined good rankings for construction permits (44th), trading across borders (55th) and paying taxes (59th) with weak rankings for starting a business (159th), getting electricity (139th) and enforcing contracts (137th). The Companies and Intellectual Property Authority (CIPA) runs an online business registration system, which the Ministry of Trade and Entrepreneurship credits with faster turnaround times. Its 2026/27 budget speech also reported that the World Bank's B-READY 2025 report recognised Botswana's strong legal frameworks and CIPA's digital front door, but flagged insolvency, tax compliance, dispute resolution and market competition as areas needing attention; it announced a home-grown company registration system and a National Collateral Registry to improve SME access to credit (Ministry of Trade and Entrepreneurship, 2026). Sector rules are the most protective of citizen MSMEs in the region: fresh-produce and general-dealer licences, guesthouses and touristic transfer companies are reserved for citizens (MD p. 31-34), Botswana law reserves 35 service sectors for citizens (US International Trade Administration), and the Economic Inclusion Act 2021, in force since April 2022, provides for the participation of targeted citizens in the economy, including through procurement and licensing. These rules create protected demand for citizen suppliers but close processing, distribution and transport to outside equity.</w:t>
      </w:r>
    </w:p>
    <w:p>
      <w:pPr>
        <w:pStyle w:val="Normal"/>
        <w:jc w:val="both"/>
        <w:rPr/>
      </w:pPr>
      <w:r>
        <w:rPr>
          <w:b/>
          <w:bCs/>
        </w:rPr>
        <w:t>Namibia</w:t>
      </w:r>
      <w:r>
        <w:rPr/>
        <w:t xml:space="preserve"> (104th) ranked well for getting electricity (76th) and enforcing contracts (64th), the best of the five states, but poorly for starting a business (165th) and registering property (173rd). Formalisation remains the weak point. In June 2024 the Business and Intellectual Property Authority (BIPA) said it was procuring an integrated online registration system expected within 18 to 24 months (The Brief, 2024); in May 2025 the responsible minister said the existing online system was not working (The Namibian, 2025); and in August 2025 BIPA announced that it would de-register about 1,000 non-compliant companies a month (The Brief, 2025). Namibia was among the new economies covered by the B-READY 2025 report (Ecofin, 2026). In tourism, Namibia has a mature conservancy JV framework but low MSME value capture (MD p. 37, 40), and the end of visa-free travel for 31 countries in April 2025 has affected demand from Europe (Section 7.2).</w:t>
      </w:r>
    </w:p>
    <w:p>
      <w:pPr>
        <w:pStyle w:val="Normal"/>
        <w:jc w:val="both"/>
        <w:rPr/>
      </w:pPr>
      <w:r>
        <w:rPr>
          <w:b/>
          <w:bCs/>
        </w:rPr>
        <w:t>Zambia</w:t>
      </w:r>
      <w:r>
        <w:rPr/>
        <w:t xml:space="preserve"> (85th) had the best overall ranking and strong scores for getting credit (4th) and paying taxes (17th), but weak ones for trading across borders (155th), registering property (149th) and enforcing contracts (130th). Licensing is the main recurring burden: more than a quarter of Zambian firms cite business licensing and permits as a major obstacle, nearly double the regional average, and Zambia is moving to risk-based regulation with World Bank support (World Bank, 2024). After a 2025 benchmarking mission to Mauritius, the Business Regulatory Review Agency (BRRA) began talks with the Ministry of Tourism and the Zambia Tourism Agency on adopting omnibus licensing, in which one licence covers several activities, for the accommodation sub-sector (Zambia Monitor, 2025). Road service licences require at least 25% Zambian membership and all-Zambian directors unless the applicant holds a ZDA licence (MD p. 44), which favours local transport MSMEs.</w:t>
      </w:r>
    </w:p>
    <w:p>
      <w:pPr>
        <w:pStyle w:val="Normal"/>
        <w:jc w:val="both"/>
        <w:rPr/>
      </w:pPr>
      <w:r>
        <w:rPr>
          <w:b/>
          <w:bCs/>
        </w:rPr>
        <w:t>Zimbabwe</w:t>
      </w:r>
      <w:r>
        <w:rPr/>
        <w:t xml:space="preserve"> (140th) rose 15 places in Doing Business 2020 and was among the World Bank's top 20 improvers, with reforms in five areas; improvements in starting a business, including lower business licensing fees in Harare, were the main driver (World Bank, 2019; The Herald). It still ranked low for starting a business (167th), getting electricity (167th), paying taxes (146th) and enforcing contracts (169th). The Zimbabwe Investment and Development Agency (ZIDA) runs a One Stop Investment Services Centre, and in January 2024 ZIDA and ZIMRA signed a memorandum of understanding to integrate their electronic and investor services (ZIMRA, 2024). Ownership rules have tightened. In 2018 the indigenisation law was narrowed to a list of sectors reserved for citizens that included passenger transport and the provision, marketing and distribution of local arts and crafts (Veritas, 2018). Statutory Instrument 215 of 2025 then set new rules for foreign participation in reserved sectors; press reports describe 14 reserved sectors and a requirement for foreign-owned businesses in them to transfer a 75% controlling stake to citizens within three years, although reports differ on the details (ZimLII; Daily News, 2025; Business Times, 2026). This protects MSME space in transport and crafts but deters foreign joint-venture capital in those chains.</w:t>
      </w:r>
    </w:p>
    <w:p>
      <w:pPr>
        <w:pStyle w:val="Heading3"/>
        <w:rPr/>
      </w:pPr>
      <w:r>
        <w:rPr/>
        <w:t>Sector-specific rules in the priority chains</w:t>
      </w:r>
    </w:p>
    <w:p>
      <w:pPr>
        <w:pStyle w:val="Normal"/>
        <w:jc w:val="both"/>
        <w:rPr/>
      </w:pPr>
      <w:r>
        <w:rPr/>
        <w:t>Regulation also shapes which MSMEs can exist in each chain and who can invest in them. The Macro Diagnostic's findings and the later rules described above combine as follows.</w:t>
      </w:r>
    </w:p>
    <w:p>
      <w:pPr>
        <w:pStyle w:val="Normal"/>
        <w:jc w:val="both"/>
        <w:rPr/>
      </w:pPr>
      <w:r>
        <w:rPr>
          <w:b/>
          <w:bCs/>
        </w:rPr>
        <w:t>In Botswana</w:t>
      </w:r>
      <w:r>
        <w:rPr/>
        <w:t>, fresh-produce and general-dealer retail licences are reserved for citizens, small-scale food and beverage manufacturing is closed to foreign shareholding (MD p. 31), foreign equity is banned in touristic transfer companies (MD p. 32, 34) and guesthouses are reserved for citizens (MD p. 34), while the Economic Inclusion Act 2021 promotes the participation of targeted citizens. Together these rules protect MSME space and create demand for citizen suppliers, but they close processing, distribution and transport to outside capital, so growth depends on domestic finance and lodge or DMC contracts.</w:t>
      </w:r>
    </w:p>
    <w:p>
      <w:pPr>
        <w:pStyle w:val="Normal"/>
        <w:jc w:val="both"/>
        <w:rPr/>
      </w:pPr>
      <w:r>
        <w:rPr>
          <w:b/>
          <w:bCs/>
        </w:rPr>
        <w:t>In Zambia</w:t>
      </w:r>
      <w:r>
        <w:rPr/>
        <w:t xml:space="preserve">, road service licences require at least 25% Zambian membership and all-Zambian directors unless the applicant holds a ZDA licence (MD p. 44). This favours local transport MSMEs but limits joint ventures with foreign partners, and the general licensing burden falls heavily on micro-enterprises, which is why omnibus licensing for accommodation is under discussion. </w:t>
      </w:r>
      <w:r>
        <w:rPr>
          <w:b/>
          <w:bCs/>
        </w:rPr>
        <w:t>In Angola</w:t>
      </w:r>
      <w:r>
        <w:rPr/>
        <w:t>, foreign shareholding is capped at 49% in road passenger transport and 50% in road freight (MD p. 26), which requires local partners in a province where the local enterprise base is thin, and the INAPEM certificate that banks request adds a step before finance.</w:t>
      </w:r>
    </w:p>
    <w:p>
      <w:pPr>
        <w:pStyle w:val="Normal"/>
        <w:jc w:val="both"/>
        <w:rPr/>
      </w:pPr>
      <w:r>
        <w:rPr>
          <w:b/>
          <w:bCs/>
        </w:rPr>
        <w:t>In Zimbabwe</w:t>
      </w:r>
      <w:r>
        <w:rPr/>
        <w:t xml:space="preserve">, an anchor operator reports a 30% withholding tax on payments to suppliers without tax clearance (MD p. 74), a strong penalty on informality that makes tax clearance a precondition for supplying anchors. Passenger transport and local arts and crafts are reserved for citizens, and SI 215 of 2025 tightened the rules on foreign participation, protecting MSME space in these chains while deterring foreign JV capital. </w:t>
      </w:r>
      <w:r>
        <w:rPr>
          <w:b/>
          <w:bCs/>
        </w:rPr>
        <w:t>In Namibia</w:t>
      </w:r>
      <w:r>
        <w:rPr/>
        <w:t xml:space="preserve">, the conservancy JV framework is mature but MSME value capture is low, the end of visa-free travel for 31 countries in April 2025 has shifted some demand (MD p. 117-118), which affects supplier viability, and slow company registration delays formalisation. </w:t>
      </w:r>
      <w:r>
        <w:rPr>
          <w:b/>
          <w:bCs/>
        </w:rPr>
        <w:t>At regional level</w:t>
      </w:r>
      <w:r>
        <w:rPr/>
        <w:t>, the KAZA Univisa and the COMESA Simplified Trade Regime both cover only Zambia and Zimbabwe, and cross-border supply chains are less evidenced than visitor flows (MD p. 117-118), which limits cross-border sourcing and multi-country itineraries for MSMEs.</w:t>
      </w:r>
    </w:p>
    <w:p>
      <w:pPr>
        <w:pStyle w:val="Heading3"/>
        <w:rPr/>
      </w:pPr>
      <w:r>
        <w:rPr/>
        <w:t>Regional frameworks</w:t>
      </w:r>
    </w:p>
    <w:p>
      <w:pPr>
        <w:pStyle w:val="Normal"/>
        <w:jc w:val="both"/>
        <w:rPr/>
      </w:pPr>
      <w:r>
        <w:rPr/>
        <w:t xml:space="preserve">The KAZA Treaty and the SADC Protocol on Trade provide the framework for transfrontier tourism and trade, but MSMEs feel the regional frameworks mainly through visas and border procedures. The </w:t>
      </w:r>
      <w:r>
        <w:rPr>
          <w:b/>
          <w:bCs/>
        </w:rPr>
        <w:t>KAZA Univisa</w:t>
      </w:r>
      <w:r>
        <w:rPr/>
        <w:t xml:space="preserve"> is used in Zambia and Zimbabwe and covers day trips into Botswana through Kazungula. At the KAZA heads of state summit in Livingstone in 2024, the five Partner States agreed in principle to broaden its use, and Botswana's Vice President said Botswana would fully adopt it, but no implementation date was given (TimesLIVE, 2024). Multi-country itineraries, which favour guiding, transfer and activity MSMEs along the Victoria Falls-Chobe corridor, therefore remain more costly to sell than they need to be.</w:t>
      </w:r>
    </w:p>
    <w:p>
      <w:pPr>
        <w:pStyle w:val="Normal"/>
        <w:jc w:val="both"/>
        <w:rPr/>
      </w:pPr>
      <w:r>
        <w:rPr/>
        <w:t xml:space="preserve">For small-scale suppliers, the </w:t>
      </w:r>
      <w:r>
        <w:rPr>
          <w:b/>
          <w:bCs/>
        </w:rPr>
        <w:t>COMESA Simplified Trade Regime</w:t>
      </w:r>
      <w:r>
        <w:rPr/>
        <w:t xml:space="preserve"> (STR) allows traders to move small consignments across borders with simplified documents. The COMESA threshold is USD 2,000 per consignment, adopted in 2014 and recommended to be maintained in a 2025 review (COMESA, 2025), but Zimbabwe has applied a lower limit because of exchange-control rules (ZIMRA). The STR applies between Zambia and Zimbabwe, both COMESA members, but not to Botswana, Namibia or Angola. Uptake has been low. A simplified regime that also covered the other KAZA states, together with awareness and border-staff practice at the Kazungula one-stop border post, could help women traders and small producers supply lodges across borders.</w:t>
      </w:r>
    </w:p>
    <w:p>
      <w:pPr>
        <w:pStyle w:val="Normal"/>
        <w:jc w:val="both"/>
        <w:rPr/>
      </w:pPr>
      <w:r>
        <w:rPr>
          <w:b/>
          <w:bCs/>
        </w:rPr>
        <w:t>Implications for readiness.</w:t>
      </w:r>
      <w:r>
        <w:rPr/>
        <w:t xml:space="preserve"> Regulation in KAZA is not the main reason MSMEs are not investment-ready, but it raises the cost of every step on the readiness pathway: registration takes weeks, tax clearance is costly in Zimbabwe, contracts cannot be relied on in court, and cross-border sourcing is hard. Programmes should therefore (i) help MSMEs through registration and tax clearance when a contract requires it, using one-stop centres where they work; (ii) design supplier finance around anchor-buyer payment routing rather than court enforcement; (iii) use Zambia's movable-collateral framework, Zimbabwe's collateral registry and Botswana's planned National Collateral Registry for small-supplier lending; and (iv) work with the KAZA Secretariat on Univisa adoption and a simplified regime for small cross-border suppliers.</w:t>
      </w:r>
    </w:p>
    <w:p>
      <w:pPr>
        <w:pStyle w:val="Heading2"/>
        <w:rPr/>
      </w:pPr>
      <w:bookmarkStart w:id="29" w:name="__RefHeading___Toc1309_3920751122"/>
      <w:bookmarkEnd w:id="29"/>
      <w:r>
        <w:rPr/>
        <w:t>7.2 Market Access and Linkages with Larger Operators</w:t>
      </w:r>
    </w:p>
    <w:p>
      <w:pPr>
        <w:pStyle w:val="Normal"/>
        <w:jc w:val="both"/>
        <w:rPr/>
      </w:pPr>
      <w:r>
        <w:rPr/>
        <w:t>The Macro Diagnostic's findings on market access are clear. Demand exists: lodges want to buy locally, and the constraint is supplier reliability and readiness (MD p. 70-71, 128, 132). Entry can be quick once a supplier is ready; in Zimbabwe, new suppliers typically need only two or three successful bookings before being listed regularly (MD p. 75). Buyers set the bar: reliability matters more than price, new suppliers must match the largest incumbent supplier on price and quality, and support is best directed at enterprises already showing momentum (MD p. 68). Marketing, operator confidence and trade-show costs are obstacles for new suppliers (MD p. 75), and limited airline competition and high fares constrain the Victoria Falls corridor (MD p. 84, 117). Evidence from outside the diagnostic supports these findings and adds detail on the size of the market, what anchor procurement programmes have achieved, and what happens when linkages are weak.</w:t>
      </w:r>
    </w:p>
    <w:p>
      <w:pPr>
        <w:pStyle w:val="Heading3"/>
        <w:rPr/>
      </w:pPr>
      <w:r>
        <w:rPr/>
        <w:t>The size and direction of tourism demand</w:t>
      </w:r>
    </w:p>
    <w:p>
      <w:pPr>
        <w:pStyle w:val="Normal"/>
        <w:jc w:val="both"/>
        <w:rPr/>
      </w:pPr>
      <w:r>
        <w:rPr/>
        <w:t>Visitor demand has largely recovered from the pandemic, but it is volatile and policy-sensitive. Namibia received 1,345,168 international visitors in 2025, 6.9% fewer than the 1,444,174 recorded in 2024, while tourist arrivals alone fell by 3.2% (The Namibian, 2026). European tourist arrivals fell by 21%, a drop the tourism ministry linked both to the April 2025 change in visa policy and to safety concerns (The Namibian, 2026). Visitors from non-African countries now pay N$1,600 for a visa on arrival, which the tourism federation FENATA describes as one of the highest fees in the region, and operators reported delays and inconsistent implementation in the first months (Tourism Update, 2025). In Zimbabwe, international arrivals rose by 27% to 751,483 in the first half of 2024, and tourism receipts, including domestic spending, reached an estimated USD 493 million in that half-year (Equity Axis, 2025, citing UN Tourism). Botswana recorded between 391,264 and 421,744 international tourist arrivals a quarter in the second to fourth quarters of 2024, about three-quarters of them from SADC countries (Statistics Botswana, 2026). For MSMEs, the lesson is that demand is large enough to support local supply chains but can shift between neighbouring destinations quickly, as the Macro Diagnostic observes for Namibia and Kasane/Chobe (MD p. 117-118). Suppliers with several buyers, or buyers in more than one destination, are more resilient.</w:t>
      </w:r>
    </w:p>
    <w:p>
      <w:pPr>
        <w:pStyle w:val="Heading3"/>
        <w:rPr/>
      </w:pPr>
      <w:r>
        <w:rPr/>
        <w:t>What anchor procurement programmes show</w:t>
      </w:r>
    </w:p>
    <w:p>
      <w:pPr>
        <w:pStyle w:val="Normal"/>
        <w:jc w:val="both"/>
        <w:rPr/>
      </w:pPr>
      <w:r>
        <w:rPr>
          <w:b/>
          <w:bCs/>
        </w:rPr>
        <w:t>Wilderness in Botswana</w:t>
      </w:r>
      <w:r>
        <w:rPr/>
        <w:t xml:space="preserve"> is the best-documented case of anchor-led local procurement in KAZA. It reports buying about BWP 292 million a year from Botswana-registered businesses, more than 80% of its procurement by value (Daily News, 2025), and its 2026 impact report puts the share at more than 86% when aviation, which must source parts internationally, is excluded (ATTA, 2026). Local procurement is not the same as MSME procurement, however. Wilderness's first Local Supplier Expo in Maun in 2024 hosted 110 local vendors and led to more than BWP 6.2 million of new contracts for citizen-owned businesses, a figure that had passed BWP 8 million by mid-2025 (Daily News, 2025), and 68 businesses have joined its supplier development programme (Mmegi, 2026). New contracts of this size are equivalent to about 3% of the company's annual local purchases, which shows both that small citizen suppliers can be brought into a large operator's supply chain and how much room remains. The programme is linked to finance through a 2025 memorandum with Stanbic Bank Botswana, under which Stanbic lends to SMMEs holding Wilderness supply contracts without traditional collateral and is repaid from contract payments that the suppliers cede to the bank (Mmegi, 2025), and to BDS through a 2026 memorandum with LEA that launched a Citizen Economic Empowerment Programme (Mmegi, 2026).</w:t>
      </w:r>
    </w:p>
    <w:p>
      <w:pPr>
        <w:pStyle w:val="Normal"/>
        <w:jc w:val="both"/>
        <w:rPr/>
      </w:pPr>
      <w:r>
        <w:rPr>
          <w:b/>
          <w:bCs/>
        </w:rPr>
        <w:t>Gondwana Collection in Namibia</w:t>
      </w:r>
      <w:r>
        <w:rPr/>
        <w:t xml:space="preserve"> supports Namibian-owned suppliers and wholesalers and diversifies its supplier base by supporting small enterprises near its lodges (Gondwana Collection). At its Etosha King Nehale lodge, more than 80% of the items in the curio shop are locally crafted (Gondwana Collection). This is a useful counterpoint to the finding that about 80% of lodge décor in the Kavango and Zambezi regions is imported (MD p. 70): where an operator builds local sourcing into design and procurement from the start, local suppliers can meet lodge specifications.</w:t>
      </w:r>
    </w:p>
    <w:p>
      <w:pPr>
        <w:pStyle w:val="Normal"/>
        <w:jc w:val="both"/>
        <w:rPr/>
      </w:pPr>
      <w:r>
        <w:rPr>
          <w:b/>
          <w:bCs/>
        </w:rPr>
        <w:t>Hotels in Livingstone</w:t>
      </w:r>
      <w:r>
        <w:rPr/>
        <w:t xml:space="preserve"> have brought smallholder farmers into their supply chains. The Royal Livingstone hotel runs a fortnightly smallholder farmers' market at which it buys crops directly from local smallholders, who previously relied on roadside sales and middlemen, and it helped save the Maramba Women's Mushroom Farm, whose members now sell most of their produce to local hotels and resorts under long-term contracts (Anantara, operator-reported). A University of Pretoria doctoral study of tourism-agriculture linkages in Livingstone found that local procurement is the dominant channel and includes smallholders, but that supply, demand and marketing constraints limit how deeply smallholders are integrated (Nsanzya, University of Pretoria). These findings mirror the Macro Diagnostic's evidence from Hwange (MD p. 75).</w:t>
      </w:r>
    </w:p>
    <w:p>
      <w:pPr>
        <w:pStyle w:val="Heading3"/>
        <w:rPr/>
      </w:pPr>
      <w:r>
        <w:rPr/>
        <w:t>The cost of weak linkages</w:t>
      </w:r>
    </w:p>
    <w:p>
      <w:pPr>
        <w:pStyle w:val="Normal"/>
        <w:jc w:val="both"/>
        <w:rPr/>
      </w:pPr>
      <w:r>
        <w:rPr/>
        <w:t>Earlier research shows what is at stake. A study of the Okavango Delta found that foreign ownership of tourism facilities led to revenue being repatriated, that expatriates dominated management, and that weak links with the domestic economy, particularly agriculture, limited tourism's contribution to rural development (Mbaiwa, 2005). The problem persists: Botswana's tourism ministry has said it is reviewing the Tourism Act to require tourists to pay in full in Botswana, in local currency, because of revenue repatriation, and is finalising a Tourism Leakages Study (Daily News). ODI's value-chain studies of tourism destinations found that the share of destination revenue reaching poor households ranged from about 5% to more than 25% depending on context (Ashley and Mitchell, 2007). The priority chains identified in this assessment are the main levers for raising that share in KAZA.</w:t>
      </w:r>
    </w:p>
    <w:p>
      <w:pPr>
        <w:pStyle w:val="Heading3"/>
        <w:rPr/>
      </w:pPr>
      <w:r>
        <w:rPr/>
        <w:t>Implications for linkage programmes</w:t>
      </w:r>
    </w:p>
    <w:p>
      <w:pPr>
        <w:pStyle w:val="ListParagraph"/>
        <w:numPr>
          <w:ilvl w:val="0"/>
          <w:numId w:val="75"/>
        </w:numPr>
        <w:rPr/>
      </w:pPr>
      <w:r>
        <w:rPr>
          <w:b/>
          <w:bCs/>
        </w:rPr>
        <w:t>Work through procurement teams, not only enterprises.</w:t>
      </w:r>
      <w:r>
        <w:rPr/>
        <w:t xml:space="preserve"> The Wilderness and Gondwana cases show that local sourcing rises when anchors set targets, specify products in advance and nominate suppliers for development.</w:t>
      </w:r>
    </w:p>
    <w:p>
      <w:pPr>
        <w:pStyle w:val="ListParagraph"/>
        <w:numPr>
          <w:ilvl w:val="0"/>
          <w:numId w:val="76"/>
        </w:numPr>
        <w:rPr/>
      </w:pPr>
      <w:r>
        <w:rPr>
          <w:b/>
          <w:bCs/>
        </w:rPr>
        <w:t>Use anchor programmes as the gateway to finance.</w:t>
      </w:r>
      <w:r>
        <w:rPr/>
        <w:t xml:space="preserve"> Contract-backed finance (Wilderness-Stanbic) and supplier-development BDS (Wilderness-LEA) can be replicated with other operators and banks in Botswana, Zambia and Zimbabwe.</w:t>
      </w:r>
    </w:p>
    <w:p>
      <w:pPr>
        <w:pStyle w:val="ListParagraph"/>
        <w:numPr>
          <w:ilvl w:val="0"/>
          <w:numId w:val="77"/>
        </w:numPr>
        <w:rPr/>
      </w:pPr>
      <w:r>
        <w:rPr>
          <w:b/>
          <w:bCs/>
        </w:rPr>
        <w:t>Track MSME share as well as local share.</w:t>
      </w:r>
      <w:r>
        <w:rPr/>
        <w:t xml:space="preserve"> Destination baselines (MD p. 140-141) should record how much of local procurement goes to MSMEs, women- and youth-led enterprises and community enterprises, not only to local companies.</w:t>
      </w:r>
    </w:p>
    <w:p>
      <w:pPr>
        <w:pStyle w:val="ListParagraph"/>
        <w:numPr>
          <w:ilvl w:val="0"/>
          <w:numId w:val="78"/>
        </w:numPr>
        <w:rPr/>
      </w:pPr>
      <w:r>
        <w:rPr>
          <w:b/>
          <w:bCs/>
        </w:rPr>
        <w:t>Build multi-buyer and cross-border supply.</w:t>
      </w:r>
      <w:r>
        <w:rPr/>
        <w:t xml:space="preserve"> Aggregators that can supply several lodges, or lodges on both sides of a border, reduce the risk that demand shifts between destinations.</w:t>
      </w:r>
    </w:p>
    <w:p>
      <w:pPr>
        <w:pStyle w:val="ListParagraph"/>
        <w:numPr>
          <w:ilvl w:val="0"/>
          <w:numId w:val="79"/>
        </w:numPr>
        <w:rPr/>
      </w:pPr>
      <w:r>
        <w:rPr>
          <w:b/>
          <w:bCs/>
        </w:rPr>
        <w:t>Address payment terms.</w:t>
      </w:r>
      <w:r>
        <w:rPr/>
        <w:t xml:space="preserve"> Micro-suppliers often finance goods for weeks between delivery and payment; faster payment by the anchor, or receivables finance, should be part of any supplier-development agreement.</w:t>
      </w:r>
    </w:p>
    <w:p>
      <w:pPr>
        <w:pStyle w:val="Heading2"/>
        <w:rPr/>
      </w:pPr>
      <w:bookmarkStart w:id="30" w:name="__RefHeading___Toc1311_3920751122"/>
      <w:bookmarkEnd w:id="30"/>
      <w:r>
        <w:rPr/>
        <w:t>7.3 Business Development Services</w:t>
      </w:r>
    </w:p>
    <w:p>
      <w:pPr>
        <w:pStyle w:val="Normal"/>
        <w:jc w:val="both"/>
        <w:rPr/>
      </w:pPr>
      <w:r>
        <w:rPr/>
        <w:t>BDS is available in all five states but is generic, concentrated in capitals and weakly connected to finance (Section 6.2). The Macro Diagnostic recommends linking supplier development to real contracts: where a supplier has a credible buyer but lacks capacity, certification, systems or working capital, the programme should close that specific constraint (MD p. 147). This section profiles the main BSOs in each country, their current programmes and how far they reach into KAZA.</w:t>
      </w:r>
    </w:p>
    <w:p>
      <w:pPr>
        <w:pStyle w:val="Heading3"/>
        <w:rPr/>
      </w:pPr>
      <w:r>
        <w:rPr/>
        <w:t>Angola</w:t>
      </w:r>
    </w:p>
    <w:p>
      <w:pPr>
        <w:pStyle w:val="Normal"/>
        <w:jc w:val="both"/>
        <w:rPr/>
      </w:pPr>
      <w:r>
        <w:rPr>
          <w:b/>
          <w:bCs/>
        </w:rPr>
        <w:t>INAPEM</w:t>
      </w:r>
      <w:r>
        <w:rPr/>
        <w:t xml:space="preserve"> (Instituto Nacional de Apoio às Micro, Pequenas e Médias Empresas) is the lead public BSO. It certifies MSMEs, which gives access to tax benefits and is requested by banks for loan applications; in Benguela province alone it certified 3,595 enterprises in 2025, of which 3,137 were micro, 321 small and 137 medium (AllAfrica, 2026). It also provides training and business-plan support. The EU-funded Envolver project (2019-2024) qualified 2,384 MSMEs and trained 574 financial-institution staff and 376 mentors, and its successor, Envolver+, an EU twinning project led by Portugal's IAPMEI with Spain and Germany, is helping INAPEM to create and manage a national network of certified incubators between September 2025 and June 2028 with a budget of EUR 2.5 million (Ver Angola, 2025; FIIAPP). INAPEM's first decentralised incubation programme, Tuendi, started in Huíla province (Forbes África Lusófona, 2025). Other BSOs include the one-stop </w:t>
      </w:r>
      <w:r>
        <w:rPr>
          <w:b/>
          <w:bCs/>
        </w:rPr>
        <w:t>Balcão Único do Empreendedor</w:t>
      </w:r>
      <w:r>
        <w:rPr/>
        <w:t xml:space="preserve"> and Guiché Único da Empresa for registration, </w:t>
      </w:r>
      <w:r>
        <w:rPr>
          <w:b/>
          <w:bCs/>
        </w:rPr>
        <w:t>AIPEX</w:t>
      </w:r>
      <w:r>
        <w:rPr/>
        <w:t xml:space="preserve"> for investment facilitation, the </w:t>
      </w:r>
      <w:r>
        <w:rPr>
          <w:b/>
          <w:bCs/>
        </w:rPr>
        <w:t>Câmara de Comércio e Indústria de Angola</w:t>
      </w:r>
      <w:r>
        <w:rPr/>
        <w:t xml:space="preserve">, and Luanda-based hospitality and travel associations. In Cuando Cubango, the provincial government, </w:t>
      </w:r>
      <w:r>
        <w:rPr>
          <w:b/>
          <w:bCs/>
        </w:rPr>
        <w:t>MINTUR</w:t>
      </w:r>
      <w:r>
        <w:rPr/>
        <w:t>, the conservation area authority and NGOs such as The HALO Trust and the National Geographic Okavango Wilderness Project are more present than enterprise BSOs (Financial Landscape Analysis). No tourism-specific BDS was identified in the KAZA area.</w:t>
      </w:r>
    </w:p>
    <w:p>
      <w:pPr>
        <w:pStyle w:val="Heading3"/>
        <w:rPr/>
      </w:pPr>
      <w:r>
        <w:rPr/>
        <w:t>Botswana</w:t>
      </w:r>
    </w:p>
    <w:p>
      <w:pPr>
        <w:pStyle w:val="Normal"/>
        <w:jc w:val="both"/>
        <w:rPr/>
      </w:pPr>
      <w:r>
        <w:rPr/>
        <w:t xml:space="preserve">The </w:t>
      </w:r>
      <w:r>
        <w:rPr>
          <w:b/>
          <w:bCs/>
        </w:rPr>
        <w:t>Local Enterprise Authority (LEA)</w:t>
      </w:r>
      <w:r>
        <w:rPr/>
        <w:t xml:space="preserve"> is the lead BSO for citizen MSMEs, providing business development, mentoring and supplier-readiness support, including record-keeping support to tourism enterprises (Financial Landscape Analysis). Its 2026 memorandum of understanding with Wilderness, which launched a Citizen Economic Empowerment Programme to bring more citizen-owned businesses into the company's supply chain, is the most direct tourism supplier-development partnership in KAZA (Mmegi, 2026). </w:t>
      </w:r>
      <w:r>
        <w:rPr>
          <w:b/>
          <w:bCs/>
        </w:rPr>
        <w:t>CEDA</w:t>
      </w:r>
      <w:r>
        <w:rPr/>
        <w:t xml:space="preserve"> provides citizen enterprise finance with post-loan mentoring. The </w:t>
      </w:r>
      <w:r>
        <w:rPr>
          <w:b/>
          <w:bCs/>
        </w:rPr>
        <w:t>Botswana Tourism Organisation (BTO)</w:t>
      </w:r>
      <w:r>
        <w:rPr/>
        <w:t xml:space="preserve"> supports grading, product development and citizen tourism enterprise. </w:t>
      </w:r>
      <w:r>
        <w:rPr>
          <w:b/>
          <w:bCs/>
        </w:rPr>
        <w:t>HATAB</w:t>
      </w:r>
      <w:r>
        <w:rPr/>
        <w:t xml:space="preserve"> represents the hospitality industry and has a partnership with Stanbic Bank Botswana to advance tourism, </w:t>
      </w:r>
      <w:r>
        <w:rPr>
          <w:b/>
          <w:bCs/>
        </w:rPr>
        <w:t>WIBA</w:t>
      </w:r>
      <w:r>
        <w:rPr/>
        <w:t xml:space="preserve"> supports women entrepreneurs, and the </w:t>
      </w:r>
      <w:r>
        <w:rPr>
          <w:b/>
          <w:bCs/>
        </w:rPr>
        <w:t>Botswana Guides Association</w:t>
      </w:r>
      <w:r>
        <w:rPr/>
        <w:t xml:space="preserve"> and </w:t>
      </w:r>
      <w:r>
        <w:rPr>
          <w:b/>
          <w:bCs/>
        </w:rPr>
        <w:t>BOCOBONET</w:t>
      </w:r>
      <w:r>
        <w:rPr/>
        <w:t xml:space="preserve"> represent guides and community trusts (Financial Landscape Analysis). Private anchor programmes, notably Wilderness's supplier development programme and Local Supplier Expo, now act as BSOs in their own right (Section 7.2).</w:t>
      </w:r>
    </w:p>
    <w:p>
      <w:pPr>
        <w:pStyle w:val="Heading3"/>
        <w:rPr/>
      </w:pPr>
      <w:r>
        <w:rPr/>
        <w:t>Namibia</w:t>
      </w:r>
    </w:p>
    <w:p>
      <w:pPr>
        <w:pStyle w:val="Normal"/>
        <w:jc w:val="both"/>
        <w:rPr/>
      </w:pPr>
      <w:r>
        <w:rPr/>
        <w:t xml:space="preserve">The </w:t>
      </w:r>
      <w:r>
        <w:rPr>
          <w:b/>
          <w:bCs/>
        </w:rPr>
        <w:t>Namibia Investment Promotion and Development Board (NIPDB)</w:t>
      </w:r>
      <w:r>
        <w:rPr/>
        <w:t xml:space="preserve"> is the national coordinator of MSME development across sectors (NIPDB). Its K2G High Potential Pool supports export-ready micro and small businesses with at least 51% Namibian ownership for 36 months; NIPDB does not lend or give grants itself, but partner banks pledged N$300,000 to the pool in 2023 (NIPDB). With the National Planning Commission and GIZ, NIPDB also runs an N$18 million SME fund financed by the German development ministry, which offers grants of N$50,000 to N$100,000 with pitch coaching and business advice and gives priority to youth-owned (aged 18 to 34) and women-owned businesses, social enterprises and cooperatives (The Namibian). </w:t>
      </w:r>
      <w:r>
        <w:rPr>
          <w:b/>
          <w:bCs/>
        </w:rPr>
        <w:t>BIPA</w:t>
      </w:r>
      <w:r>
        <w:rPr/>
        <w:t xml:space="preserve"> handles registration (Section 7.1). The </w:t>
      </w:r>
      <w:r>
        <w:rPr>
          <w:b/>
          <w:bCs/>
        </w:rPr>
        <w:t>Namibia Chamber of Commerce and Industry</w:t>
      </w:r>
      <w:r>
        <w:rPr/>
        <w:t xml:space="preserve"> has branches in the Zambezi and Kavango regions, and the </w:t>
      </w:r>
      <w:r>
        <w:rPr>
          <w:b/>
          <w:bCs/>
        </w:rPr>
        <w:t>Namibia Tourism Board</w:t>
      </w:r>
      <w:r>
        <w:rPr/>
        <w:t xml:space="preserve">, </w:t>
      </w:r>
      <w:r>
        <w:rPr>
          <w:b/>
          <w:bCs/>
        </w:rPr>
        <w:t>FENATA</w:t>
      </w:r>
      <w:r>
        <w:rPr/>
        <w:t xml:space="preserve">, </w:t>
      </w:r>
      <w:r>
        <w:rPr>
          <w:b/>
          <w:bCs/>
        </w:rPr>
        <w:t>HAN</w:t>
      </w:r>
      <w:r>
        <w:rPr/>
        <w:t xml:space="preserve"> and the Tour and Safari Association represent and register tourism businesses. For community enterprise, </w:t>
      </w:r>
      <w:r>
        <w:rPr>
          <w:b/>
          <w:bCs/>
        </w:rPr>
        <w:t>NACSO</w:t>
      </w:r>
      <w:r>
        <w:rPr/>
        <w:t xml:space="preserve">, </w:t>
      </w:r>
      <w:r>
        <w:rPr>
          <w:b/>
          <w:bCs/>
        </w:rPr>
        <w:t>IRDNC</w:t>
      </w:r>
      <w:r>
        <w:rPr/>
        <w:t xml:space="preserve"> and the </w:t>
      </w:r>
      <w:r>
        <w:rPr>
          <w:b/>
          <w:bCs/>
        </w:rPr>
        <w:t>Namibia Nature Foundation</w:t>
      </w:r>
      <w:r>
        <w:rPr/>
        <w:t xml:space="preserve"> have long supported conservancies in the Zambezi and Kavango regions, and the </w:t>
      </w:r>
      <w:r>
        <w:rPr>
          <w:b/>
          <w:bCs/>
        </w:rPr>
        <w:t>Development Bank of Namibia</w:t>
      </w:r>
      <w:r>
        <w:rPr/>
        <w:t xml:space="preserve"> combines tourism finance with advisory support (Financial Landscape Analysis). NIPDB's programmes are national and not tourism-specific, so a KAZA supplier-development service would need to be built with the conservancy support organisations and lodge operators.</w:t>
      </w:r>
    </w:p>
    <w:p>
      <w:pPr>
        <w:pStyle w:val="Heading3"/>
        <w:rPr/>
      </w:pPr>
      <w:r>
        <w:rPr/>
        <w:t>Zambia</w:t>
      </w:r>
    </w:p>
    <w:p>
      <w:pPr>
        <w:pStyle w:val="Normal"/>
        <w:jc w:val="both"/>
        <w:rPr/>
      </w:pPr>
      <w:r>
        <w:rPr/>
        <w:t xml:space="preserve">The </w:t>
      </w:r>
      <w:r>
        <w:rPr>
          <w:b/>
          <w:bCs/>
        </w:rPr>
        <w:t>Zambia Development Agency (ZDA)</w:t>
      </w:r>
      <w:r>
        <w:rPr/>
        <w:t xml:space="preserve"> promotes MSME development and investment, and the </w:t>
      </w:r>
      <w:r>
        <w:rPr>
          <w:b/>
          <w:bCs/>
        </w:rPr>
        <w:t>Citizens Economic Empowerment Commission (CEEC)</w:t>
      </w:r>
      <w:r>
        <w:rPr/>
        <w:t xml:space="preserve"> provides concessional finance. The two have signed an agreement to provide SMEs with both financial and non-financial business development services, enrol high-potential businesses in entrepreneurship programmes and link funded SMEs and cooperatives to supermarkets and regional markets such as COMESA (Zambia Monitor). The </w:t>
      </w:r>
      <w:r>
        <w:rPr>
          <w:b/>
          <w:bCs/>
        </w:rPr>
        <w:t>Ministry of Small and Medium Enterprise Development</w:t>
      </w:r>
      <w:r>
        <w:rPr/>
        <w:t xml:space="preserve"> sets MSME policy, the </w:t>
      </w:r>
      <w:r>
        <w:rPr>
          <w:b/>
          <w:bCs/>
        </w:rPr>
        <w:t>BRRA</w:t>
      </w:r>
      <w:r>
        <w:rPr/>
        <w:t xml:space="preserve"> leads licensing reform, and the </w:t>
      </w:r>
      <w:r>
        <w:rPr>
          <w:b/>
          <w:bCs/>
        </w:rPr>
        <w:t>Zambia Chamber of Small and Medium Business Associations</w:t>
      </w:r>
      <w:r>
        <w:rPr/>
        <w:t xml:space="preserve"> represents MSMEs. In tourism, the </w:t>
      </w:r>
      <w:r>
        <w:rPr>
          <w:b/>
          <w:bCs/>
        </w:rPr>
        <w:t>Tourism Council of Zambia</w:t>
      </w:r>
      <w:r>
        <w:rPr/>
        <w:t xml:space="preserve"> and the </w:t>
      </w:r>
      <w:r>
        <w:rPr>
          <w:b/>
          <w:bCs/>
        </w:rPr>
        <w:t>Livingstone Tourism Association</w:t>
      </w:r>
      <w:r>
        <w:rPr/>
        <w:t xml:space="preserve"> represent operators, and the </w:t>
      </w:r>
      <w:r>
        <w:rPr>
          <w:b/>
          <w:bCs/>
        </w:rPr>
        <w:t>Hotel and Tourism Training Institute</w:t>
      </w:r>
      <w:r>
        <w:rPr/>
        <w:t xml:space="preserve"> and Livingstone's tourism university provide skills (Financial Landscape Analysis). Youth-focused BDS is emerging: in June 2025, UNDP and the Ministry of Youth, Sport and Arts launched a programme, implemented by BongoHive, to support 200 youth-led MSMEs in Livingstone, Kitwe and Lusaka, with grants for the five best performers in a regional pitch competition (UNDP Zambia, 2025). </w:t>
      </w:r>
      <w:r>
        <w:rPr>
          <w:b/>
          <w:bCs/>
        </w:rPr>
        <w:t>Peace Parks Foundation</w:t>
      </w:r>
      <w:r>
        <w:rPr/>
        <w:t xml:space="preserve"> supports community enterprise around Simalaha and Sioma Ngwezi.</w:t>
      </w:r>
    </w:p>
    <w:p>
      <w:pPr>
        <w:pStyle w:val="Heading3"/>
        <w:rPr/>
      </w:pPr>
      <w:r>
        <w:rPr/>
        <w:t>Zimbabwe</w:t>
      </w:r>
    </w:p>
    <w:p>
      <w:pPr>
        <w:pStyle w:val="Normal"/>
        <w:jc w:val="both"/>
        <w:rPr/>
      </w:pPr>
      <w:r>
        <w:rPr/>
        <w:t xml:space="preserve">The </w:t>
      </w:r>
      <w:r>
        <w:rPr>
          <w:b/>
          <w:bCs/>
        </w:rPr>
        <w:t>Small and Medium Enterprises Development Corporation (SMEDCO)</w:t>
      </w:r>
      <w:r>
        <w:rPr/>
        <w:t xml:space="preserve">, a state development finance institution, combines lending with capacity building for MSMEs and cooperatives. It is rolling out a USD 15 million programme to build commercial and industrial facilities for small businesses in key economic centres (Business Times), and it has signed a memorandum of understanding with the Zimbabwe Stock Exchange to help SMEs prepare for the new Zimbabwe Entrepreneurship Exchange (ZEEX), including support for formalisation, governance and investment readiness (Newsday, 2026). </w:t>
      </w:r>
      <w:r>
        <w:rPr>
          <w:b/>
          <w:bCs/>
        </w:rPr>
        <w:t>ZIDA</w:t>
      </w:r>
      <w:r>
        <w:rPr/>
        <w:t xml:space="preserve">'s one-stop centre handles investor registration, tax and licensing services (Section 7.1). </w:t>
      </w:r>
      <w:r>
        <w:rPr>
          <w:b/>
          <w:bCs/>
        </w:rPr>
        <w:t>ZimTrade</w:t>
      </w:r>
      <w:r>
        <w:rPr/>
        <w:t xml:space="preserve"> supports market linkages and exports, and the </w:t>
      </w:r>
      <w:r>
        <w:rPr>
          <w:b/>
          <w:bCs/>
        </w:rPr>
        <w:t>Zimbabwe Tourism Authority</w:t>
      </w:r>
      <w:r>
        <w:rPr/>
        <w:t xml:space="preserve"> registers and grades tourism businesses. The </w:t>
      </w:r>
      <w:r>
        <w:rPr>
          <w:b/>
          <w:bCs/>
        </w:rPr>
        <w:t>Tourism Business Council of Zimbabwe</w:t>
      </w:r>
      <w:r>
        <w:rPr/>
        <w:t xml:space="preserve">, the Hospitality Association of Zimbabwe and guiding and safari associations represent operators, and the </w:t>
      </w:r>
      <w:r>
        <w:rPr>
          <w:b/>
          <w:bCs/>
        </w:rPr>
        <w:t>CAMPFIRE Association</w:t>
      </w:r>
      <w:r>
        <w:rPr/>
        <w:t xml:space="preserve"> represents communities in CAMPFIRE districts such as Hwange and Binga. Women- and youth-focused finance comes from the Zimbabwe Women's Microfinance Bank and EmpowerBank (Financial Landscape Analysis).</w:t>
      </w:r>
    </w:p>
    <w:p>
      <w:pPr>
        <w:pStyle w:val="Heading3"/>
        <w:rPr/>
      </w:pPr>
      <w:r>
        <w:rPr/>
        <w:t>Regional and cross-cutting BSOs</w:t>
      </w:r>
    </w:p>
    <w:p>
      <w:pPr>
        <w:pStyle w:val="Normal"/>
        <w:jc w:val="both"/>
        <w:rPr/>
      </w:pPr>
      <w:r>
        <w:rPr/>
        <w:t xml:space="preserve">The </w:t>
      </w:r>
      <w:r>
        <w:rPr>
          <w:b/>
          <w:bCs/>
        </w:rPr>
        <w:t>KAZA Secretariat</w:t>
      </w:r>
      <w:r>
        <w:rPr/>
        <w:t xml:space="preserve"> in Kasane coordinates transfrontier tourism, including the Univisa. Conservation NGOs (Peace Parks Foundation, WWF, Conservation International, the African Wildlife Foundation and national partners) support community enterprise, and training institutions in Maun, Katima Mulilo, Livingstone and Hwange could host incubation. Tourism associations exist in every state but rarely provide supplier development.</w:t>
      </w:r>
    </w:p>
    <w:p>
      <w:pPr>
        <w:pStyle w:val="Normal"/>
        <w:jc w:val="both"/>
        <w:rPr/>
      </w:pPr>
      <w:r>
        <w:rPr>
          <w:b/>
          <w:bCs/>
        </w:rPr>
        <w:t>Comparing the five countries,</w:t>
      </w:r>
      <w:r>
        <w:rPr/>
        <w:t xml:space="preserve"> Angola's main BSOs (INAPEM, the BUE, AIPEX, the chamber of commerce and MINTUR) provide certification, registration, training and an incubator network still under development; their presence in the KAZA area is low and they mainly serve Tier 0 and Tier 1 enterprises. Botswana's BSOs (LEA, CEDA, BTO, HATAB, WIBA and the Wilderness supplier programme) offer BDS, mentoring, supplier readiness, citizen finance and product development, have a medium presence in Maun and Kasane, and serve Tiers 1 and 2. Namibia's BSOs (NIPDB, BIPA, the chamber of commerce, the Namibia Tourism Board, FENATA and HAN, the conservancy support organisations and DBN) cover MSME coordination, the High Potential Pool, the SME fund and conservancy enterprise support; their presence is medium for conservancies but low for MSME BDS, and they serve Tiers 0 to 2.</w:t>
      </w:r>
    </w:p>
    <w:p>
      <w:pPr>
        <w:pStyle w:val="Normal"/>
        <w:jc w:val="both"/>
        <w:rPr/>
      </w:pPr>
      <w:r>
        <w:rPr/>
        <w:t>Zambia's BSOs (ZDA, CEEC, the BRRA, the SME chamber, the Tourism Council, the Livingstone Tourism Association and the UNDP youth programme) provide BDS linked to finance, licensing reform and youth MSME training, have a medium presence in Livingstone and serve Tiers 1 and 2. Zimbabwe's BSOs (SMEDCO, ZIDA, ZimTrade, the Zimbabwe Tourism Authority, the Tourism Business Council and the CAMPFIRE Association) offer lending and capacity building, MSME infrastructure, one-stop registration and export linkages; their presence in Victoria Falls and Hwange is low to medium and they serve Tiers 1 and 2.</w:t>
      </w:r>
    </w:p>
    <w:p>
      <w:pPr>
        <w:pStyle w:val="Normal"/>
        <w:jc w:val="both"/>
        <w:rPr/>
      </w:pPr>
      <w:r>
        <w:rPr>
          <w:b/>
          <w:bCs/>
        </w:rPr>
        <w:t>Assessment.</w:t>
      </w:r>
      <w:r>
        <w:rPr/>
        <w:t xml:space="preserve"> The main BSOs serve Tiers 0 to 2 with generic services. None offers a tourism supplier-development service at scale in the KAZA hubs, and only the Wilderness-LEA partnership in Botswana links BDS to a specific anchor's procurement. The most promising entry points are programmes that already combine BDS with finance or market access: the ZDA-CEEC agreement, SMEDCO's programmes and its partnership with the stock exchange, NIPDB's High Potential Pool and SME fund, INAPEM's incubator network and the anchor supplier programmes. Strengthening these, rather than creating new BSOs, is the approach recommended in Section 10.5.</w:t>
      </w:r>
    </w:p>
    <w:p>
      <w:pPr>
        <w:pStyle w:val="Heading2"/>
        <w:rPr/>
      </w:pPr>
      <w:bookmarkStart w:id="31" w:name="__RefHeading___Toc1313_3920751122"/>
      <w:bookmarkEnd w:id="31"/>
      <w:r>
        <w:rPr/>
        <w:t>7.4 Policy Conditions</w:t>
      </w:r>
    </w:p>
    <w:p>
      <w:pPr>
        <w:pStyle w:val="ListParagraph"/>
        <w:numPr>
          <w:ilvl w:val="0"/>
          <w:numId w:val="80"/>
        </w:numPr>
        <w:rPr/>
      </w:pPr>
      <w:r>
        <w:rPr/>
        <w:t>Citizen-empowerment policies in Botswana and Zambia provide concessional finance (CEDA, YDF, CEEC) that suits Tier 1 and 2 MSMEs if adapted to seasonality. In Botswana, the diamond-revenue slump has constrained public financiers' liquidity (Financial Landscape Analysis).</w:t>
      </w:r>
    </w:p>
    <w:p>
      <w:pPr>
        <w:pStyle w:val="ListParagraph"/>
        <w:numPr>
          <w:ilvl w:val="0"/>
          <w:numId w:val="81"/>
        </w:numPr>
        <w:rPr/>
      </w:pPr>
      <w:r>
        <w:rPr/>
        <w:t>Credit guarantee schemes operate in Namibia, Zambia, Zimbabwe and Angola; Botswana has no operational national scheme (Financial Landscape Analysis).</w:t>
      </w:r>
    </w:p>
    <w:p>
      <w:pPr>
        <w:pStyle w:val="ListParagraph"/>
        <w:numPr>
          <w:ilvl w:val="0"/>
          <w:numId w:val="82"/>
        </w:numPr>
        <w:rPr/>
      </w:pPr>
      <w:r>
        <w:rPr/>
        <w:t>Currency instability in Zimbabwe, Zambia and Angola complicates lending to MSMEs whose revenue may be in foreign currency while costs are local, or the reverse.</w:t>
      </w:r>
    </w:p>
    <w:p>
      <w:pPr>
        <w:pStyle w:val="ListParagraph"/>
        <w:numPr>
          <w:ilvl w:val="0"/>
          <w:numId w:val="83"/>
        </w:numPr>
        <w:rPr/>
      </w:pPr>
      <w:r>
        <w:rPr/>
        <w:t>Local-ownership policies are tightening in Zimbabwe (SI 215 of 2025) and remain strong in Botswana. They protect MSME space but require finance to come from domestic sources or from structures that respect ownership limits.</w:t>
      </w:r>
    </w:p>
    <w:p>
      <w:pPr>
        <w:pStyle w:val="ListParagraph"/>
        <w:numPr>
          <w:ilvl w:val="0"/>
          <w:numId w:val="84"/>
        </w:numPr>
        <w:rPr/>
      </w:pPr>
      <w:r>
        <w:rPr/>
        <w:t>The Macro Diagnostic recommends that pilot destinations establish baselines on local procurement, supplier contract value and locally sourced products (MD p. 140-141).</w:t>
      </w:r>
      <w:r>
        <w:br w:type="page"/>
      </w:r>
    </w:p>
    <w:p>
      <w:pPr>
        <w:pStyle w:val="Heading1"/>
        <w:spacing w:before="0" w:after="240"/>
        <w:rPr/>
      </w:pPr>
      <w:bookmarkStart w:id="32" w:name="__RefHeading___Toc1315_3920751122"/>
      <w:bookmarkEnd w:id="32"/>
      <w:r>
        <w:rPr/>
        <w:t>8. Readiness for Financial Products</w:t>
      </w:r>
    </w:p>
    <w:p>
      <w:pPr>
        <w:pStyle w:val="Heading2"/>
        <w:rPr/>
      </w:pPr>
      <w:bookmarkStart w:id="33" w:name="__RefHeading___Toc1317_3920751122"/>
      <w:bookmarkEnd w:id="33"/>
      <w:r>
        <w:rPr/>
        <w:t>8.1 The Effect of Seasonality on Debt</w:t>
      </w:r>
    </w:p>
    <w:p>
      <w:pPr>
        <w:pStyle w:val="Normal"/>
        <w:jc w:val="both"/>
        <w:rPr/>
      </w:pPr>
      <w:r>
        <w:rPr/>
        <w:t>Seasonality is the single most important factor in matching products to R-NBT MSMEs. The example below shows why. It is illustrative and uses assumed figures, not data from the diagnostic.</w:t>
      </w:r>
    </w:p>
    <w:p>
      <w:pPr>
        <w:pStyle w:val="Normal"/>
        <w:jc w:val="both"/>
        <w:rPr/>
      </w:pPr>
      <w:r>
        <w:rPr/>
        <w:t xml:space="preserve">Consider a guiding and transfer enterprise that borrows USD 20,000. Under a </w:t>
      </w:r>
      <w:r>
        <w:rPr>
          <w:b/>
          <w:bCs/>
        </w:rPr>
        <w:t>standard amortising loan</w:t>
      </w:r>
      <w:r>
        <w:rPr/>
        <w:t xml:space="preserve"> of 24 monthly instalments at 20% a year, it pays USD 1,018 every month. In a peak month with revenue of USD 9,000, that is 11% of revenue; in a low-season month with revenue of about USD 2,140, it is 48%. The enterprise repays USD 24,430 over 24 months and bears the full risk of a bad season.</w:t>
      </w:r>
    </w:p>
    <w:p>
      <w:pPr>
        <w:pStyle w:val="Normal"/>
        <w:jc w:val="both"/>
        <w:rPr/>
      </w:pPr>
      <w:r>
        <w:rPr/>
        <w:t xml:space="preserve">Under </w:t>
      </w:r>
      <w:r>
        <w:rPr>
          <w:b/>
          <w:bCs/>
        </w:rPr>
        <w:t>seasonal amortisation</w:t>
      </w:r>
      <w:r>
        <w:rPr/>
        <w:t xml:space="preserve"> with the same total cost, payments are made only in the five peak months of two seasons. Each peak-month payment is USD 2,443, or 27% of revenue, and nothing is due in the low season. The total repaid is again USD 24,430, over two peak seasons. The borrower still bears the risk of a bad season, but the lender collects cash when the enterprise has it.</w:t>
      </w:r>
    </w:p>
    <w:p>
      <w:pPr>
        <w:pStyle w:val="Normal"/>
        <w:jc w:val="both"/>
        <w:rPr/>
      </w:pPr>
      <w:r>
        <w:rPr/>
        <w:t xml:space="preserve">Under </w:t>
      </w:r>
      <w:r>
        <w:rPr>
          <w:b/>
          <w:bCs/>
        </w:rPr>
        <w:t>revenue-based finance</w:t>
      </w:r>
      <w:r>
        <w:rPr/>
        <w:t>, the enterprise pays 15% of monthly revenue until it has repaid 1.3 times the amount borrowed: USD 1,350 in a peak month and USD 321 in a low-season month. It repays USD 26,000 in total, over about 35 months if revenue stays constant, and the financier shares the risk of a bad season.</w:t>
      </w:r>
    </w:p>
    <w:p>
      <w:pPr>
        <w:pStyle w:val="Normal"/>
        <w:jc w:val="both"/>
        <w:rPr/>
      </w:pPr>
      <w:r>
        <w:rPr/>
        <w:t>Assumptions: annual revenue of USD 60,000, 75% earned in five peak months (USD 9,000 a month) and 25% over seven low-season months (about USD 2,140 a month). Under a standard monthly schedule, nearly half of low-season revenue goes to debt service, before fixed costs, which is the point at which seasonal MSMEs default or stop trading. Seasonal amortisation removes the low-season burden at no extra cost but concentrates payments in the peak. Revenue-based finance shares the risk of a weak season with the financier and costs slightly more in total, but requires reliable revenue data, which in turn requires digital payments or anchor-buyer receipts.</w:t>
      </w:r>
    </w:p>
    <w:p>
      <w:pPr>
        <w:pStyle w:val="Normal"/>
        <w:jc w:val="both"/>
        <w:rPr/>
      </w:pPr>
      <w:r>
        <w:rPr>
          <w:b/>
          <w:bCs/>
        </w:rPr>
        <w:t>Conclusion.</w:t>
      </w:r>
      <w:r>
        <w:rPr/>
        <w:t xml:space="preserve"> For most R-NBT MSMEs, debt is viable only if repayment follows cash flow. Seasonal schedules, low-season grace periods and receivables finance are the most practical adjustments for banks and MFIs. Revenue-based finance is appropriate where revenue is observable (card, mobile-money or booking-platform receipts, or payments from anchor buyers) and is a natural fit for guiding, transport and accommodation enterprises in Tiers 2 and 3. Because contracts are slow to enforce in court in most KAZA states (Section 7.1), receivables and revenue-based structures work best when the anchor buyer or payment platform pays the financier directly.</w:t>
      </w:r>
    </w:p>
    <w:p>
      <w:pPr>
        <w:pStyle w:val="Heading2"/>
        <w:rPr/>
      </w:pPr>
      <w:bookmarkStart w:id="34" w:name="__RefHeading___Toc1319_3920751122"/>
      <w:bookmarkEnd w:id="34"/>
      <w:r>
        <w:rPr/>
        <w:t>8.2 MSME Readiness by Product</w:t>
      </w:r>
    </w:p>
    <w:p>
      <w:pPr>
        <w:pStyle w:val="Normal"/>
        <w:jc w:val="both"/>
        <w:rPr/>
      </w:pPr>
      <w:r>
        <w:rPr>
          <w:b/>
          <w:bCs/>
        </w:rPr>
        <w:t>For Tiers 0 and 1,</w:t>
      </w:r>
      <w:r>
        <w:rPr/>
        <w:t xml:space="preserve"> grants and matching grants are neutral with respect to seasonality and are appropriate for certification, equipment and pilots; they should be tied to milestones and, where possible, convert to repayable finance. Savings-group and micro-loans suit the same tiers and fit seasonality well if loan cycles follow the seasons; they are already used, especially by women, but are small and short, and linkage to MFIs can increase their size. </w:t>
      </w:r>
      <w:r>
        <w:rPr>
          <w:b/>
          <w:bCs/>
        </w:rPr>
        <w:t>Asset finance and leasing</w:t>
      </w:r>
      <w:r>
        <w:rPr/>
        <w:t xml:space="preserve"> suit Tiers 1 and 2 and fit guides, transport and processing equipment, with the asset as security, but their fit with seasonality is only medium unless repayment schedules are seasonal.</w:t>
      </w:r>
    </w:p>
    <w:p>
      <w:pPr>
        <w:pStyle w:val="Normal"/>
        <w:jc w:val="both"/>
        <w:rPr/>
      </w:pPr>
      <w:r>
        <w:rPr>
          <w:b/>
          <w:bCs/>
        </w:rPr>
        <w:t>For Tier 2,</w:t>
      </w:r>
      <w:r>
        <w:rPr/>
        <w:t xml:space="preserve"> contract-backed working capital and receivables finance are the best near-term fit for suppliers to anchors in food, lodge-linked goods, transport and cleaning, and fit seasonality well because repayment comes from the buyer's payment. Guaranteed loans suit Tiers 2 and 3; their fit with seasonality depends on the underlying loan, and they de-risk lenders rather than help MSMEs directly, so tourism windows in national schemes would widen access. Revenue-based finance, also for Tiers 2 and 3, fits seasonality very well and suits enterprises with observable revenue, but no KAZA lender yet offers it.</w:t>
      </w:r>
    </w:p>
    <w:p>
      <w:pPr>
        <w:pStyle w:val="Normal"/>
        <w:jc w:val="both"/>
        <w:rPr/>
      </w:pPr>
      <w:r>
        <w:rPr>
          <w:b/>
          <w:bCs/>
        </w:rPr>
        <w:t>For Tier 3,</w:t>
      </w:r>
      <w:r>
        <w:rPr/>
        <w:t xml:space="preserve"> standard term loans fit seasonality poorly when they are repaid in equal monthly instalments; few MSMEs are ready for them, and they become viable with a seasonal schedule and a guarantee. Quasi-equity and equity fit seasonality well because there is no fixed repayment, but they are relevant only to a small number of growth enterprises and cooperatives, transaction costs are high relative to ticket size, and ownership rules in Botswana and Zimbabwe limit foreign equity in some chains.</w:t>
      </w:r>
    </w:p>
    <w:p>
      <w:pPr>
        <w:pStyle w:val="Heading2"/>
        <w:rPr/>
      </w:pPr>
      <w:bookmarkStart w:id="35" w:name="__RefHeading___Toc1321_3920751122"/>
      <w:bookmarkEnd w:id="35"/>
      <w:r>
        <w:rPr/>
        <w:t>8.3 Financial Institution Readiness by Product</w:t>
      </w:r>
    </w:p>
    <w:p>
      <w:pPr>
        <w:pStyle w:val="Normal"/>
        <w:jc w:val="both"/>
        <w:rPr/>
      </w:pPr>
      <w:r>
        <w:rPr/>
        <w:t xml:space="preserve">Financial institutions are moderately ready for four products. </w:t>
      </w:r>
      <w:r>
        <w:rPr>
          <w:b/>
          <w:bCs/>
        </w:rPr>
        <w:t>Contract-backed supplier finance</w:t>
      </w:r>
      <w:r>
        <w:rPr/>
        <w:t xml:space="preserve"> could be offered by Stanbic in Botswana, Zambia and Zimbabwe and by other commercial banks; it needs replication of the Wilderness-Stanbic model, standard tripartite contract templates in which payment is ceded to the lender, and anchor commitment. </w:t>
      </w:r>
      <w:r>
        <w:rPr>
          <w:b/>
          <w:bCs/>
        </w:rPr>
        <w:t>Asset finance and leasing</w:t>
      </w:r>
      <w:r>
        <w:rPr/>
        <w:t xml:space="preserve">, through bank asset-finance units, leasing companies and green credit lines such as those of EIF and IDBZ, need smaller ticket sizes, vendor partnerships and seasonal schedules. </w:t>
      </w:r>
      <w:r>
        <w:rPr>
          <w:b/>
          <w:bCs/>
        </w:rPr>
        <w:t>Micro-loans and group lending</w:t>
      </w:r>
      <w:r>
        <w:rPr/>
        <w:t xml:space="preserve"> by MFIs, women's and youth banks and through savings-group linkage need linkage programmes, seasonal loan cycles and digital channels. </w:t>
      </w:r>
      <w:r>
        <w:rPr>
          <w:b/>
          <w:bCs/>
        </w:rPr>
        <w:t>Partial credit guarantees</w:t>
      </w:r>
      <w:r>
        <w:rPr/>
        <w:t xml:space="preserve"> from CGS Namibia, ZCGS, ECGC and FGC, and regionally from AGF, are also moderately ready, although Botswana has no national scheme; they need tourism or KAZA windows, acceptance of contracts and leaseholds as security, and seasonal grace periods.</w:t>
      </w:r>
    </w:p>
    <w:p>
      <w:pPr>
        <w:pStyle w:val="Normal"/>
        <w:jc w:val="both"/>
        <w:rPr/>
      </w:pPr>
      <w:r>
        <w:rPr/>
        <w:t xml:space="preserve">Readiness is lower for the remaining products. </w:t>
      </w:r>
      <w:r>
        <w:rPr>
          <w:b/>
          <w:bCs/>
        </w:rPr>
        <w:t>Seasonal working capital and term loans</w:t>
      </w:r>
      <w:r>
        <w:rPr/>
        <w:t xml:space="preserve"> from banks, CEDA, CEEC, DBN and MFIs are at low to medium readiness and need product redesign, staff training and risk-sharing for early portfolios. </w:t>
      </w:r>
      <w:r>
        <w:rPr>
          <w:b/>
          <w:bCs/>
        </w:rPr>
        <w:t>Revenue-based finance</w:t>
      </w:r>
      <w:r>
        <w:rPr/>
        <w:t xml:space="preserve">, which impact funds, fintechs and DFIs could offer through intermediaries, is at low readiness and needs a pilot vehicle, revenue data from payment platforms or anchors, and first-loss capital. </w:t>
      </w:r>
      <w:r>
        <w:rPr>
          <w:b/>
          <w:bCs/>
        </w:rPr>
        <w:t>Equity and quasi-equity</w:t>
      </w:r>
      <w:r>
        <w:rPr/>
        <w:t xml:space="preserve"> from BDC, CEDA Venture Capital, impact investors and, in Zimbabwe, the new ZEEX exchange are also at low readiness and need a pipeline of Tier 3 enterprises and a small-ticket fund or facility.</w:t>
      </w:r>
      <w:r>
        <w:br w:type="page"/>
      </w:r>
    </w:p>
    <w:p>
      <w:pPr>
        <w:pStyle w:val="Heading1"/>
        <w:spacing w:before="0" w:after="240"/>
        <w:rPr/>
      </w:pPr>
      <w:bookmarkStart w:id="36" w:name="__RefHeading___Toc1323_3920751122"/>
      <w:bookmarkEnd w:id="36"/>
      <w:r>
        <w:rPr/>
        <w:t>9. Scalable Women- and Youth-Led Models</w:t>
      </w:r>
    </w:p>
    <w:p>
      <w:pPr>
        <w:pStyle w:val="Normal"/>
        <w:jc w:val="both"/>
        <w:rPr/>
      </w:pPr>
      <w:r>
        <w:rPr/>
        <w:t>The evidence contains few enterprise cases, and most rest on single interviews. The models below show investment potential and are relevant to women or youth. Each is classified by model type, meaning its organisational form, value chain and value chain node (Section 2.2). Where the evidence does not state who leads the enterprise, this is noted.</w:t>
      </w:r>
    </w:p>
    <w:p>
      <w:pPr>
        <w:pStyle w:val="Heading3"/>
        <w:rPr/>
      </w:pPr>
      <w:r>
        <w:rPr/>
        <w:t>Models with high investment potential</w:t>
      </w:r>
    </w:p>
    <w:p>
      <w:pPr>
        <w:pStyle w:val="Normal"/>
        <w:jc w:val="both"/>
        <w:rPr/>
      </w:pPr>
      <w:r>
        <w:rPr>
          <w:b/>
          <w:bCs/>
        </w:rPr>
        <w:t>Women's forest-products cooperative (Zambia).</w:t>
      </w:r>
      <w:r>
        <w:rPr/>
        <w:t xml:space="preserve"> </w:t>
      </w:r>
      <w:r>
        <w:rPr>
          <w:i/>
          <w:iCs/>
        </w:rPr>
        <w:t>Model type: women-led producer and processing cooperative in nature-positive products (node B).</w:t>
      </w:r>
      <w:r>
        <w:rPr/>
        <w:t xml:space="preserve"> The cooperative has 15 members, pays them to harvest rather than fell the forest, and sells mungongo oil and baobab coffee to Livingstone hotels and export buyers; it has received unsolicited bulk-oil export interest from Europe and South Africa (MD p. 73, 101). Its investment potential is high because demand already exceeds supply and it is women-led by definition. It needs a certification grant of about ZMW 30,000, processing equipment and export working capital; volumes, margins and governance should be verified.</w:t>
      </w:r>
    </w:p>
    <w:p>
      <w:pPr>
        <w:pStyle w:val="Normal"/>
        <w:jc w:val="both"/>
        <w:rPr/>
      </w:pPr>
      <w:r>
        <w:rPr>
          <w:b/>
          <w:bCs/>
        </w:rPr>
        <w:t>Produce aggregation for lodges (Hwange, Kasane and Livingstone).</w:t>
      </w:r>
      <w:r>
        <w:rPr/>
        <w:t xml:space="preserve"> </w:t>
      </w:r>
      <w:r>
        <w:rPr>
          <w:i/>
          <w:iCs/>
        </w:rPr>
        <w:t>Model type: producer cooperative supplying anchors under contract in food (nodes A to C).</w:t>
      </w:r>
      <w:r>
        <w:rPr/>
        <w:t xml:space="preserve"> Anchor lodges name irrigated produce supply as the clearest near-term opportunity, and aggregation would give producers volume and bargaining power (MD p. 68, 75). In Livingstone, a hotel already buys directly from smallholders, and a women's mushroom farm sells most of its produce to hotels under long-term contracts (operator-reported). The potential is high because anchors have confirmed demand and a working precedent exists. Contract-backed working capital and irrigation finance fit this model, which should be designed as women- or youth-led cooperatives; contract terms and prices should be verified.</w:t>
      </w:r>
    </w:p>
    <w:p>
      <w:pPr>
        <w:pStyle w:val="Normal"/>
        <w:jc w:val="both"/>
        <w:rPr/>
      </w:pPr>
      <w:r>
        <w:rPr>
          <w:b/>
          <w:bCs/>
        </w:rPr>
        <w:t>Citizen supplier development with an anchor (Botswana).</w:t>
      </w:r>
      <w:r>
        <w:rPr/>
        <w:t xml:space="preserve"> </w:t>
      </w:r>
      <w:r>
        <w:rPr>
          <w:i/>
          <w:iCs/>
        </w:rPr>
        <w:t>Model type: anchor-led supplier development programme spanning several chains (node C).</w:t>
      </w:r>
      <w:r>
        <w:rPr/>
        <w:t xml:space="preserve"> Wilderness's programme has enrolled 68 businesses, and its 2024 Local Supplier Expo led to more than BWP 6.2 million of new contracts for citizen-owned businesses, passing BWP 8 million by mid-2025; it is linked to Stanbic contract finance and LEA support. The potential is high because the model can be replicated with other operators. Contract-backed finance fits it; the share of women- and youth-led suppliers should be verified.</w:t>
      </w:r>
    </w:p>
    <w:p>
      <w:pPr>
        <w:pStyle w:val="Heading3"/>
        <w:rPr/>
      </w:pPr>
      <w:r>
        <w:rPr/>
        <w:t>Models with medium to high potential</w:t>
      </w:r>
    </w:p>
    <w:p>
      <w:pPr>
        <w:pStyle w:val="Normal"/>
        <w:jc w:val="both"/>
        <w:rPr/>
      </w:pPr>
      <w:r>
        <w:rPr>
          <w:b/>
          <w:bCs/>
        </w:rPr>
        <w:t>Youth guiding, activity and transfer enterprises (Victoria Falls-Chobe corridor).</w:t>
      </w:r>
      <w:r>
        <w:rPr/>
        <w:t xml:space="preserve"> </w:t>
      </w:r>
      <w:r>
        <w:rPr>
          <w:i/>
          <w:iCs/>
        </w:rPr>
        <w:t>Model type: owner-operator service micro-enterprise in guiding and transport (node D).</w:t>
      </w:r>
      <w:r>
        <w:rPr/>
        <w:t xml:space="preserve"> Guiding is the largest category in the MSME survey, and guiding, transport and cultural experiences are commonly combined (MD p. 61, 118). Low start-up costs and clear demand give medium to high potential. Skills certification, asset leasing and revenue-based finance fit these enterprises; the age profile of operators should be verified.</w:t>
      </w:r>
    </w:p>
    <w:p>
      <w:pPr>
        <w:pStyle w:val="Heading3"/>
        <w:rPr/>
      </w:pPr>
      <w:r>
        <w:rPr/>
        <w:t>Models with medium potential</w:t>
      </w:r>
    </w:p>
    <w:p>
      <w:pPr>
        <w:pStyle w:val="Normal"/>
        <w:jc w:val="both"/>
        <w:rPr/>
      </w:pPr>
      <w:r>
        <w:rPr>
          <w:b/>
          <w:bCs/>
        </w:rPr>
        <w:t>Craft hub aggregating rural artisans (Maun, Botswana).</w:t>
      </w:r>
      <w:r>
        <w:rPr/>
        <w:t xml:space="preserve"> </w:t>
      </w:r>
      <w:r>
        <w:rPr>
          <w:i/>
          <w:iCs/>
        </w:rPr>
        <w:t>Model type: artisan aggregation hub in crafts (node B).</w:t>
      </w:r>
      <w:r>
        <w:rPr/>
        <w:t xml:space="preserve"> The hub connects more than 100 rural artisans, holds export certifications and upcycles bottle tops and fabric into homeware, but has no committed international buyers (MD p. 69). Aggregation is in place but the buyer gap limits its potential, so buyer brokerage and product design should come before finance. The gender mix, probably women-majority, is not stated and should be verified.</w:t>
      </w:r>
    </w:p>
    <w:p>
      <w:pPr>
        <w:pStyle w:val="Normal"/>
        <w:jc w:val="both"/>
        <w:rPr/>
      </w:pPr>
      <w:r>
        <w:rPr>
          <w:b/>
          <w:bCs/>
        </w:rPr>
        <w:t>Elephant Aware Economy (Eastern Panhandle, Botswana).</w:t>
      </w:r>
      <w:r>
        <w:rPr/>
        <w:t xml:space="preserve"> </w:t>
      </w:r>
      <w:r>
        <w:rPr>
          <w:i/>
          <w:iCs/>
        </w:rPr>
        <w:t>Model type: community conservation enterprise cluster in nature-positive products (nodes A and B).</w:t>
      </w:r>
      <w:r>
        <w:rPr/>
        <w:t xml:space="preserve"> It combines a low-tillage farming cooperative selling at a premium, a honey enterprise that uses bees to deter elephants and dung paper, and honey tasting has been flagged as a high-opportunity niche (MD p. 69-70, 115). Premium positioning and a conservation story give it medium potential. Grants, blended finance and experience products fit it; its leadership and member profile should be verified.</w:t>
      </w:r>
    </w:p>
    <w:p>
      <w:pPr>
        <w:pStyle w:val="Normal"/>
        <w:jc w:val="both"/>
        <w:rPr/>
      </w:pPr>
      <w:r>
        <w:rPr>
          <w:b/>
          <w:bCs/>
        </w:rPr>
        <w:t>Community trust waste and upcycling enterprise (Namibia).</w:t>
      </w:r>
      <w:r>
        <w:rPr/>
        <w:t xml:space="preserve"> </w:t>
      </w:r>
      <w:r>
        <w:rPr>
          <w:i/>
          <w:iCs/>
        </w:rPr>
        <w:t>Model type: community-trust social enterprise in waste and the circular economy (nodes B and E).</w:t>
      </w:r>
      <w:r>
        <w:rPr/>
        <w:t xml:space="preserve"> It grew from a waste gap into a sewing workshop, a recycled-can aluminium workshop and a beehive initiative (MD p. 71, 115). Its diversified services and products give medium potential. It needs equipment, working capital and service contracts with lodges and towns; the roles of women and youth should be verified.</w:t>
      </w:r>
    </w:p>
    <w:p>
      <w:pPr>
        <w:pStyle w:val="Normal"/>
        <w:jc w:val="both"/>
        <w:rPr/>
      </w:pPr>
      <w:r>
        <w:rPr>
          <w:b/>
          <w:bCs/>
        </w:rPr>
        <w:t>Sijwa beehive project (Namibia).</w:t>
      </w:r>
      <w:r>
        <w:rPr/>
        <w:t xml:space="preserve"> </w:t>
      </w:r>
      <w:r>
        <w:rPr>
          <w:i/>
          <w:iCs/>
        </w:rPr>
        <w:t>Model type: conservancy-linked benefit-sharing enterprise in honey (nodes A and E).</w:t>
      </w:r>
      <w:r>
        <w:rPr/>
        <w:t xml:space="preserve"> It returns 12% of sales to the conservancy (MD p. 115), a replicable benefit-sharing model with medium potential. A revolving fund or group finance would fit it; volumes and buyers should be verified.</w:t>
      </w:r>
    </w:p>
    <w:p>
      <w:pPr>
        <w:pStyle w:val="Normal"/>
        <w:jc w:val="both"/>
        <w:rPr/>
      </w:pPr>
      <w:r>
        <w:rPr/>
        <w:t>The Maun craft hub and the Zambian cooperative illustrate the two main barriers to scale: a buyer gap in the first case and a supply and certification gap in the second. Finance alone solves neither; both need finance packaged with market linkage and technical support. The Livingstone and Wilderness cases show the reverse: once a buyer commits, smallholders and citizen suppliers can be brought into contract and then into finance.</w:t>
      </w:r>
      <w:r>
        <w:br w:type="page"/>
      </w:r>
    </w:p>
    <w:p>
      <w:pPr>
        <w:pStyle w:val="Heading1"/>
        <w:spacing w:before="0" w:after="240"/>
        <w:rPr/>
      </w:pPr>
      <w:bookmarkStart w:id="37" w:name="__RefHeading___Toc1325_3920751122"/>
      <w:bookmarkEnd w:id="37"/>
      <w:r>
        <w:rPr/>
        <w:t>10. Recommended Capacity-Building Interventions</w:t>
      </w:r>
    </w:p>
    <w:p>
      <w:pPr>
        <w:pStyle w:val="Heading2"/>
        <w:rPr/>
      </w:pPr>
      <w:bookmarkStart w:id="38" w:name="__RefHeading___Toc1327_3920751122"/>
      <w:bookmarkEnd w:id="38"/>
      <w:r>
        <w:rPr/>
        <w:t>10.1 A Tiered Readiness Pathway</w:t>
      </w:r>
    </w:p>
    <w:p>
      <w:pPr>
        <w:pStyle w:val="Normal"/>
        <w:jc w:val="both"/>
        <w:rPr/>
      </w:pPr>
      <w:r>
        <w:rPr/>
        <w:t>Support should be organised as a pathway through which MSMEs graduate from tier to tier, with the support package and finance changing at each step. A common readiness diagnostic, applied by BSOs, would place each MSME in a tier and track progress. At every tier, support should combine delivery modes rather than rely on classroom training: technical assistance, on-the-job training, mentoring and coaching, workshops, and benchmarking or exchange visits (Section 6.1).</w:t>
      </w:r>
    </w:p>
    <w:p>
      <w:pPr>
        <w:pStyle w:val="Normal"/>
        <w:jc w:val="both"/>
        <w:rPr/>
      </w:pPr>
      <w:r>
        <w:rPr>
          <w:b/>
          <w:bCs/>
        </w:rPr>
        <w:t>At Tier 0,</w:t>
      </w:r>
      <w:r>
        <w:rPr/>
        <w:t xml:space="preserve"> support focuses on group formation and governance, linkage to savings groups, financial literacy, and awareness of products and markets. Finance comes from savings groups, small grants and in-kind inputs. An enterprise graduates when it has regular sales and has kept group or individual records for six months.</w:t>
      </w:r>
    </w:p>
    <w:p>
      <w:pPr>
        <w:pStyle w:val="Normal"/>
        <w:jc w:val="both"/>
        <w:rPr/>
      </w:pPr>
      <w:r>
        <w:rPr>
          <w:b/>
          <w:bCs/>
        </w:rPr>
        <w:t>At Tier 1,</w:t>
      </w:r>
      <w:r>
        <w:rPr/>
        <w:t xml:space="preserve"> support covers bookkeeping and the use of mobile money, costing and pricing, quality and product development, and help with registration. Savings-linked micro-loans, matching grants and small asset leases provide finance. Graduation comes with registration, a first set of repeat orders from a buyer and basic records.</w:t>
      </w:r>
    </w:p>
    <w:p>
      <w:pPr>
        <w:pStyle w:val="Normal"/>
        <w:jc w:val="both"/>
        <w:rPr/>
      </w:pPr>
      <w:r>
        <w:rPr>
          <w:b/>
          <w:bCs/>
        </w:rPr>
        <w:t>At Tier 2,</w:t>
      </w:r>
      <w:r>
        <w:rPr/>
        <w:t xml:space="preserve"> support turns to supplier development with anchor buyers, quality assurance, standards and productivity, compliance with tax, VAT, insurance and certification requirements, contracting and negotiation, and cash-flow planning. Contract-backed working capital, receivables and asset finance and guaranteed loans become available. An enterprise graduates once it holds a contract or repeat orders for a full season, has tax clearance and keeps simple accounts.</w:t>
      </w:r>
    </w:p>
    <w:p>
      <w:pPr>
        <w:pStyle w:val="Normal"/>
        <w:jc w:val="both"/>
        <w:rPr/>
      </w:pPr>
      <w:r>
        <w:rPr>
          <w:b/>
          <w:bCs/>
        </w:rPr>
        <w:t>At Tier 3,</w:t>
      </w:r>
      <w:r>
        <w:rPr/>
        <w:t xml:space="preserve"> support consists of business planning, proposal and investment-readiness coaching, help with strategic partnerships, governance and deal brokerage. Finance comes from term loans with seasonal schedules, revenue-based finance and quasi-equity. The milestone is finance secured and serviced.</w:t>
      </w:r>
    </w:p>
    <w:p>
      <w:pPr>
        <w:pStyle w:val="Heading2"/>
        <w:rPr/>
      </w:pPr>
      <w:bookmarkStart w:id="39" w:name="__RefHeading___Toc1329_3920751122"/>
      <w:bookmarkEnd w:id="39"/>
      <w:r>
        <w:rPr/>
        <w:t>10.2 Gender-Transformative Approaches</w:t>
      </w:r>
    </w:p>
    <w:p>
      <w:pPr>
        <w:pStyle w:val="ListParagraph"/>
        <w:numPr>
          <w:ilvl w:val="0"/>
          <w:numId w:val="85"/>
        </w:numPr>
        <w:rPr/>
      </w:pPr>
      <w:r>
        <w:rPr>
          <w:b/>
          <w:bCs/>
        </w:rPr>
        <w:t>Group-to-enterprise pathways</w:t>
      </w:r>
      <w:r>
        <w:rPr/>
        <w:t xml:space="preserve"> that turn women's savings groups and producer groups into registered cooperatives at nodes B and C, so women capture aggregation and processing margins rather than staying at node A.</w:t>
      </w:r>
    </w:p>
    <w:p>
      <w:pPr>
        <w:pStyle w:val="ListParagraph"/>
        <w:numPr>
          <w:ilvl w:val="0"/>
          <w:numId w:val="86"/>
        </w:numPr>
        <w:rPr/>
      </w:pPr>
      <w:r>
        <w:rPr>
          <w:b/>
          <w:bCs/>
        </w:rPr>
        <w:t>Collateral alternatives</w:t>
      </w:r>
      <w:r>
        <w:rPr/>
        <w:t xml:space="preserve"> that do not rely on land: contract and receivables security, movable-asset registration, group guarantees and savings-group credit histories.</w:t>
      </w:r>
    </w:p>
    <w:p>
      <w:pPr>
        <w:pStyle w:val="ListParagraph"/>
        <w:numPr>
          <w:ilvl w:val="0"/>
          <w:numId w:val="87"/>
        </w:numPr>
        <w:rPr/>
      </w:pPr>
      <w:r>
        <w:rPr>
          <w:b/>
          <w:bCs/>
        </w:rPr>
        <w:t>Women's leadership</w:t>
      </w:r>
      <w:r>
        <w:rPr/>
        <w:t xml:space="preserve"> quotas and training in cooperatives, community enterprises and conservancy enterprise committees.</w:t>
      </w:r>
    </w:p>
    <w:p>
      <w:pPr>
        <w:pStyle w:val="ListParagraph"/>
        <w:numPr>
          <w:ilvl w:val="0"/>
          <w:numId w:val="88"/>
        </w:numPr>
        <w:rPr/>
      </w:pPr>
      <w:r>
        <w:rPr>
          <w:b/>
          <w:bCs/>
        </w:rPr>
        <w:t>Care-aware delivery</w:t>
      </w:r>
      <w:r>
        <w:rPr/>
        <w:t>: training scheduled and located to fit women's workloads, with childcare where needed, and mobile delivery in remote areas.</w:t>
      </w:r>
    </w:p>
    <w:p>
      <w:pPr>
        <w:pStyle w:val="ListParagraph"/>
        <w:numPr>
          <w:ilvl w:val="0"/>
          <w:numId w:val="89"/>
        </w:numPr>
        <w:rPr/>
      </w:pPr>
      <w:r>
        <w:rPr>
          <w:b/>
          <w:bCs/>
        </w:rPr>
        <w:t>Gender-smart finance</w:t>
      </w:r>
      <w:r>
        <w:rPr/>
        <w:t>: sex-disaggregated data from lenders and guarantee schemes; AFAWA and women's finance windows used as risk-sharing for women-led tourism MSMEs.</w:t>
      </w:r>
    </w:p>
    <w:p>
      <w:pPr>
        <w:pStyle w:val="ListParagraph"/>
        <w:numPr>
          <w:ilvl w:val="0"/>
          <w:numId w:val="90"/>
        </w:numPr>
        <w:rPr/>
      </w:pPr>
      <w:r>
        <w:rPr>
          <w:b/>
          <w:bCs/>
        </w:rPr>
        <w:t>Cross-border trade support</w:t>
      </w:r>
      <w:r>
        <w:rPr/>
        <w:t xml:space="preserve"> for women small traders, including awareness of the COMESA Simplified Trade Regime between Zambia and Zimbabwe and advocacy for a SADC equivalent.</w:t>
      </w:r>
    </w:p>
    <w:p>
      <w:pPr>
        <w:pStyle w:val="ListParagraph"/>
        <w:numPr>
          <w:ilvl w:val="0"/>
          <w:numId w:val="91"/>
        </w:numPr>
        <w:rPr/>
      </w:pPr>
      <w:r>
        <w:rPr>
          <w:b/>
          <w:bCs/>
        </w:rPr>
        <w:t>Household dialogue</w:t>
      </w:r>
      <w:r>
        <w:rPr/>
        <w:t xml:space="preserve"> on control of income and decision-making where enterprise growth may otherwise shift control away from women.</w:t>
      </w:r>
    </w:p>
    <w:p>
      <w:pPr>
        <w:pStyle w:val="ListParagraph"/>
        <w:numPr>
          <w:ilvl w:val="0"/>
          <w:numId w:val="92"/>
        </w:numPr>
        <w:rPr/>
      </w:pPr>
      <w:r>
        <w:rPr>
          <w:b/>
          <w:bCs/>
        </w:rPr>
        <w:t>Diversification into higher-value chains</w:t>
      </w:r>
      <w:r>
        <w:rPr/>
        <w:t>: targeted support for women in lodge-linked goods, guiding and nature-positive products, not only crafts.</w:t>
      </w:r>
    </w:p>
    <w:p>
      <w:pPr>
        <w:pStyle w:val="Heading2"/>
        <w:rPr/>
      </w:pPr>
      <w:bookmarkStart w:id="40" w:name="__RefHeading___Toc1331_3920751122"/>
      <w:bookmarkEnd w:id="40"/>
      <w:r>
        <w:rPr/>
        <w:t>10.3 Youth-Focused Incubation</w:t>
      </w:r>
    </w:p>
    <w:p>
      <w:pPr>
        <w:pStyle w:val="ListParagraph"/>
        <w:numPr>
          <w:ilvl w:val="0"/>
          <w:numId w:val="93"/>
        </w:numPr>
        <w:rPr/>
      </w:pPr>
      <w:r>
        <w:rPr>
          <w:b/>
          <w:bCs/>
        </w:rPr>
        <w:t>Destination-based incubators</w:t>
      </w:r>
      <w:r>
        <w:rPr/>
        <w:t xml:space="preserve"> in two or three priority hubs (for example Kasane, Livingstone-Victoria Falls and Katima Mulilo), run with BSOs and training institutions and, where possible, linked to existing initiatives such as SMEDCO's facilities or INAPEM's incubator network.</w:t>
      </w:r>
    </w:p>
    <w:p>
      <w:pPr>
        <w:pStyle w:val="ListParagraph"/>
        <w:numPr>
          <w:ilvl w:val="0"/>
          <w:numId w:val="94"/>
        </w:numPr>
        <w:rPr/>
      </w:pPr>
      <w:r>
        <w:rPr>
          <w:b/>
          <w:bCs/>
        </w:rPr>
        <w:t>Skills-to-enterprise tracks</w:t>
      </w:r>
      <w:r>
        <w:rPr/>
        <w:t xml:space="preserve"> in guiding (certification and quality, responding to the guiding-quality bottleneck), transfers and logistics, waste and recycling services, and digital marketing and booking services for other MSMEs.</w:t>
      </w:r>
    </w:p>
    <w:p>
      <w:pPr>
        <w:pStyle w:val="ListParagraph"/>
        <w:numPr>
          <w:ilvl w:val="0"/>
          <w:numId w:val="95"/>
        </w:numPr>
        <w:rPr/>
      </w:pPr>
      <w:r>
        <w:rPr>
          <w:b/>
          <w:bCs/>
        </w:rPr>
        <w:t>Apprenticeships with anchor operators</w:t>
      </w:r>
      <w:r>
        <w:rPr/>
        <w:t xml:space="preserve"> that lead to sub-contracts and the two or three successful bookings needed to be listed (MD p. 75).</w:t>
      </w:r>
    </w:p>
    <w:p>
      <w:pPr>
        <w:pStyle w:val="ListParagraph"/>
        <w:numPr>
          <w:ilvl w:val="0"/>
          <w:numId w:val="96"/>
        </w:numPr>
        <w:rPr/>
      </w:pPr>
      <w:r>
        <w:rPr>
          <w:b/>
          <w:bCs/>
        </w:rPr>
        <w:t>Asset access</w:t>
      </w:r>
      <w:r>
        <w:rPr/>
        <w:t xml:space="preserve"> through lease-to-own schemes for vehicles, boats and equipment, linked to youth finance (YDF, EmpowerBank, bank youth windows).</w:t>
      </w:r>
    </w:p>
    <w:p>
      <w:pPr>
        <w:pStyle w:val="ListParagraph"/>
        <w:numPr>
          <w:ilvl w:val="0"/>
          <w:numId w:val="97"/>
        </w:numPr>
        <w:rPr/>
      </w:pPr>
      <w:r>
        <w:rPr>
          <w:b/>
          <w:bCs/>
        </w:rPr>
        <w:t>Seed grants converting to loans</w:t>
      </w:r>
      <w:r>
        <w:rPr/>
        <w:t xml:space="preserve"> on milestones, so young entrepreneurs build a credit history.</w:t>
      </w:r>
    </w:p>
    <w:p>
      <w:pPr>
        <w:pStyle w:val="ListParagraph"/>
        <w:numPr>
          <w:ilvl w:val="0"/>
          <w:numId w:val="98"/>
        </w:numPr>
        <w:rPr/>
      </w:pPr>
      <w:r>
        <w:rPr>
          <w:b/>
          <w:bCs/>
        </w:rPr>
        <w:t>Links to existing youth programmes</w:t>
      </w:r>
      <w:r>
        <w:rPr/>
        <w:t>, such as the UNDP youth-led MSME programme in Livingstone and the youth priority in Namibia's SME fund, to avoid duplication.</w:t>
      </w:r>
    </w:p>
    <w:p>
      <w:pPr>
        <w:pStyle w:val="Heading2"/>
        <w:rPr/>
      </w:pPr>
      <w:bookmarkStart w:id="41" w:name="__RefHeading___Toc1333_3920751122"/>
      <w:bookmarkEnd w:id="41"/>
      <w:r>
        <w:rPr/>
        <w:t>10.4 Blended Support Packages</w:t>
      </w:r>
    </w:p>
    <w:p>
      <w:pPr>
        <w:pStyle w:val="Normal"/>
        <w:jc w:val="both"/>
        <w:rPr/>
      </w:pPr>
      <w:r>
        <w:rPr/>
        <w:t>Finance and technical assistance should be delivered together and tied to a buyer. Three packages are proposed:</w:t>
      </w:r>
    </w:p>
    <w:p>
      <w:pPr>
        <w:pStyle w:val="Normal"/>
        <w:jc w:val="both"/>
        <w:rPr/>
      </w:pPr>
      <w:r>
        <w:rPr>
          <w:b/>
          <w:bCs/>
        </w:rPr>
        <w:t>The anchor supplier package</w:t>
      </w:r>
      <w:r>
        <w:rPr/>
        <w:t xml:space="preserve"> targets Tier 2 suppliers in food, lodge-linked goods, transport and cleaning. It combines supplier-development technical assistance, contract-backed working capital in which payment is ceded to the lender, a partial guarantee and a commitment from the anchor on payment terms, delivered with anchor operators, banks, guarantee schemes, LEA and other BSOs.</w:t>
      </w:r>
    </w:p>
    <w:p>
      <w:pPr>
        <w:pStyle w:val="Normal"/>
        <w:jc w:val="both"/>
        <w:rPr/>
      </w:pPr>
      <w:r>
        <w:rPr>
          <w:b/>
          <w:bCs/>
        </w:rPr>
        <w:t>The community enterprise package</w:t>
      </w:r>
      <w:r>
        <w:rPr/>
        <w:t xml:space="preserve"> targets cooperatives and community enterprises in nature-positive products and crafts. It provides governance and certification support, a grant for equipment, a revolving fund and buyer brokerage, working with conservancies, CBOs, NGOs, MFIs and community funds.</w:t>
      </w:r>
    </w:p>
    <w:p>
      <w:pPr>
        <w:pStyle w:val="Normal"/>
        <w:jc w:val="both"/>
        <w:rPr/>
      </w:pPr>
      <w:r>
        <w:rPr>
          <w:b/>
          <w:bCs/>
        </w:rPr>
        <w:t>The youth and women start-up package</w:t>
      </w:r>
      <w:r>
        <w:rPr/>
        <w:t xml:space="preserve"> targets Tier 0 and Tier 1 enterprises led by women and young people. It offers incubation, savings-group linkage, a matching grant that converts to a loan, asset leasing and help with registration, delivered with BSOs, youth and women's finance institutions and training institutions.</w:t>
      </w:r>
    </w:p>
    <w:p>
      <w:pPr>
        <w:pStyle w:val="Heading2"/>
        <w:rPr/>
      </w:pPr>
      <w:bookmarkStart w:id="42" w:name="__RefHeading___Toc1335_3920751122"/>
      <w:bookmarkEnd w:id="42"/>
      <w:r>
        <w:rPr/>
        <w:t>10.5 BSO Strengthening</w:t>
      </w:r>
    </w:p>
    <w:p>
      <w:pPr>
        <w:pStyle w:val="ListParagraph"/>
        <w:numPr>
          <w:ilvl w:val="0"/>
          <w:numId w:val="99"/>
        </w:numPr>
        <w:rPr/>
      </w:pPr>
      <w:r>
        <w:rPr/>
        <w:t xml:space="preserve">Develop and roll out a </w:t>
      </w:r>
      <w:r>
        <w:rPr>
          <w:b/>
          <w:bCs/>
        </w:rPr>
        <w:t>common KAZA readiness diagnostic</w:t>
      </w:r>
      <w:r>
        <w:rPr/>
        <w:t xml:space="preserve"> and tier-tracking system for use by BSOs and financiers.</w:t>
      </w:r>
    </w:p>
    <w:p>
      <w:pPr>
        <w:pStyle w:val="ListParagraph"/>
        <w:numPr>
          <w:ilvl w:val="0"/>
          <w:numId w:val="100"/>
        </w:numPr>
        <w:rPr/>
      </w:pPr>
      <w:r>
        <w:rPr/>
        <w:t xml:space="preserve">Train BSO staff in </w:t>
      </w:r>
      <w:r>
        <w:rPr>
          <w:b/>
          <w:bCs/>
        </w:rPr>
        <w:t>tourism supplier development</w:t>
      </w:r>
      <w:r>
        <w:rPr/>
        <w:t xml:space="preserve">, R-NBT product development and </w:t>
      </w:r>
      <w:r>
        <w:rPr>
          <w:b/>
          <w:bCs/>
        </w:rPr>
        <w:t>investment-readiness services</w:t>
      </w:r>
      <w:r>
        <w:rPr/>
        <w:t xml:space="preserve"> (loan packaging, lender introductions).</w:t>
      </w:r>
    </w:p>
    <w:p>
      <w:pPr>
        <w:pStyle w:val="ListParagraph"/>
        <w:numPr>
          <w:ilvl w:val="0"/>
          <w:numId w:val="101"/>
        </w:numPr>
        <w:rPr/>
      </w:pPr>
      <w:r>
        <w:rPr/>
        <w:t xml:space="preserve">Establish </w:t>
      </w:r>
      <w:r>
        <w:rPr>
          <w:b/>
          <w:bCs/>
        </w:rPr>
        <w:t>BSO-financier referral agreements</w:t>
      </w:r>
      <w:r>
        <w:rPr/>
        <w:t xml:space="preserve"> so that BSO-assessed MSMEs receive faster processing.</w:t>
      </w:r>
    </w:p>
    <w:p>
      <w:pPr>
        <w:pStyle w:val="ListParagraph"/>
        <w:numPr>
          <w:ilvl w:val="0"/>
          <w:numId w:val="102"/>
        </w:numPr>
        <w:rPr/>
      </w:pPr>
      <w:r>
        <w:rPr/>
        <w:t xml:space="preserve">Extend outreach to KAZA hubs through </w:t>
      </w:r>
      <w:r>
        <w:rPr>
          <w:b/>
          <w:bCs/>
        </w:rPr>
        <w:t>satellite offices or mobile advisers</w:t>
      </w:r>
      <w:r>
        <w:rPr/>
        <w:t>.</w:t>
      </w:r>
    </w:p>
    <w:p>
      <w:pPr>
        <w:pStyle w:val="ListParagraph"/>
        <w:numPr>
          <w:ilvl w:val="0"/>
          <w:numId w:val="103"/>
        </w:numPr>
        <w:rPr/>
      </w:pPr>
      <w:r>
        <w:rPr/>
        <w:t xml:space="preserve">Build </w:t>
      </w:r>
      <w:r>
        <w:rPr>
          <w:b/>
          <w:bCs/>
        </w:rPr>
        <w:t>gender and youth capacity</w:t>
      </w:r>
      <w:r>
        <w:rPr/>
        <w:t xml:space="preserve"> within BSOs, including staff training and disaggregated client data.</w:t>
      </w:r>
    </w:p>
    <w:p>
      <w:pPr>
        <w:pStyle w:val="ListParagraph"/>
        <w:numPr>
          <w:ilvl w:val="0"/>
          <w:numId w:val="104"/>
        </w:numPr>
        <w:rPr/>
      </w:pPr>
      <w:r>
        <w:rPr/>
        <w:t xml:space="preserve">Use </w:t>
      </w:r>
      <w:r>
        <w:rPr>
          <w:b/>
          <w:bCs/>
        </w:rPr>
        <w:t>performance-based contracts</w:t>
      </w:r>
      <w:r>
        <w:rPr/>
        <w:t xml:space="preserve"> that pay BSOs for MSMEs graduating between tiers and accessing finance.</w:t>
      </w:r>
    </w:p>
    <w:p>
      <w:pPr>
        <w:pStyle w:val="ListParagraph"/>
        <w:numPr>
          <w:ilvl w:val="0"/>
          <w:numId w:val="105"/>
        </w:numPr>
        <w:rPr/>
      </w:pPr>
      <w:r>
        <w:rPr>
          <w:b/>
          <w:bCs/>
        </w:rPr>
        <w:t>Strengthen BSOs' own systems</w:t>
      </w:r>
      <w:r>
        <w:rPr/>
        <w:t xml:space="preserve"> before asking them to deliver more: strategic plans, performance management and systems to assess and report the impact of services, which the PSDP survey found missing in Botswana's tourism association and apex body (Section 6.2).</w:t>
      </w:r>
    </w:p>
    <w:p>
      <w:pPr>
        <w:pStyle w:val="ListParagraph"/>
        <w:numPr>
          <w:ilvl w:val="0"/>
          <w:numId w:val="106"/>
        </w:numPr>
        <w:rPr/>
      </w:pPr>
      <w:r>
        <w:rPr>
          <w:b/>
          <w:bCs/>
        </w:rPr>
        <w:t>Accredit mentors and advisers</w:t>
      </w:r>
      <w:r>
        <w:rPr/>
        <w:t xml:space="preserve">, building on the PSDP proposals to coach CEDA's mentors and accredit LEA consultants, and use </w:t>
      </w:r>
      <w:r>
        <w:rPr>
          <w:b/>
          <w:bCs/>
        </w:rPr>
        <w:t>retired-expert secondments</w:t>
      </w:r>
      <w:r>
        <w:rPr/>
        <w:t xml:space="preserve"> to add specialist skills at low cost.</w:t>
      </w:r>
    </w:p>
    <w:p>
      <w:pPr>
        <w:pStyle w:val="ListParagraph"/>
        <w:numPr>
          <w:ilvl w:val="0"/>
          <w:numId w:val="107"/>
        </w:numPr>
        <w:rPr/>
      </w:pPr>
      <w:r>
        <w:rPr>
          <w:b/>
          <w:bCs/>
        </w:rPr>
        <w:t>Extend standards, testing and productivity services to the KAZA hubs</w:t>
      </w:r>
      <w:r>
        <w:rPr/>
        <w:t xml:space="preserve"> through alliances with BSOs that already have local offices, as the PSDP survey proposed for BOBS, and through company-level productivity programmes such as BNPC's </w:t>
      </w:r>
      <w:r>
        <w:rPr>
          <w:i/>
          <w:iCs/>
        </w:rPr>
        <w:t>kaizen</w:t>
      </w:r>
      <w:r>
        <w:rPr/>
        <w:t xml:space="preserve"> programme.</w:t>
      </w:r>
    </w:p>
    <w:p>
      <w:pPr>
        <w:pStyle w:val="ListParagraph"/>
        <w:numPr>
          <w:ilvl w:val="0"/>
          <w:numId w:val="108"/>
        </w:numPr>
        <w:rPr/>
      </w:pPr>
      <w:r>
        <w:rPr>
          <w:b/>
          <w:bCs/>
        </w:rPr>
        <w:t>Map BSO services in each country</w:t>
      </w:r>
      <w:r>
        <w:rPr/>
        <w:t xml:space="preserve"> and publish a directory and referral system, so that MSMEs and BSOs know who offers what and overlapping mandates can be reduced (Section 6.2).</w:t>
      </w:r>
    </w:p>
    <w:p>
      <w:pPr>
        <w:pStyle w:val="ListParagraph"/>
        <w:numPr>
          <w:ilvl w:val="0"/>
          <w:numId w:val="109"/>
        </w:numPr>
        <w:rPr/>
      </w:pPr>
      <w:r>
        <w:rPr/>
        <w:t xml:space="preserve">Strengthen </w:t>
      </w:r>
      <w:r>
        <w:rPr>
          <w:b/>
          <w:bCs/>
        </w:rPr>
        <w:t>associations' advocacy capacity</w:t>
      </w:r>
      <w:r>
        <w:rPr/>
        <w:t>, including sector or KAZA desks in chambers and apex bodies, so that MSME issues such as payment terms and the cost of compliance reach government and anchor buyers.</w:t>
      </w:r>
    </w:p>
    <w:p>
      <w:pPr>
        <w:pStyle w:val="Normal"/>
        <w:jc w:val="both"/>
        <w:rPr/>
      </w:pPr>
      <w:r>
        <w:rPr/>
        <w:t>The programme should work through existing BSOs rather than create new ones. A lead BSO and a first strengthening focus are proposed for each country, based on Section 7.3. Section 6.4 sets out, country by country, the tourism MSME needs that these BSOs should address, the recommended interventions and the partner BSOs for each.</w:t>
      </w:r>
    </w:p>
    <w:p>
      <w:pPr>
        <w:pStyle w:val="Normal"/>
        <w:jc w:val="both"/>
        <w:rPr/>
      </w:pPr>
      <w:r>
        <w:rPr>
          <w:b/>
          <w:bCs/>
        </w:rPr>
        <w:t>In Angola,</w:t>
      </w:r>
      <w:r>
        <w:rPr/>
        <w:t xml:space="preserve"> INAPEM should lead, working with the provincial governments of Cuando and Cubango and conservation NGOs. The first focus would be a tourism and lodge-supply module in the incubator network, certification and registration help in Menongue, and building Angolan guiding and logistics capability, with the incubator network and Envolver+ as entry points. </w:t>
      </w:r>
      <w:r>
        <w:rPr>
          <w:b/>
          <w:bCs/>
        </w:rPr>
        <w:t>In Botswana,</w:t>
      </w:r>
      <w:r>
        <w:rPr/>
        <w:t xml:space="preserve"> LEA should lead with BTO, HATAB, WIBA, Business Botswana, BOBS, BNPC and anchor operators, focusing on supplier development in Kasane and Maun, a readiness diagnostic, an LEA-CEDA referral pipeline and links to Stanbic finance, standards and productivity services delivered through LEA, and organisational strengthening for HATAB; the Wilderness-LEA memorandum and the Wilderness-Stanbic facility are the entry points.</w:t>
      </w:r>
    </w:p>
    <w:p>
      <w:pPr>
        <w:pStyle w:val="Normal"/>
        <w:jc w:val="both"/>
        <w:rPr/>
      </w:pPr>
      <w:r>
        <w:rPr>
          <w:b/>
          <w:bCs/>
        </w:rPr>
        <w:t>In Namibia,</w:t>
      </w:r>
      <w:r>
        <w:rPr/>
        <w:t xml:space="preserve"> NIPDB should lead with NACSO, IRDNC, the Namibia Nature Foundation, the chamber's regional branches and lodge operators. The focus would be a KAZA window in the High Potential Pool and the SME fund, a pathway from conservancy enterprise to supplier, and registration support. </w:t>
      </w:r>
      <w:r>
        <w:rPr>
          <w:b/>
          <w:bCs/>
        </w:rPr>
        <w:t>In Zambia,</w:t>
      </w:r>
      <w:r>
        <w:rPr/>
        <w:t xml:space="preserve"> ZDA and CEEC should lead with the Livingstone Tourism Association and training institutions, focusing on tourism supplier development in Livingstone, seasonal terms in CEEC products and youth incubation, building on the ZDA-CEEC agreement and the UNDP youth MSME programme. </w:t>
      </w:r>
      <w:r>
        <w:rPr>
          <w:b/>
          <w:bCs/>
        </w:rPr>
        <w:t>In Zimbabwe,</w:t>
      </w:r>
      <w:r>
        <w:rPr/>
        <w:t xml:space="preserve"> SMEDCO should lead with ZIDA, the Zimbabwe Tourism Authority, the Tourism Business Council and the CAMPFIRE Association, focusing on supplier development in Victoria Falls and Hwange, tax-clearance support through ZIDA and investment readiness for ZEEX, building on SMEDCO's programmes and its stock exchange partnership.</w:t>
      </w:r>
    </w:p>
    <w:p>
      <w:pPr>
        <w:pStyle w:val="Heading2"/>
        <w:rPr/>
      </w:pPr>
      <w:bookmarkStart w:id="43" w:name="__RefHeading___Toc1337_3920751122"/>
      <w:bookmarkEnd w:id="43"/>
      <w:r>
        <w:rPr/>
        <w:t>10.6 Financial Institution Strengthening</w:t>
      </w:r>
    </w:p>
    <w:p>
      <w:pPr>
        <w:pStyle w:val="ListParagraph"/>
        <w:numPr>
          <w:ilvl w:val="0"/>
          <w:numId w:val="110"/>
        </w:numPr>
        <w:rPr/>
      </w:pPr>
      <w:r>
        <w:rPr/>
        <w:t xml:space="preserve">Technical assistance to partner banks and MFIs to design </w:t>
      </w:r>
      <w:r>
        <w:rPr>
          <w:b/>
          <w:bCs/>
        </w:rPr>
        <w:t>seasonal products</w:t>
      </w:r>
      <w:r>
        <w:rPr/>
        <w:t xml:space="preserve"> and contract-backed supplier finance.</w:t>
      </w:r>
    </w:p>
    <w:p>
      <w:pPr>
        <w:pStyle w:val="ListParagraph"/>
        <w:numPr>
          <w:ilvl w:val="0"/>
          <w:numId w:val="111"/>
        </w:numPr>
        <w:rPr/>
      </w:pPr>
      <w:r>
        <w:rPr>
          <w:b/>
          <w:bCs/>
        </w:rPr>
        <w:t>Sector training</w:t>
      </w:r>
      <w:r>
        <w:rPr/>
        <w:t xml:space="preserve"> for credit officers on R-NBT business models, anchor contracts and concession arrangements.</w:t>
      </w:r>
    </w:p>
    <w:p>
      <w:pPr>
        <w:pStyle w:val="ListParagraph"/>
        <w:numPr>
          <w:ilvl w:val="0"/>
          <w:numId w:val="112"/>
        </w:numPr>
        <w:rPr/>
      </w:pPr>
      <w:r>
        <w:rPr>
          <w:b/>
          <w:bCs/>
        </w:rPr>
        <w:t>Standard tripartite contract templates</w:t>
      </w:r>
      <w:r>
        <w:rPr/>
        <w:t xml:space="preserve"> (MSME supplier, anchor buyer and lender) in which payment is ceded to the lender, following the Wilderness-Stanbic example, to reduce reliance on slow court enforcement.</w:t>
      </w:r>
    </w:p>
    <w:p>
      <w:pPr>
        <w:pStyle w:val="ListParagraph"/>
        <w:numPr>
          <w:ilvl w:val="0"/>
          <w:numId w:val="113"/>
        </w:numPr>
        <w:rPr/>
      </w:pPr>
      <w:r>
        <w:rPr/>
        <w:t xml:space="preserve">Support to guarantee schemes to open </w:t>
      </w:r>
      <w:r>
        <w:rPr>
          <w:b/>
          <w:bCs/>
        </w:rPr>
        <w:t>tourism or KAZA windows</w:t>
      </w:r>
      <w:r>
        <w:rPr/>
        <w:t xml:space="preserve"> with seasonal terms, and to banks to use them.</w:t>
      </w:r>
    </w:p>
    <w:p>
      <w:pPr>
        <w:pStyle w:val="ListParagraph"/>
        <w:numPr>
          <w:ilvl w:val="0"/>
          <w:numId w:val="114"/>
        </w:numPr>
        <w:rPr/>
      </w:pPr>
      <w:r>
        <w:rPr/>
        <w:t xml:space="preserve">A </w:t>
      </w:r>
      <w:r>
        <w:rPr>
          <w:b/>
          <w:bCs/>
        </w:rPr>
        <w:t>revenue-based finance pilot</w:t>
      </w:r>
      <w:r>
        <w:rPr/>
        <w:t xml:space="preserve"> with an impact fund or fintech, using anchor-buyer and digital payment data.</w:t>
      </w:r>
    </w:p>
    <w:p>
      <w:pPr>
        <w:pStyle w:val="ListParagraph"/>
        <w:numPr>
          <w:ilvl w:val="0"/>
          <w:numId w:val="115"/>
        </w:numPr>
        <w:rPr/>
      </w:pPr>
      <w:r>
        <w:rPr>
          <w:b/>
          <w:bCs/>
        </w:rPr>
        <w:t>Gender-disaggregated reporting</w:t>
      </w:r>
      <w:r>
        <w:rPr/>
        <w:t xml:space="preserve"> and gender-smart product design.</w:t>
      </w:r>
    </w:p>
    <w:p>
      <w:pPr>
        <w:pStyle w:val="Heading2"/>
        <w:rPr/>
      </w:pPr>
      <w:bookmarkStart w:id="44" w:name="__RefHeading___Toc1339_3920751122"/>
      <w:bookmarkEnd w:id="44"/>
      <w:r>
        <w:rPr/>
        <w:t>10.7 Enabling Environment and Market Linkage Actions</w:t>
      </w:r>
    </w:p>
    <w:p>
      <w:pPr>
        <w:pStyle w:val="Normal"/>
        <w:jc w:val="both"/>
        <w:rPr/>
      </w:pPr>
      <w:r>
        <w:rPr/>
        <w:t>Most enabling-environment constraints are national and beyond the programme's control, but several can be influenced directly:</w:t>
      </w:r>
    </w:p>
    <w:p>
      <w:pPr>
        <w:pStyle w:val="ListParagraph"/>
        <w:numPr>
          <w:ilvl w:val="0"/>
          <w:numId w:val="116"/>
        </w:numPr>
        <w:rPr/>
      </w:pPr>
      <w:r>
        <w:rPr>
          <w:b/>
          <w:bCs/>
        </w:rPr>
        <w:t>Formalisation support at the point of need.</w:t>
      </w:r>
      <w:r>
        <w:rPr/>
        <w:t xml:space="preserve"> Fund BSO advisers to take MSMEs through registration and tax clearance when a contract requires it, using CIPA's online system in Botswana, ZIDA's one-stop centre in Zimbabwe and the BUE and Guiché Único in Angola.</w:t>
      </w:r>
    </w:p>
    <w:p>
      <w:pPr>
        <w:pStyle w:val="ListParagraph"/>
        <w:numPr>
          <w:ilvl w:val="0"/>
          <w:numId w:val="117"/>
        </w:numPr>
        <w:rPr/>
      </w:pPr>
      <w:r>
        <w:rPr>
          <w:b/>
          <w:bCs/>
        </w:rPr>
        <w:t>Dialogue on MSME-friendly rules.</w:t>
      </w:r>
      <w:r>
        <w:rPr/>
        <w:t xml:space="preserve"> Use national validation workshops to raise specific issues with regulators: a simplified tax-clearance route for micro-suppliers in Zimbabwe, omnibus licensing for tourism in Zambia (already under discussion between the BRRA, the Ministry of Tourism and the Zambia Tourism Agency), faster registration in Namibia, and seasonal terms in public finance schemes.</w:t>
      </w:r>
    </w:p>
    <w:p>
      <w:pPr>
        <w:pStyle w:val="ListParagraph"/>
        <w:numPr>
          <w:ilvl w:val="0"/>
          <w:numId w:val="118"/>
        </w:numPr>
        <w:rPr/>
      </w:pPr>
      <w:r>
        <w:rPr>
          <w:b/>
          <w:bCs/>
        </w:rPr>
        <w:t>Anchor procurement commitments.</w:t>
      </w:r>
      <w:r>
        <w:rPr/>
        <w:t xml:space="preserve"> Agree local and MSME procurement targets, product specifications and payment terms with anchor operators in each pilot destination, following the Wilderness and Gondwana examples, and report on them through the destination baselines (MD p. 140-141).</w:t>
      </w:r>
    </w:p>
    <w:p>
      <w:pPr>
        <w:pStyle w:val="ListParagraph"/>
        <w:numPr>
          <w:ilvl w:val="0"/>
          <w:numId w:val="119"/>
        </w:numPr>
        <w:rPr/>
      </w:pPr>
      <w:r>
        <w:rPr>
          <w:b/>
          <w:bCs/>
        </w:rPr>
        <w:t>Cross-border supply.</w:t>
      </w:r>
      <w:r>
        <w:rPr/>
        <w:t xml:space="preserve"> Support the KAZA Secretariat in implementing the 2024 commitment to broaden the Univisa, and pilot a simplified procedure for small consignments from MSME suppliers across the Kazungula and Victoria Falls borders.</w:t>
      </w:r>
    </w:p>
    <w:p>
      <w:pPr>
        <w:pStyle w:val="ListParagraph"/>
        <w:numPr>
          <w:ilvl w:val="0"/>
          <w:numId w:val="120"/>
        </w:numPr>
        <w:rPr/>
      </w:pPr>
      <w:r>
        <w:rPr>
          <w:b/>
          <w:bCs/>
        </w:rPr>
        <w:t>Update the regulatory evidence.</w:t>
      </w:r>
      <w:r>
        <w:rPr/>
        <w:t xml:space="preserve"> Replace the Doing Business 2020 benchmarks with B-READY data as the World Bank extends coverage to 164 economies by the end of 2026, and add KAZA-hub measures of registration and licensing time to the destination baselines.</w:t>
      </w:r>
    </w:p>
    <w:p>
      <w:pPr>
        <w:pStyle w:val="Heading2"/>
        <w:rPr/>
      </w:pPr>
      <w:bookmarkStart w:id="45" w:name="__RefHeading___Toc1341_3920751122"/>
      <w:bookmarkEnd w:id="45"/>
      <w:r>
        <w:rPr/>
        <w:t>10.8 Pathways to Financing</w:t>
      </w:r>
    </w:p>
    <w:p>
      <w:pPr>
        <w:pStyle w:val="Normal"/>
        <w:jc w:val="both"/>
        <w:rPr/>
      </w:pPr>
      <w:r>
        <w:rPr/>
        <w:t>The pathways connect the readiness tiers to the pilot mechanisms identified in the Financial Landscape Analysis:</w:t>
      </w:r>
    </w:p>
    <w:p>
      <w:pPr>
        <w:pStyle w:val="ListParagraph"/>
        <w:numPr>
          <w:ilvl w:val="0"/>
          <w:numId w:val="121"/>
        </w:numPr>
        <w:rPr/>
      </w:pPr>
      <w:r>
        <w:rPr>
          <w:b/>
          <w:bCs/>
        </w:rPr>
        <w:t>Tier 0-1 to savings-linked micro-finance:</w:t>
      </w:r>
      <w:r>
        <w:rPr/>
        <w:t xml:space="preserve"> savings groups linked to MFIs and women's and youth finance institutions, with community revolving funds where conservancy or CAMPFIRE revenues allow.</w:t>
      </w:r>
    </w:p>
    <w:p>
      <w:pPr>
        <w:pStyle w:val="ListParagraph"/>
        <w:numPr>
          <w:ilvl w:val="0"/>
          <w:numId w:val="122"/>
        </w:numPr>
        <w:rPr/>
      </w:pPr>
      <w:r>
        <w:rPr>
          <w:b/>
          <w:bCs/>
        </w:rPr>
        <w:t>Tier 1-2 to grant-to-loan finance:</w:t>
      </w:r>
      <w:r>
        <w:rPr/>
        <w:t xml:space="preserve"> readiness grants that convert to loans or guarantees on milestones.</w:t>
      </w:r>
    </w:p>
    <w:p>
      <w:pPr>
        <w:pStyle w:val="ListParagraph"/>
        <w:numPr>
          <w:ilvl w:val="0"/>
          <w:numId w:val="123"/>
        </w:numPr>
        <w:rPr/>
      </w:pPr>
      <w:r>
        <w:rPr>
          <w:b/>
          <w:bCs/>
        </w:rPr>
        <w:t>Tier 2 to contract-backed supplier finance and asset leasing:</w:t>
      </w:r>
      <w:r>
        <w:rPr/>
        <w:t xml:space="preserve"> anchored by lodge operators and DMCs, with tourism windows in national guarantee schemes.</w:t>
      </w:r>
    </w:p>
    <w:p>
      <w:pPr>
        <w:pStyle w:val="ListParagraph"/>
        <w:numPr>
          <w:ilvl w:val="0"/>
          <w:numId w:val="124"/>
        </w:numPr>
        <w:rPr/>
      </w:pPr>
      <w:r>
        <w:rPr>
          <w:b/>
          <w:bCs/>
        </w:rPr>
        <w:t>Tier 3 to term finance, revenue-based finance and quasi-equity:</w:t>
      </w:r>
      <w:r>
        <w:rPr/>
        <w:t xml:space="preserve"> through banks, DFIs and impact investors, with seasonal repayment.</w:t>
      </w:r>
    </w:p>
    <w:p>
      <w:pPr>
        <w:pStyle w:val="Heading2"/>
        <w:rPr/>
      </w:pPr>
      <w:bookmarkStart w:id="46" w:name="__RefHeading___Toc1343_3920751122"/>
      <w:bookmarkEnd w:id="46"/>
      <w:r>
        <w:rPr/>
        <w:t>10.9 Priorities and Next Steps</w:t>
      </w:r>
    </w:p>
    <w:p>
      <w:pPr>
        <w:pStyle w:val="ListParagraph"/>
        <w:numPr>
          <w:ilvl w:val="0"/>
          <w:numId w:val="125"/>
        </w:numPr>
        <w:rPr/>
      </w:pPr>
      <w:r>
        <w:rPr>
          <w:b/>
          <w:bCs/>
        </w:rPr>
        <w:t>Start where demand is proven:</w:t>
      </w:r>
      <w:r>
        <w:rPr/>
        <w:t xml:space="preserve"> food and agricultural supply and lodge-linked goods in Kasane/Chobe, Hwange-Victoria Falls, Livingstone and the Zambezi Region, where anchor demand is confirmed.</w:t>
      </w:r>
    </w:p>
    <w:p>
      <w:pPr>
        <w:pStyle w:val="ListParagraph"/>
        <w:numPr>
          <w:ilvl w:val="0"/>
          <w:numId w:val="126"/>
        </w:numPr>
        <w:rPr/>
      </w:pPr>
      <w:r>
        <w:rPr>
          <w:b/>
          <w:bCs/>
        </w:rPr>
        <w:t>Fix crafts through markets, not volume:</w:t>
      </w:r>
      <w:r>
        <w:rPr/>
        <w:t xml:space="preserve"> focus on product differentiation and buyer relationships before finance.</w:t>
      </w:r>
    </w:p>
    <w:p>
      <w:pPr>
        <w:pStyle w:val="ListParagraph"/>
        <w:numPr>
          <w:ilvl w:val="0"/>
          <w:numId w:val="127"/>
        </w:numPr>
        <w:rPr/>
      </w:pPr>
      <w:r>
        <w:rPr>
          <w:b/>
          <w:bCs/>
        </w:rPr>
        <w:t>Build on what exists:</w:t>
      </w:r>
      <w:r>
        <w:rPr/>
        <w:t xml:space="preserve"> work through the lead BSOs and anchor supplier programmes in each country rather than creating parallel structures.</w:t>
      </w:r>
    </w:p>
    <w:p>
      <w:pPr>
        <w:pStyle w:val="ListParagraph"/>
        <w:numPr>
          <w:ilvl w:val="0"/>
          <w:numId w:val="128"/>
        </w:numPr>
        <w:rPr/>
      </w:pPr>
      <w:r>
        <w:rPr>
          <w:b/>
          <w:bCs/>
        </w:rPr>
        <w:t>Close the gender and age data gap:</w:t>
      </w:r>
      <w:r>
        <w:rPr/>
        <w:t xml:space="preserve"> run a disaggregated MSME baseline in pilot destinations (Annex B).</w:t>
      </w:r>
    </w:p>
    <w:p>
      <w:pPr>
        <w:pStyle w:val="ListParagraph"/>
        <w:numPr>
          <w:ilvl w:val="0"/>
          <w:numId w:val="129"/>
        </w:numPr>
        <w:rPr/>
      </w:pPr>
      <w:r>
        <w:rPr>
          <w:b/>
          <w:bCs/>
        </w:rPr>
        <w:t>Validate:</w:t>
      </w:r>
      <w:r>
        <w:rPr/>
        <w:t xml:space="preserve"> test readiness ratings, models and enabling-environment findings with MSMEs, BSOs, anchor buyers, regulators and financial institutions at national workshops.</w:t>
      </w:r>
    </w:p>
    <w:p>
      <w:pPr>
        <w:pStyle w:val="ListParagraph"/>
        <w:numPr>
          <w:ilvl w:val="0"/>
          <w:numId w:val="130"/>
        </w:numPr>
        <w:rPr/>
      </w:pPr>
      <w:r>
        <w:rPr>
          <w:b/>
          <w:bCs/>
        </w:rPr>
        <w:t>Design pilots:</w:t>
      </w:r>
      <w:r>
        <w:rPr/>
        <w:t xml:space="preserve"> agree one or two blended packages per pilot destination with lead partners and term sheets for finance products.</w:t>
      </w:r>
      <w:r>
        <w:br w:type="page"/>
      </w:r>
    </w:p>
    <w:p>
      <w:pPr>
        <w:pStyle w:val="Heading1"/>
        <w:spacing w:before="0" w:after="240"/>
        <w:rPr/>
      </w:pPr>
      <w:bookmarkStart w:id="47" w:name="__RefHeading___Toc1345_3920751122"/>
      <w:bookmarkEnd w:id="47"/>
      <w:r>
        <w:rPr/>
        <w:t>Annex A: Evidence Map</w:t>
      </w:r>
    </w:p>
    <w:p>
      <w:pPr>
        <w:pStyle w:val="Normal"/>
        <w:jc w:val="both"/>
        <w:rPr/>
      </w:pPr>
      <w:r>
        <w:rPr/>
        <w:t>The Macro Diagnostic sections used in this assessment are listed below by topic.</w:t>
      </w:r>
    </w:p>
    <w:p>
      <w:pPr>
        <w:pStyle w:val="Normal"/>
        <w:jc w:val="both"/>
        <w:rPr/>
      </w:pPr>
      <w:r>
        <w:rPr/>
        <w:t>The survey of respondents by business activity comes from Section 10 of the Macro Diagnostic (page 61), and the stakeholder findings by country, which provide the buyer and enterprise evidence, from Section 11 (pages 65 to 76). Emerging themes and triangulation are in Section 12 (pages 77 to 85), the comparative value-chain table by country in Section 13 (pages 87 to 94), the MSME definition in Section 14 (pages 95 to 102) and destination prioritisation in Section 15 (pages 103 to 110).</w:t>
      </w:r>
    </w:p>
    <w:p>
      <w:pPr>
        <w:pStyle w:val="Normal"/>
        <w:jc w:val="both"/>
        <w:rPr/>
      </w:pPr>
      <w:r>
        <w:rPr/>
        <w:t>Regenerative practice and the enterprise cases are in Section 17 (pages 115 and 116), and cross-border corridors in Section 18 (pages 117 to 119). Local value capture, procurement and market readiness are covered in Section 20.7 (pages 128 and 129), the integrated preliminary conclusions in Section 21 (pages 131 to 135), data gaps and baseline indicators in Sections 22 and 23 (pages 139 to 142), and the recommendations on value capture and supplier development in Sections 24.1.5 and 24.1.7 (pages 146 to 148).</w:t>
      </w:r>
      <w:r>
        <w:br w:type="page"/>
      </w:r>
    </w:p>
    <w:p>
      <w:pPr>
        <w:pStyle w:val="Heading1"/>
        <w:spacing w:before="0" w:after="240"/>
        <w:rPr/>
      </w:pPr>
      <w:bookmarkStart w:id="48" w:name="__RefHeading___Toc1347_3920751122"/>
      <w:bookmarkEnd w:id="48"/>
      <w:r>
        <w:rPr/>
        <w:t>Annex B: Closing the Gender and Age Data Gap</w:t>
      </w:r>
    </w:p>
    <w:p>
      <w:pPr>
        <w:pStyle w:val="Normal"/>
        <w:jc w:val="both"/>
        <w:rPr/>
      </w:pPr>
      <w:r>
        <w:rPr/>
        <w:t>A disaggregated MSME baseline in pilot destinations should collect the following for each enterprise, with a sample large enough to compare women- and men-led and youth- and adult-led enterprises within each priority value chain:</w:t>
      </w:r>
    </w:p>
    <w:p>
      <w:pPr>
        <w:pStyle w:val="Normal"/>
        <w:jc w:val="both"/>
        <w:rPr/>
      </w:pPr>
      <w:r>
        <w:rPr>
          <w:b/>
          <w:bCs/>
        </w:rPr>
        <w:t>Owner and leadership:</w:t>
      </w:r>
      <w:r>
        <w:rPr/>
        <w:t xml:space="preserve"> the sex and age of the owner or owners and of the manager, and the share of ownership and of cooperative or committee leadership held by women and young people. </w:t>
      </w:r>
      <w:r>
        <w:rPr>
          <w:b/>
          <w:bCs/>
        </w:rPr>
        <w:t>Value chain position:</w:t>
      </w:r>
      <w:r>
        <w:rPr/>
        <w:t xml:space="preserve"> the value chain, the node (A to E), the main buyers and the share of sales going to anchor buyers. </w:t>
      </w:r>
      <w:r>
        <w:rPr>
          <w:b/>
          <w:bCs/>
        </w:rPr>
        <w:t>Business model:</w:t>
      </w:r>
      <w:r>
        <w:rPr/>
        <w:t xml:space="preserve"> products, revenue by month, employees by sex and age, and years in operation.</w:t>
      </w:r>
    </w:p>
    <w:p>
      <w:pPr>
        <w:pStyle w:val="Normal"/>
        <w:jc w:val="both"/>
        <w:rPr/>
      </w:pPr>
      <w:r>
        <w:rPr>
          <w:b/>
          <w:bCs/>
        </w:rPr>
        <w:t>Financial practices:</w:t>
      </w:r>
      <w:r>
        <w:rPr/>
        <w:t xml:space="preserve"> whether the enterprise has a separate business account, savings-group membership, the sources of start-up and working capital, loans applied for and received, and the reasons for not applying. </w:t>
      </w:r>
      <w:r>
        <w:rPr>
          <w:b/>
          <w:bCs/>
        </w:rPr>
        <w:t>Record-keeping:</w:t>
      </w:r>
      <w:r>
        <w:rPr/>
        <w:t xml:space="preserve"> the records kept (none, a notebook, a spreadsheet or accounting software) and the use of mobile money and bank accounts for the business. </w:t>
      </w:r>
      <w:r>
        <w:rPr>
          <w:b/>
          <w:bCs/>
        </w:rPr>
        <w:t>Formality:</w:t>
      </w:r>
      <w:r>
        <w:rPr/>
        <w:t xml:space="preserve"> registration, tax clearance, VAT, licences, insurance and certification, together with the time and cost taken to register and obtain tax clearance.</w:t>
      </w:r>
    </w:p>
    <w:p>
      <w:pPr>
        <w:pStyle w:val="Normal"/>
        <w:jc w:val="both"/>
        <w:rPr/>
      </w:pPr>
      <w:r>
        <w:rPr>
          <w:b/>
          <w:bCs/>
        </w:rPr>
        <w:t>Market access:</w:t>
      </w:r>
      <w:r>
        <w:rPr/>
        <w:t xml:space="preserve"> the number of anchor buyers, contracts held, payment terms and any cross-border sales. </w:t>
      </w:r>
      <w:r>
        <w:rPr>
          <w:b/>
          <w:bCs/>
        </w:rPr>
        <w:t>Constraints:</w:t>
      </w:r>
      <w:r>
        <w:rPr/>
        <w:t xml:space="preserve"> self-reported constraints, including land and collateral, time and care responsibilities, mobility and safety. </w:t>
      </w:r>
      <w:r>
        <w:rPr>
          <w:b/>
          <w:bCs/>
        </w:rPr>
        <w:t>Readiness tier:</w:t>
      </w:r>
      <w:r>
        <w:rPr/>
        <w:t xml:space="preserve"> the tier assigned using the common readiness diagnostic.</w:t>
      </w:r>
      <w:r>
        <w:br w:type="page"/>
      </w:r>
    </w:p>
    <w:p>
      <w:pPr>
        <w:pStyle w:val="Heading1"/>
        <w:spacing w:before="0" w:after="240"/>
        <w:rPr/>
      </w:pPr>
      <w:bookmarkStart w:id="49" w:name="__RefHeading___Toc1349_3920751122"/>
      <w:bookmarkEnd w:id="49"/>
      <w:r>
        <w:rPr/>
        <w:t>References</w:t>
      </w:r>
    </w:p>
    <w:p>
      <w:pPr>
        <w:pStyle w:val="Normal"/>
        <w:spacing w:before="0" w:after="160"/>
        <w:rPr/>
      </w:pPr>
      <w:r>
        <w:rPr>
          <w:i/>
          <w:iCs/>
          <w:color w:val="555555"/>
          <w:sz w:val="20"/>
          <w:szCs w:val="20"/>
        </w:rPr>
        <w:t>Each web source below was checked in October 2026 to confirm that it exists at the address given and contains the information attributed to it. Figures reported by companies, agencies and the press are attributed to those sources in the text. Unpublished project documents are marked as such.</w:t>
      </w:r>
    </w:p>
    <w:p>
      <w:pPr>
        <w:pStyle w:val="Normal"/>
        <w:spacing w:before="0" w:after="100"/>
        <w:ind w:hanging="567" w:left="567"/>
        <w:rPr/>
      </w:pPr>
      <w:r>
        <w:rPr>
          <w:sz w:val="20"/>
          <w:szCs w:val="20"/>
        </w:rPr>
        <w:t>AllAfrica (2026). Angola: Over 3,000 Micro and Small Companies Certified in 2025 in Benguela (ANGOP). https://allafrica.com/stories/202602030395.html</w:t>
      </w:r>
    </w:p>
    <w:p>
      <w:pPr>
        <w:pStyle w:val="Normal"/>
        <w:spacing w:before="0" w:after="100"/>
        <w:ind w:hanging="567" w:left="567"/>
        <w:rPr/>
      </w:pPr>
      <w:r>
        <w:rPr>
          <w:sz w:val="20"/>
          <w:szCs w:val="20"/>
        </w:rPr>
        <w:t>Alliance for Financial Inclusion (2024). Zambia: Increasing Women's Financial Inclusion and Closing the Women's SME Credit Gap through Enabling Financial Policy and Regulation. https://www.afi-global.org/wp-content/uploads/2024/10/Zambia-Increasing-Womens-Financial-Inclusion-and-Closing-the-Womens-SME-Credit-Gap-Through-Enabling-Financial-Policy-and-Regulation.pdf</w:t>
      </w:r>
    </w:p>
    <w:p>
      <w:pPr>
        <w:pStyle w:val="Normal"/>
        <w:spacing w:before="0" w:after="100"/>
        <w:ind w:hanging="567" w:left="567"/>
        <w:rPr/>
      </w:pPr>
      <w:r>
        <w:rPr>
          <w:sz w:val="20"/>
          <w:szCs w:val="20"/>
        </w:rPr>
        <w:t>Alliance for Financial Inclusion (n.d.). Women are leading Zambia's MSME sector: here's how it happened. https://afi-global.org/opinion/women-are-leading-zambias-msme-sector-heres-how-it-happened/</w:t>
      </w:r>
    </w:p>
    <w:p>
      <w:pPr>
        <w:pStyle w:val="Normal"/>
        <w:spacing w:before="0" w:after="100"/>
        <w:ind w:hanging="567" w:left="567"/>
        <w:rPr/>
      </w:pPr>
      <w:r>
        <w:rPr>
          <w:sz w:val="20"/>
          <w:szCs w:val="20"/>
        </w:rPr>
        <w:t>Anantara Hotels (n.d.). Changing the World, One Jar of Peanut Butter at a Time (Royal Livingstone smallholder sourcing). https://www.anantara.com/en/blog/zambia-csr-project</w:t>
      </w:r>
    </w:p>
    <w:p>
      <w:pPr>
        <w:pStyle w:val="Normal"/>
        <w:spacing w:before="0" w:after="100"/>
        <w:ind w:hanging="567" w:left="567"/>
        <w:rPr/>
      </w:pPr>
      <w:r>
        <w:rPr>
          <w:sz w:val="20"/>
          <w:szCs w:val="20"/>
        </w:rPr>
        <w:t>Ashley, C. and Mitchell, J. (2007). Assessing how tourism revenues reach the poor. ODI Briefing Paper. https://odi.org/en/publications/assessing-how-tourism-revenues-reach-the-poor/</w:t>
      </w:r>
    </w:p>
    <w:p>
      <w:pPr>
        <w:pStyle w:val="Normal"/>
        <w:spacing w:before="0" w:after="100"/>
        <w:ind w:hanging="567" w:left="567"/>
        <w:rPr/>
      </w:pPr>
      <w:r>
        <w:rPr>
          <w:sz w:val="20"/>
          <w:szCs w:val="20"/>
        </w:rPr>
        <w:t>ATTA (2026). Wilderness Botswana Impact Report Highlights Four Decades of Conservation Tourism Value. https://atta.travel/resource/wilderness-botswana-impact-report-highlights-four-decades-of-conservation-tourism-value.html</w:t>
      </w:r>
    </w:p>
    <w:p>
      <w:pPr>
        <w:pStyle w:val="Normal"/>
        <w:spacing w:before="0" w:after="100"/>
        <w:ind w:hanging="567" w:left="567"/>
        <w:rPr/>
      </w:pPr>
      <w:r>
        <w:rPr>
          <w:sz w:val="20"/>
          <w:szCs w:val="20"/>
        </w:rPr>
        <w:t>Business Times (2026). Unpacking SI 215 of 2025: Foreign participation in reserved sectors. https://businesstimes.co.zw/unpacking-si-215-of-2025-foreign-participation-in-reserved-sectors/</w:t>
      </w:r>
    </w:p>
    <w:p>
      <w:pPr>
        <w:pStyle w:val="Normal"/>
        <w:spacing w:before="0" w:after="100"/>
        <w:ind w:hanging="567" w:left="567"/>
        <w:rPr/>
      </w:pPr>
      <w:r>
        <w:rPr>
          <w:sz w:val="20"/>
          <w:szCs w:val="20"/>
        </w:rPr>
        <w:t>Business Times (n.d.). SMEDCO rolls out US$15m to unlock SME growth. https://businesstimes.co.zw/smedco-rolls-out-us15m-to-unlock-sme-growth/</w:t>
      </w:r>
    </w:p>
    <w:p>
      <w:pPr>
        <w:pStyle w:val="Normal"/>
        <w:spacing w:before="0" w:after="100"/>
        <w:ind w:hanging="567" w:left="567"/>
        <w:rPr/>
      </w:pPr>
      <w:r>
        <w:rPr>
          <w:sz w:val="20"/>
          <w:szCs w:val="20"/>
        </w:rPr>
        <w:t>Business Weekly (2026). BLLAHWU raises red flags over planned merger of parastatals. https://businessweekly.co.bw/news/bllahwu-raises-red-flags-over-planned-merger-of-parastatals</w:t>
      </w:r>
    </w:p>
    <w:p>
      <w:pPr>
        <w:pStyle w:val="Normal"/>
        <w:spacing w:before="0" w:after="100"/>
        <w:ind w:hanging="567" w:left="567"/>
        <w:rPr/>
      </w:pPr>
      <w:r>
        <w:rPr>
          <w:sz w:val="20"/>
          <w:szCs w:val="20"/>
        </w:rPr>
        <w:t>CDE and European Union (c. 2013). Annex I: Description of the Action "Support to the implementation of the Private Sector Development Strategy of Botswana and the Economic Diversification Drive" (FED/2013/312562), Section 2: PSDP Implementation Needs and Capacity Survey. Contribution Agreement for the implementation of the Private Sector Development Programme as part of the 10th EDF NSA programme, final draft. Unpublished project document.</w:t>
      </w:r>
    </w:p>
    <w:p>
      <w:pPr>
        <w:pStyle w:val="Normal"/>
        <w:spacing w:before="0" w:after="100"/>
        <w:ind w:hanging="567" w:left="567"/>
        <w:rPr/>
      </w:pPr>
      <w:r>
        <w:rPr>
          <w:sz w:val="20"/>
          <w:szCs w:val="20"/>
        </w:rPr>
        <w:t>Chipika, J. T. (n.d.). Opening remarks by the Deputy Governor, Reserve Bank of Zimbabwe, at the Regional Joint Learning Program on Developing and Implementing Financial Inclusion Policies and Regulations for Women-led MSMEs. Alliance for Financial Inclusion. https://afi-global.org/speeches/regional-joint-learning-program-on-developing-and-implementing-financial-inclusion-policies-and-regulations-for-women-led-msmes-opening-remarks-by-deputy-governor-dr-j-t-chipika/</w:t>
      </w:r>
    </w:p>
    <w:p>
      <w:pPr>
        <w:pStyle w:val="Normal"/>
        <w:spacing w:before="0" w:after="100"/>
        <w:ind w:hanging="567" w:left="567"/>
        <w:rPr/>
      </w:pPr>
      <w:r>
        <w:rPr>
          <w:sz w:val="20"/>
          <w:szCs w:val="20"/>
        </w:rPr>
        <w:t>COMESA (2016). Presentation on the COMESA Simplified Trade Regime (L. Othieno), UNCTAD meeting, 10 May 2016. https://unctad.org/meetings/en/Presentation/ditc-ted-10.05.16-oceans-comesa-lawrence%20othieno.pdf</w:t>
      </w:r>
    </w:p>
    <w:p>
      <w:pPr>
        <w:pStyle w:val="Normal"/>
        <w:spacing w:before="0" w:after="100"/>
        <w:ind w:hanging="567" w:left="567"/>
        <w:rPr/>
      </w:pPr>
      <w:r>
        <w:rPr>
          <w:sz w:val="20"/>
          <w:szCs w:val="20"/>
        </w:rPr>
        <w:t>COMESA (2025). Current threshold for the Simplified Trade Regime (STR). https://www.comesa.int/wp-content/uploads/2025/09/CURRENT-THRESHOLD-FOR-THE-SIMPLIFIED-TRADE-REGIME-STR1.pdf</w:t>
      </w:r>
    </w:p>
    <w:p>
      <w:pPr>
        <w:pStyle w:val="Normal"/>
        <w:spacing w:before="0" w:after="100"/>
        <w:ind w:hanging="567" w:left="567"/>
        <w:rPr/>
      </w:pPr>
      <w:r>
        <w:rPr>
          <w:sz w:val="20"/>
          <w:szCs w:val="20"/>
        </w:rPr>
        <w:t>Daily News (Botswana) (2025). Report on the second Okavango Wilderness Safaris Local Suppliers' Expo, Maun (edition of 30 June 2025). https://dailynews.gov.bw/common_up/dailynews/dailynews_pdf/30-06-2025_16-22-03_1751293323_dailynews_pdf.pdf</w:t>
      </w:r>
    </w:p>
    <w:p>
      <w:pPr>
        <w:pStyle w:val="Normal"/>
        <w:spacing w:before="0" w:after="100"/>
        <w:ind w:hanging="567" w:left="567"/>
        <w:rPr/>
      </w:pPr>
      <w:r>
        <w:rPr>
          <w:sz w:val="20"/>
          <w:szCs w:val="20"/>
        </w:rPr>
        <w:t>Daily News (Botswana) (n.d.). Review of Tourism Act to minimise revenue leakages. https://dailynews.gov.bw/news-detail/83542</w:t>
      </w:r>
    </w:p>
    <w:p>
      <w:pPr>
        <w:pStyle w:val="Normal"/>
        <w:spacing w:before="0" w:after="100"/>
        <w:ind w:hanging="567" w:left="567"/>
        <w:rPr/>
      </w:pPr>
      <w:r>
        <w:rPr>
          <w:sz w:val="20"/>
          <w:szCs w:val="20"/>
        </w:rPr>
        <w:t>Daily News (South Africa) (2025). New Zimbabwean laws reserve 14 key sectors for local ownership. https://dailynews.co.za/news/2025-12-16-new-zimbabwean-laws-reserve-14-key-sectors-for-local-ownership/</w:t>
      </w:r>
    </w:p>
    <w:p>
      <w:pPr>
        <w:pStyle w:val="Normal"/>
        <w:spacing w:before="0" w:after="100"/>
        <w:ind w:hanging="567" w:left="567"/>
        <w:rPr/>
      </w:pPr>
      <w:r>
        <w:rPr>
          <w:sz w:val="20"/>
          <w:szCs w:val="20"/>
        </w:rPr>
        <w:t>Ecofin Agency (2026). Rwanda Tops Africa in World Bank's Business Ready 2025 Ranking. https://www.ecofinagency.com/news/0801-51811-rwanda-tops-africa-in-world-bank-s-business-ready-2025-ranking</w:t>
      </w:r>
    </w:p>
    <w:p>
      <w:pPr>
        <w:pStyle w:val="Normal"/>
        <w:spacing w:before="0" w:after="100"/>
        <w:ind w:hanging="567" w:left="567"/>
        <w:rPr/>
      </w:pPr>
      <w:r>
        <w:rPr>
          <w:sz w:val="20"/>
          <w:szCs w:val="20"/>
        </w:rPr>
        <w:t>Equity Axis (2025). Zimbabwe welcomes over 750,000 tourists in H1 2024, tourism receipts edge half a billion. https://equityaxis.net/post/18316/2025/3/zimbabwe-welcomes-over-750-000-tourists-in-h1-2024-tourism-receipts-edges-half-a-billion</w:t>
      </w:r>
    </w:p>
    <w:p>
      <w:pPr>
        <w:pStyle w:val="Normal"/>
        <w:spacing w:before="0" w:after="100"/>
        <w:ind w:hanging="567" w:left="567"/>
        <w:rPr/>
      </w:pPr>
      <w:r>
        <w:rPr>
          <w:sz w:val="20"/>
          <w:szCs w:val="20"/>
        </w:rPr>
        <w:t>European Union (2026). Regenerative Nature Based Tourism Development: action document. https://www.eeas.europa.eu/sites/default/files/2026/documents/Regenerative%20Nature%20Based%20Tourism%20Development_0.pdf</w:t>
      </w:r>
    </w:p>
    <w:p>
      <w:pPr>
        <w:pStyle w:val="Normal"/>
        <w:spacing w:before="0" w:after="100"/>
        <w:ind w:hanging="567" w:left="567"/>
        <w:rPr/>
      </w:pPr>
      <w:r>
        <w:rPr>
          <w:sz w:val="20"/>
          <w:szCs w:val="20"/>
        </w:rPr>
        <w:t>FIIAPP (2025). Support for MSMEs and the establishment and operationalisation of the national network of incubators in Angola (ENVOLVER+). https://www.fiap.gob.es/en/proyectos_fiiapp/support-for-msmes-micro-small-and-medium-sized-enterprises-and-the-establishment-and-operationalization-of-the-national-network-of-incubators-in-angola/</w:t>
      </w:r>
    </w:p>
    <w:p>
      <w:pPr>
        <w:pStyle w:val="Normal"/>
        <w:spacing w:before="0" w:after="100"/>
        <w:ind w:hanging="567" w:left="567"/>
        <w:rPr/>
      </w:pPr>
      <w:r>
        <w:rPr>
          <w:sz w:val="20"/>
          <w:szCs w:val="20"/>
        </w:rPr>
        <w:t>FinMark Trust (2013). FinScope MSME Survey Zimbabwe 2012 (brochure). https://finmark.org.za/system/documents/files/000/000/448/original/FinScope_Zimbabwe_Broch13FNL.pdf</w:t>
      </w:r>
    </w:p>
    <w:p>
      <w:pPr>
        <w:pStyle w:val="Normal"/>
        <w:spacing w:before="0" w:after="100"/>
        <w:ind w:hanging="567" w:left="567"/>
        <w:rPr/>
      </w:pPr>
      <w:r>
        <w:rPr>
          <w:sz w:val="20"/>
          <w:szCs w:val="20"/>
        </w:rPr>
        <w:t>FinMark Trust (2022). FinScope MSME Survey Zimbabwe 2022: Topline Findings. https://finmark.org.za/Publications/FinScope_MSME_Survey_Zimbabwe2022_findings.pdf</w:t>
      </w:r>
    </w:p>
    <w:p>
      <w:pPr>
        <w:pStyle w:val="Normal"/>
        <w:spacing w:before="0" w:after="100"/>
        <w:ind w:hanging="567" w:left="567"/>
        <w:rPr/>
      </w:pPr>
      <w:r>
        <w:rPr>
          <w:sz w:val="20"/>
          <w:szCs w:val="20"/>
        </w:rPr>
        <w:t>FinMark Trust (2025). FinScope MSME Survey Botswana 2024: Pocket Guide. https://finmark.org.za/Publications/2024_Pocket_Guide_FinScope_Botswana_MSME.pdf</w:t>
      </w:r>
    </w:p>
    <w:p>
      <w:pPr>
        <w:pStyle w:val="Normal"/>
        <w:spacing w:before="0" w:after="100"/>
        <w:ind w:hanging="567" w:left="567"/>
        <w:rPr/>
      </w:pPr>
      <w:r>
        <w:rPr>
          <w:sz w:val="20"/>
          <w:szCs w:val="20"/>
        </w:rPr>
        <w:t>Forbes África Lusófona (2025). INAPEM aposta no fomento de mais talentos no sector das tecnologias em Angola. https://forbesafricalusofona.com/inapem-aposta-no-fomento-de-mais-talentos-no-sector-das-tecnologias-em-angola/</w:t>
      </w:r>
    </w:p>
    <w:p>
      <w:pPr>
        <w:pStyle w:val="Normal"/>
        <w:spacing w:before="0" w:after="100"/>
        <w:ind w:hanging="567" w:left="567"/>
        <w:rPr/>
      </w:pPr>
      <w:r>
        <w:rPr>
          <w:sz w:val="20"/>
          <w:szCs w:val="20"/>
        </w:rPr>
        <w:t>GIZ (2026). Regenerative Tourism: Investing in Nature and Local Economies across KAZA. https://www.giz.de/en/regions/africa/sadc-botswana/news/regenerative-tourism-investing-nature-and-local-economies-across-kaza</w:t>
      </w:r>
    </w:p>
    <w:p>
      <w:pPr>
        <w:pStyle w:val="Normal"/>
        <w:spacing w:before="0" w:after="100"/>
        <w:ind w:hanging="567" w:left="567"/>
        <w:rPr/>
      </w:pPr>
      <w:r>
        <w:rPr>
          <w:sz w:val="20"/>
          <w:szCs w:val="20"/>
        </w:rPr>
        <w:t>Gondwana Collection Namibia (n.d.). Etosha King Nehale: Where Architecture Preserves a Kingdom. https://gondwana-collection.com/blog/etosha-king-nehale-where-architecture-preserves-a-kingdom</w:t>
      </w:r>
    </w:p>
    <w:p>
      <w:pPr>
        <w:pStyle w:val="Normal"/>
        <w:spacing w:before="0" w:after="100"/>
        <w:ind w:hanging="567" w:left="567"/>
        <w:rPr/>
      </w:pPr>
      <w:r>
        <w:rPr>
          <w:sz w:val="20"/>
          <w:szCs w:val="20"/>
        </w:rPr>
        <w:t>Gondwana Collection Namibia (n.d.). Partners to Gondwana. https://gondwana-collection.com/en/about-us/our-partners</w:t>
      </w:r>
    </w:p>
    <w:p>
      <w:pPr>
        <w:pStyle w:val="Normal"/>
        <w:spacing w:before="0" w:after="100"/>
        <w:ind w:hanging="567" w:left="567"/>
        <w:rPr/>
      </w:pPr>
      <w:r>
        <w:rPr>
          <w:sz w:val="20"/>
          <w:szCs w:val="20"/>
        </w:rPr>
        <w:t>Government of Angola (2012). Decreto Presidencial n.º 40/12, de 13 de Março (Balcão Único do Empreendedor). https://lex.ao/docs/presidente-da-republica/2012/decreto-presidencial-n-o-40-12-de-13-de-marco/</w:t>
      </w:r>
    </w:p>
    <w:p>
      <w:pPr>
        <w:pStyle w:val="Normal"/>
        <w:spacing w:before="0" w:after="100"/>
        <w:ind w:hanging="567" w:left="567"/>
        <w:rPr/>
      </w:pPr>
      <w:r>
        <w:rPr>
          <w:sz w:val="20"/>
          <w:szCs w:val="20"/>
        </w:rPr>
        <w:t>Government of Botswana (2021). Economic Inclusion Act (Act No. 26 of 2021). https://botswanalaws.com/consolidated-statutes/principle-legislation/economic-inclusion-act</w:t>
      </w:r>
    </w:p>
    <w:p>
      <w:pPr>
        <w:pStyle w:val="Normal"/>
        <w:spacing w:before="0" w:after="100"/>
        <w:ind w:hanging="567" w:left="567"/>
        <w:rPr/>
      </w:pPr>
      <w:r>
        <w:rPr>
          <w:sz w:val="20"/>
          <w:szCs w:val="20"/>
        </w:rPr>
        <w:t>Government of Zimbabwe (2025). Indigenisation and Economic Empowerment (Foreign Participation in Reserved Sectors) Regulations, 2025 (SI 215 of 2025). ZimLII. https://zimlii.org/akn/zw/act/si/2025/215/eng@2025-12-11</w:t>
      </w:r>
    </w:p>
    <w:p>
      <w:pPr>
        <w:pStyle w:val="Normal"/>
        <w:spacing w:before="0" w:after="100"/>
        <w:ind w:hanging="567" w:left="567"/>
        <w:rPr/>
      </w:pPr>
      <w:r>
        <w:rPr>
          <w:sz w:val="20"/>
          <w:szCs w:val="20"/>
        </w:rPr>
        <w:t>Herald, The (2019). Zim among World Bank top performers. https://www.heraldonline.co.zw/zim-among-world-bank-top-performers-2/</w:t>
      </w:r>
    </w:p>
    <w:p>
      <w:pPr>
        <w:pStyle w:val="Normal"/>
        <w:spacing w:before="0" w:after="100"/>
        <w:ind w:hanging="567" w:left="567"/>
        <w:rPr/>
      </w:pPr>
      <w:r>
        <w:rPr>
          <w:sz w:val="20"/>
          <w:szCs w:val="20"/>
        </w:rPr>
        <w:t>KAZA Financial Landscape Analysis: Access to Finance for R-NBT MSMEs in the KAZA TFCA (Final Draft for Validation, October 2026). Unpublished.</w:t>
      </w:r>
    </w:p>
    <w:p>
      <w:pPr>
        <w:pStyle w:val="Normal"/>
        <w:spacing w:before="0" w:after="100"/>
        <w:ind w:hanging="567" w:left="567"/>
        <w:rPr/>
      </w:pPr>
      <w:r>
        <w:rPr>
          <w:sz w:val="20"/>
          <w:szCs w:val="20"/>
        </w:rPr>
        <w:t>Mbaiwa, J. E. (2005). Enclave tourism and its socio-economic impacts in the Okavango Delta, Botswana. Tourism Management 26(2), 157-172. https://ubrisa.ub.bw/handle/10311/429</w:t>
      </w:r>
    </w:p>
    <w:p>
      <w:pPr>
        <w:pStyle w:val="Normal"/>
        <w:spacing w:before="0" w:after="100"/>
        <w:ind w:hanging="567" w:left="567"/>
        <w:rPr/>
      </w:pPr>
      <w:r>
        <w:rPr>
          <w:sz w:val="20"/>
          <w:szCs w:val="20"/>
        </w:rPr>
        <w:t>Ministry of Trade and Entrepreneurship, Botswana (2026). Committee of Supply Speech, Organisation 0700, 2026/27. https://www.parliament.gov.bw/documents/Committee-of-Supply-Speech--16-02-2026--Ministry-of-Trade---Entrepreneurship-Version-6--final_07_19_44_27_07_2026.pdf</w:t>
      </w:r>
    </w:p>
    <w:p>
      <w:pPr>
        <w:pStyle w:val="Normal"/>
        <w:spacing w:before="0" w:after="100"/>
        <w:ind w:hanging="567" w:left="567"/>
        <w:rPr/>
      </w:pPr>
      <w:r>
        <w:rPr>
          <w:sz w:val="20"/>
          <w:szCs w:val="20"/>
        </w:rPr>
        <w:t>Mmegi (2025). Stanbic, Wilderness offer lifeline for SMMEs in tourism. https://www.mmegi.bw/business/stanbic-wilderness-offer-lifeline-for-smmes-in-tourism/news</w:t>
      </w:r>
    </w:p>
    <w:p>
      <w:pPr>
        <w:pStyle w:val="Normal"/>
        <w:spacing w:before="0" w:after="100"/>
        <w:ind w:hanging="567" w:left="567"/>
        <w:rPr/>
      </w:pPr>
      <w:r>
        <w:rPr>
          <w:sz w:val="20"/>
          <w:szCs w:val="20"/>
        </w:rPr>
        <w:t>Mmegi (2026). Wilderness, LEA herald new era for citizen participation in tourism. https://www.mmegi.bw/business/wilderness-lea-herald-new-era-for-citizen-participation-in-tourism/news</w:t>
      </w:r>
    </w:p>
    <w:p>
      <w:pPr>
        <w:pStyle w:val="Normal"/>
        <w:spacing w:before="0" w:after="100"/>
        <w:ind w:hanging="567" w:left="567"/>
        <w:rPr/>
      </w:pPr>
      <w:r>
        <w:rPr>
          <w:sz w:val="20"/>
          <w:szCs w:val="20"/>
        </w:rPr>
        <w:t>Namibia Statistics Agency (2025). 2023 Labour Force Report: presentation for the launch. https://nsa.org.na/wp-content/uploads/2025/01/2023-Labour-Force-Report-Presentation-for-the-Launch-Jan-2025-_OS.pdf</w:t>
      </w:r>
    </w:p>
    <w:p>
      <w:pPr>
        <w:pStyle w:val="Normal"/>
        <w:spacing w:before="0" w:after="100"/>
        <w:ind w:hanging="567" w:left="567"/>
        <w:rPr/>
      </w:pPr>
      <w:r>
        <w:rPr>
          <w:sz w:val="20"/>
          <w:szCs w:val="20"/>
        </w:rPr>
        <w:t>Namibian, The (2025). Oshana leads with most registered businesses. https://www.namibian.com.na/oshana-leads-with-most-registered-businesses/</w:t>
      </w:r>
    </w:p>
    <w:p>
      <w:pPr>
        <w:pStyle w:val="Normal"/>
        <w:spacing w:before="0" w:after="100"/>
        <w:ind w:hanging="567" w:left="567"/>
        <w:rPr/>
      </w:pPr>
      <w:r>
        <w:rPr>
          <w:sz w:val="20"/>
          <w:szCs w:val="20"/>
        </w:rPr>
        <w:t>Namibian, The (2026). Namibia receives 1.3m tourists in 2025. https://www.namibian.com.na/namibia-receives-1-3m-tourists-in-2025/</w:t>
      </w:r>
    </w:p>
    <w:p>
      <w:pPr>
        <w:pStyle w:val="Normal"/>
        <w:spacing w:before="0" w:after="100"/>
        <w:ind w:hanging="567" w:left="567"/>
        <w:rPr/>
      </w:pPr>
      <w:r>
        <w:rPr>
          <w:sz w:val="20"/>
          <w:szCs w:val="20"/>
        </w:rPr>
        <w:t>Namibian, The (2026). Visa regime change bites tourism. https://www.namibian.com.na/visa-regime-change-bites-tourism/</w:t>
      </w:r>
    </w:p>
    <w:p>
      <w:pPr>
        <w:pStyle w:val="Normal"/>
        <w:spacing w:before="0" w:after="100"/>
        <w:ind w:hanging="567" w:left="567"/>
        <w:rPr/>
      </w:pPr>
      <w:r>
        <w:rPr>
          <w:sz w:val="20"/>
          <w:szCs w:val="20"/>
        </w:rPr>
        <w:t>Namibian, The (n.d.). NIPDB urges MSMEs to apply for N$18m fund. https://www.namibian.com.na/nipdb-urges-msmes-to-apply-for-n18m-fund/</w:t>
      </w:r>
    </w:p>
    <w:p>
      <w:pPr>
        <w:pStyle w:val="Normal"/>
        <w:spacing w:before="0" w:after="100"/>
        <w:ind w:hanging="567" w:left="567"/>
        <w:rPr/>
      </w:pPr>
      <w:r>
        <w:rPr>
          <w:sz w:val="20"/>
          <w:szCs w:val="20"/>
        </w:rPr>
        <w:t>Newsday (2026). ZSE, SMEDCO join forces to bridge SME funding gap. https://www.newsday.co.zw/business/article/200057516/zse-smedco-join-forces-to-bridge-sme-funding-gap</w:t>
      </w:r>
    </w:p>
    <w:p>
      <w:pPr>
        <w:pStyle w:val="Normal"/>
        <w:spacing w:before="0" w:after="100"/>
        <w:ind w:hanging="567" w:left="567"/>
        <w:rPr/>
      </w:pPr>
      <w:r>
        <w:rPr>
          <w:sz w:val="20"/>
          <w:szCs w:val="20"/>
        </w:rPr>
        <w:t>NIPDB (n.d.). K2G High Potential Pool. https://msme.nipdb.com/k2g-hpp/</w:t>
      </w:r>
    </w:p>
    <w:p>
      <w:pPr>
        <w:pStyle w:val="Normal"/>
        <w:spacing w:before="0" w:after="100"/>
        <w:ind w:hanging="567" w:left="567"/>
        <w:rPr/>
      </w:pPr>
      <w:r>
        <w:rPr>
          <w:sz w:val="20"/>
          <w:szCs w:val="20"/>
        </w:rPr>
        <w:t>NIPDB (n.d.). Micro, Small and Medium Enterprises Development. https://www.nipdb.com/partnerships/msme</w:t>
      </w:r>
    </w:p>
    <w:p>
      <w:pPr>
        <w:pStyle w:val="Normal"/>
        <w:spacing w:before="0" w:after="100"/>
        <w:ind w:hanging="567" w:left="567"/>
        <w:rPr/>
      </w:pPr>
      <w:r>
        <w:rPr>
          <w:sz w:val="20"/>
          <w:szCs w:val="20"/>
        </w:rPr>
        <w:t>Nsanzya, B. M. K. (n.d.). Evaluating Tourism-Agriculture Linkages for Inclusive Growth in Zambia. PhD thesis, University of Pretoria. https://repository.up.ac.za/server/api/core/bitstreams/97195534-6092-4f4a-ad1e-4383f140ff9a/content</w:t>
      </w:r>
    </w:p>
    <w:p>
      <w:pPr>
        <w:pStyle w:val="Normal"/>
        <w:spacing w:before="0" w:after="100"/>
        <w:ind w:hanging="567" w:left="567"/>
        <w:rPr/>
      </w:pPr>
      <w:r>
        <w:rPr>
          <w:sz w:val="20"/>
          <w:szCs w:val="20"/>
        </w:rPr>
        <w:t>Reserve Bank of Zimbabwe (2022). Zimbabwe FinScope MSME Survey Report 2022. https://www.rbz.co.zw/documents/BLSS/2022/Zimbabwe_FinScope_MSME_Survey_Report_2022.pdf</w:t>
      </w:r>
    </w:p>
    <w:p>
      <w:pPr>
        <w:pStyle w:val="Normal"/>
        <w:spacing w:before="0" w:after="100"/>
        <w:ind w:hanging="567" w:left="567"/>
        <w:rPr/>
      </w:pPr>
      <w:r>
        <w:rPr>
          <w:sz w:val="20"/>
          <w:szCs w:val="20"/>
        </w:rPr>
        <w:t>SIGMA International (2026). KAZA Regenerative Nature-Based Tourism Macro Diagnostic: Findings Report (Draft). Prepared for GIZ, September 2026. Unpublished; used via an extract on priority value chains.</w:t>
      </w:r>
    </w:p>
    <w:p>
      <w:pPr>
        <w:pStyle w:val="Normal"/>
        <w:spacing w:before="0" w:after="100"/>
        <w:ind w:hanging="567" w:left="567"/>
        <w:rPr/>
      </w:pPr>
      <w:r>
        <w:rPr>
          <w:sz w:val="20"/>
          <w:szCs w:val="20"/>
        </w:rPr>
        <w:t>Statistics Botswana (2026). Tourism International Visitor Arrivals Stats Brief, 2024 Quarters 2-4. https://www.statsbots.org.bw/sites/default/files/publications/Tourism%20International%20Visitor%20Arrivals%20Stats%20Brief%202024%20Quarter%202-4.pdf</w:t>
      </w:r>
    </w:p>
    <w:p>
      <w:pPr>
        <w:pStyle w:val="Normal"/>
        <w:spacing w:before="0" w:after="100"/>
        <w:ind w:hanging="567" w:left="567"/>
        <w:rPr/>
      </w:pPr>
      <w:r>
        <w:rPr>
          <w:sz w:val="20"/>
          <w:szCs w:val="20"/>
        </w:rPr>
        <w:t>The Brief (2024). Annual duty waiver programme will not be extended: BIPA. https://thebrief.com.na/2024/06/annual-duty-waiver-programme-will-not-be-extended-bipa/</w:t>
      </w:r>
    </w:p>
    <w:p>
      <w:pPr>
        <w:pStyle w:val="Normal"/>
        <w:spacing w:before="0" w:after="100"/>
        <w:ind w:hanging="567" w:left="567"/>
        <w:rPr/>
      </w:pPr>
      <w:r>
        <w:rPr>
          <w:sz w:val="20"/>
          <w:szCs w:val="20"/>
        </w:rPr>
        <w:t>The Brief (2025). BIPA to deregister 1,000 companies every month. https://thebrief.com.na/2025/08/bipa-to-deregister-1000-companies-every-month/</w:t>
      </w:r>
    </w:p>
    <w:p>
      <w:pPr>
        <w:pStyle w:val="Normal"/>
        <w:spacing w:before="0" w:after="100"/>
        <w:ind w:hanging="567" w:left="567"/>
        <w:rPr/>
      </w:pPr>
      <w:r>
        <w:rPr>
          <w:sz w:val="20"/>
          <w:szCs w:val="20"/>
        </w:rPr>
        <w:t>TimesLIVE (2024). Southern African countries plan to expand special tourist visa. https://www.timeslive.co.za/news/africa/2024-06-03-southern-african-countries-plan-to-expand-special-tourist-visa/</w:t>
      </w:r>
    </w:p>
    <w:p>
      <w:pPr>
        <w:pStyle w:val="Normal"/>
        <w:spacing w:before="0" w:after="100"/>
        <w:ind w:hanging="567" w:left="567"/>
        <w:rPr/>
      </w:pPr>
      <w:r>
        <w:rPr>
          <w:sz w:val="20"/>
          <w:szCs w:val="20"/>
        </w:rPr>
        <w:t>Tourism Update (2025). Teething problems plague Namibia's new visa regime. https://www.tourismupdate.com/article/teething-problems-plague-namibias-new-visa-regime</w:t>
      </w:r>
    </w:p>
    <w:p>
      <w:pPr>
        <w:pStyle w:val="Normal"/>
        <w:spacing w:before="0" w:after="100"/>
        <w:ind w:hanging="567" w:left="567"/>
        <w:rPr/>
      </w:pPr>
      <w:r>
        <w:rPr>
          <w:sz w:val="20"/>
          <w:szCs w:val="20"/>
        </w:rPr>
        <w:t>UN Women (2025). The Impact of Austerity Measures on Women-Owned Businesses in Zimbabwe. https://africa.unwomen.org/en/digital-library/publications/2025/03/the-impact-of-austerity-measures-on-women-owned-businesses-in-zimbabwe</w:t>
      </w:r>
    </w:p>
    <w:p>
      <w:pPr>
        <w:pStyle w:val="Normal"/>
        <w:spacing w:before="0" w:after="100"/>
        <w:ind w:hanging="567" w:left="567"/>
        <w:rPr/>
      </w:pPr>
      <w:r>
        <w:rPr>
          <w:sz w:val="20"/>
          <w:szCs w:val="20"/>
        </w:rPr>
        <w:t>UNDP Zambia (2025). UNDP Youth-Led MSME Empowerment Programme Launched to Boost Entrepreneurial Capacity and Regional Market Access. https://www.undp.org/zambia/press-releases/undp-youth-led-msme-empowerment-programme-launched-boost-entrepreneurial-capacity-and-regional-market-access</w:t>
      </w:r>
    </w:p>
    <w:p>
      <w:pPr>
        <w:pStyle w:val="Normal"/>
        <w:spacing w:before="0" w:after="100"/>
        <w:ind w:hanging="567" w:left="567"/>
        <w:rPr/>
      </w:pPr>
      <w:r>
        <w:rPr>
          <w:sz w:val="20"/>
          <w:szCs w:val="20"/>
        </w:rPr>
        <w:t>US Department of State (2020). 2020 Investment Climate Statements: Botswana. https://www.state.gov/reports/2020-investment-climate-statements/botswana/</w:t>
      </w:r>
    </w:p>
    <w:p>
      <w:pPr>
        <w:pStyle w:val="Normal"/>
        <w:spacing w:before="0" w:after="100"/>
        <w:ind w:hanging="567" w:left="567"/>
        <w:rPr/>
      </w:pPr>
      <w:r>
        <w:rPr>
          <w:sz w:val="20"/>
          <w:szCs w:val="20"/>
        </w:rPr>
        <w:t>US Department of State (2026). 2026 Investment Climate Statements: Botswana. https://www.state.gov/reports/2026-investment-climate-statements/botswana</w:t>
      </w:r>
    </w:p>
    <w:p>
      <w:pPr>
        <w:pStyle w:val="Normal"/>
        <w:spacing w:before="0" w:after="100"/>
        <w:ind w:hanging="567" w:left="567"/>
        <w:rPr/>
      </w:pPr>
      <w:r>
        <w:rPr>
          <w:sz w:val="20"/>
          <w:szCs w:val="20"/>
        </w:rPr>
        <w:t>US International Trade Administration (n.d.). Botswana Country Commercial Guide: Market Challenges. https://www.trade.gov/country-commercial-guides/botswana-market-challenges</w:t>
      </w:r>
    </w:p>
    <w:p>
      <w:pPr>
        <w:pStyle w:val="Normal"/>
        <w:spacing w:before="0" w:after="100"/>
        <w:ind w:hanging="567" w:left="567"/>
        <w:rPr/>
      </w:pPr>
      <w:r>
        <w:rPr>
          <w:sz w:val="20"/>
          <w:szCs w:val="20"/>
        </w:rPr>
        <w:t>Ver Angola (2021). Nova plataforma permite criar empresa em uma hora. https://www.verangola.net/va/pt/052021/Economia/25439/Nova-plataforma-permite-criar-empresa-em-uma-hora.htm</w:t>
      </w:r>
    </w:p>
    <w:p>
      <w:pPr>
        <w:pStyle w:val="Normal"/>
        <w:spacing w:before="0" w:after="100"/>
        <w:ind w:hanging="567" w:left="567"/>
        <w:rPr/>
      </w:pPr>
      <w:r>
        <w:rPr>
          <w:sz w:val="20"/>
          <w:szCs w:val="20"/>
        </w:rPr>
        <w:t>Ver Angola (2025). Envolver Project launched in Angola to strengthen entrepreneurship. https://www.verangola.net/va/en/102025/Society/46493/Envolver-Project-launched-in-Angola-to-strengthen-entrepreneurship.htm</w:t>
      </w:r>
    </w:p>
    <w:p>
      <w:pPr>
        <w:pStyle w:val="Normal"/>
        <w:spacing w:before="0" w:after="100"/>
        <w:ind w:hanging="567" w:left="567"/>
        <w:rPr/>
      </w:pPr>
      <w:r>
        <w:rPr>
          <w:sz w:val="20"/>
          <w:szCs w:val="20"/>
        </w:rPr>
        <w:t>Veritas Zimbabwe (2018). Bill Watch 5-2018: Indigenisation Act Amendments Now Law. https://www.veritaszim.net/node/2355</w:t>
      </w:r>
    </w:p>
    <w:p>
      <w:pPr>
        <w:pStyle w:val="Normal"/>
        <w:spacing w:before="0" w:after="100"/>
        <w:ind w:hanging="567" w:left="567"/>
        <w:rPr/>
      </w:pPr>
      <w:r>
        <w:rPr>
          <w:sz w:val="20"/>
          <w:szCs w:val="20"/>
        </w:rPr>
        <w:t>World Bank (2013). FinScope MSME Survey Zimbabwe 2012. https://documents1.worldbank.org/curated/en/780081468137402417/pdf/945050WP0Box385442B0P12644800PUBLIC00ACS.pdf</w:t>
      </w:r>
    </w:p>
    <w:p>
      <w:pPr>
        <w:pStyle w:val="Normal"/>
        <w:spacing w:before="0" w:after="100"/>
        <w:ind w:hanging="567" w:left="567"/>
        <w:rPr/>
      </w:pPr>
      <w:r>
        <w:rPr>
          <w:sz w:val="20"/>
          <w:szCs w:val="20"/>
        </w:rPr>
        <w:t>World Bank (2019). Doing Business 2020: Comparing Business Regulation in 190 Economies. https://documents1.worldbank.org/curated/en/688761571934946384/pdf/Doing-Business-2020-Comparing-Business-Regulation-in-190-Economies.pdf</w:t>
      </w:r>
    </w:p>
    <w:p>
      <w:pPr>
        <w:pStyle w:val="Normal"/>
        <w:spacing w:before="0" w:after="100"/>
        <w:ind w:hanging="567" w:left="567"/>
        <w:rPr/>
      </w:pPr>
      <w:r>
        <w:rPr>
          <w:sz w:val="20"/>
          <w:szCs w:val="20"/>
        </w:rPr>
        <w:t>World Bank (2019). Doing Business 2020: Economy Profile of Zimbabwe (economy profiles for Angola, Botswana, Namibia and Zambia are published in the same series). https://documents1.worldbank.org/curated/en/177921575381849841/pdf/Doing-Business-2020-Comparing-Business-Regulation-in-190-Economies-Economy-Profile-of-Zimbabwe.pdf</w:t>
      </w:r>
    </w:p>
    <w:p>
      <w:pPr>
        <w:pStyle w:val="Normal"/>
        <w:spacing w:before="0" w:after="100"/>
        <w:ind w:hanging="567" w:left="567"/>
        <w:rPr/>
      </w:pPr>
      <w:r>
        <w:rPr>
          <w:sz w:val="20"/>
          <w:szCs w:val="20"/>
        </w:rPr>
        <w:t>World Bank (2019). Doing Business 2020: Two Sub-Saharan African Countries among Most Improved in Ease of Doing Business (press release, 24 October 2019). https://www.worldbank.org/en/news/press-release/2019/10/24/doing-business-2020-two-sub-saharan-african-countries-among-most-improved-in-ease-of-doing-business</w:t>
      </w:r>
    </w:p>
    <w:p>
      <w:pPr>
        <w:pStyle w:val="Normal"/>
        <w:spacing w:before="0" w:after="100"/>
        <w:ind w:hanging="567" w:left="567"/>
        <w:rPr/>
      </w:pPr>
      <w:r>
        <w:rPr>
          <w:sz w:val="20"/>
          <w:szCs w:val="20"/>
        </w:rPr>
        <w:t>World Bank (2021). Access to Finance and Capacity Building of Women-led Small and Medium Enterprises in Zambia (W-SME Survey Report). https://documents1.worldbank.org/curated/en/576591618321561334/pdf/Access-to-Finance-and-Capacity-Building-of-Women-led-Small-and-Medium-Enterprises-in-Zambia.pdf</w:t>
      </w:r>
    </w:p>
    <w:p>
      <w:pPr>
        <w:pStyle w:val="Normal"/>
        <w:spacing w:before="0" w:after="100"/>
        <w:ind w:hanging="567" w:left="567"/>
        <w:rPr/>
      </w:pPr>
      <w:r>
        <w:rPr>
          <w:sz w:val="20"/>
          <w:szCs w:val="20"/>
        </w:rPr>
        <w:t>World Bank (2024). Risk and reform: Zambia's strategic approach to modern governance (Nasikiliza blog). https://blogs.worldbank.org/en/nasikiliza/risk-and-reform-zambias-strategic-approach-to-modern-governance-afe-0524</w:t>
      </w:r>
    </w:p>
    <w:p>
      <w:pPr>
        <w:pStyle w:val="Normal"/>
        <w:spacing w:before="0" w:after="100"/>
        <w:ind w:hanging="567" w:left="567"/>
        <w:rPr/>
      </w:pPr>
      <w:r>
        <w:rPr>
          <w:sz w:val="20"/>
          <w:szCs w:val="20"/>
        </w:rPr>
        <w:t>World Bank (2024). Skills Development in Namibia: Policy Note. https://documents.worldbank.org/en/publication/documents-reports/documentdetail/099081224051035127</w:t>
      </w:r>
    </w:p>
    <w:p>
      <w:pPr>
        <w:pStyle w:val="Normal"/>
        <w:spacing w:before="0" w:after="100"/>
        <w:ind w:hanging="567" w:left="567"/>
        <w:rPr/>
      </w:pPr>
      <w:r>
        <w:rPr>
          <w:sz w:val="20"/>
          <w:szCs w:val="20"/>
        </w:rPr>
        <w:t>World Bank (2025). Business Ready 2025. https://documents.worldbank.org/en/publication/documents-reports/documentdetail/099122925140531373</w:t>
      </w:r>
    </w:p>
    <w:p>
      <w:pPr>
        <w:pStyle w:val="Normal"/>
        <w:spacing w:before="0" w:after="100"/>
        <w:ind w:hanging="567" w:left="567"/>
        <w:rPr/>
      </w:pPr>
      <w:r>
        <w:rPr>
          <w:sz w:val="20"/>
          <w:szCs w:val="20"/>
        </w:rPr>
        <w:t>Zambia Monitor (2025). Mauritius reforms offer blueprint for Zambia, says business review agency. https://www.zambiamonitor.com/mauritius-reforms-offer-blueprint-for-zambia-says-business-review-agency/</w:t>
      </w:r>
    </w:p>
    <w:p>
      <w:pPr>
        <w:pStyle w:val="Normal"/>
        <w:spacing w:before="0" w:after="100"/>
        <w:ind w:hanging="567" w:left="567"/>
        <w:rPr/>
      </w:pPr>
      <w:r>
        <w:rPr>
          <w:sz w:val="20"/>
          <w:szCs w:val="20"/>
        </w:rPr>
        <w:t>Zambia Monitor (n.d.). ZDA, CEEC partner to boost SME growth, market access. https://www.zambiamonitor.com/zda-ceec-partner-to-boost-sme-growth-market-access/</w:t>
      </w:r>
    </w:p>
    <w:p>
      <w:pPr>
        <w:pStyle w:val="Normal"/>
        <w:spacing w:before="0" w:after="100"/>
        <w:ind w:hanging="567" w:left="567"/>
        <w:rPr/>
      </w:pPr>
      <w:r>
        <w:rPr>
          <w:sz w:val="20"/>
          <w:szCs w:val="20"/>
        </w:rPr>
        <w:t>ZIMRA (2024). ZIMRA signs MOU with ZIDA. https://www.zimra.co.zw/news/2286-zimra-signs-mou-with-zida</w:t>
      </w:r>
    </w:p>
    <w:p>
      <w:pPr>
        <w:pStyle w:val="Normal"/>
        <w:spacing w:before="0" w:after="100"/>
        <w:ind w:hanging="567" w:left="567"/>
        <w:rPr/>
      </w:pPr>
      <w:r>
        <w:rPr>
          <w:sz w:val="20"/>
          <w:szCs w:val="20"/>
        </w:rPr>
        <w:t>ZIMRA (n.d.). COMESA Simplified Trade Regime. https://zimra.co.zw/customs/origin-and-preference/comesa-simplified-trade-regime</w:t>
      </w:r>
    </w:p>
    <w:sectPr>
      <w:headerReference w:type="default" r:id="rId8"/>
      <w:headerReference w:type="first" r:id="rId9"/>
      <w:footerReference w:type="default" r:id="rId10"/>
      <w:footerReference w:type="first" r:id="rId11"/>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555555"/>
        <w:sz w:val="18"/>
        <w:szCs w:val="18"/>
      </w:rPr>
      <w:t xml:space="preserve">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w:instrText>
    </w:r>
    <w:r>
      <w:rPr/>
      <w:fldChar w:fldCharType="separate"/>
    </w:r>
    <w:r>
      <w:rPr/>
      <w:t>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555555"/>
        <w:sz w:val="18"/>
        <w:szCs w:val="18"/>
      </w:rPr>
      <w:t xml:space="preserve">Page </w:t>
    </w:r>
    <w:r>
      <w:rPr/>
      <w:fldChar w:fldCharType="begin"/>
    </w:r>
    <w:r>
      <w:rPr/>
      <w:instrText xml:space="preserve"> PAGE </w:instrText>
    </w:r>
    <w:r>
      <w:rPr/>
      <w:fldChar w:fldCharType="separate"/>
    </w:r>
    <w:r>
      <w:rPr/>
      <w:t>58</w:t>
    </w:r>
    <w:r>
      <w:rPr/>
      <w:fldChar w:fldCharType="end"/>
    </w:r>
    <w:r>
      <w:rPr/>
      <w:t xml:space="preserve"> of </w:t>
    </w:r>
    <w:r>
      <w:rPr/>
      <w:fldChar w:fldCharType="begin"/>
    </w:r>
    <w:r>
      <w:rPr/>
      <w:instrText xml:space="preserve"> NUMPAGES </w:instrText>
    </w:r>
    <w:r>
      <w:rPr/>
      <w:fldChar w:fldCharType="separate"/>
    </w:r>
    <w:r>
      <w:rPr/>
      <w:t>58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color w:val="777777"/>
        <w:sz w:val="16"/>
        <w:szCs w:val="16"/>
      </w:rPr>
      <w:t>KAZA MSME Investment Readiness Assessment — R-NBT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color w:val="777777"/>
        <w:sz w:val="16"/>
        <w:szCs w:val="16"/>
      </w:rPr>
      <w:t>KAZA MSME Investment Readiness Assessment — R-NBT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67"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exact" w:line="276" w:before="0" w:after="12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C8A951"/>
      </w:pBdr>
      <w:spacing w:before="0" w:after="240"/>
      <w:outlineLvl w:val="0"/>
    </w:pPr>
    <w:rPr>
      <w:rFonts w:ascii="Calibri" w:hAnsi="Calibri" w:eastAsia="Calibri" w:cs="Calibri"/>
      <w:b/>
      <w:bCs/>
      <w:color w:val="1F5135"/>
      <w:sz w:val="34"/>
      <w:szCs w:val="34"/>
    </w:rPr>
  </w:style>
  <w:style w:type="paragraph" w:styleId="Heading2">
    <w:name w:val="Heading 2"/>
    <w:basedOn w:val="Heading"/>
    <w:qFormat/>
    <w:pPr>
      <w:keepNext w:val="true"/>
      <w:spacing w:before="320" w:after="140"/>
      <w:outlineLvl w:val="1"/>
    </w:pPr>
    <w:rPr>
      <w:rFonts w:ascii="Calibri" w:hAnsi="Calibri" w:eastAsia="Calibri" w:cs="Calibri"/>
      <w:b/>
      <w:bCs/>
      <w:color w:val="1F5135"/>
      <w:sz w:val="26"/>
      <w:szCs w:val="26"/>
    </w:rPr>
  </w:style>
  <w:style w:type="paragraph" w:styleId="Heading3">
    <w:name w:val="Heading 3"/>
    <w:basedOn w:val="Heading"/>
    <w:qFormat/>
    <w:pPr>
      <w:keepNext w:val="true"/>
      <w:spacing w:before="200" w:after="100"/>
      <w:outlineLvl w:val="2"/>
    </w:pPr>
    <w:rPr>
      <w:rFonts w:ascii="Calibri" w:hAnsi="Calibri" w:eastAsia="Calibri" w:cs="Calibri"/>
      <w:b/>
      <w:bCs/>
      <w:color w:val="3D6B5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exact" w:line="276" w:before="0" w:after="12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lineRule="exact" w:line="276" w:before="0" w:after="12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58</Pages>
  <Words>24442</Words>
  <Characters>147791</Characters>
  <CharactersWithSpaces>171476</CharactersWithSpaces>
  <Paragraphs>628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2026-10-16T16:24:54Z</dcterms:created>
  <dc:creator>KAZA R-NBT Finance Study</dc:creator>
  <dc:description>Investment readiness of R-NBT MSMEs in the KAZA priority value chains, capacity gaps, enabling environment and recommended interventions</dc:description>
  <dc:language>en-US</dc:language>
  <cp:lastModifiedBy/>
  <dcterms:modified xsi:type="dcterms:W3CDTF">2026-10-16T16:25:18Z</dcterms:modified>
  <cp:revision>3</cp:revision>
  <dc:subject/>
  <dc:title>MSME Investment Readiness Assessment – KAZA R-NBT Priority Value Chains</dc:title>
</cp:coreProperties>
</file>

<file path=docProps/custom.xml><?xml version="1.0" encoding="utf-8"?>
<Properties xmlns="http://schemas.openxmlformats.org/officeDocument/2006/custom-properties" xmlns:vt="http://schemas.openxmlformats.org/officeDocument/2006/docPropsVTypes"/>
</file>