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KAZA Tourism MSME Financial Barriers &amp; Opportunities Report</w:t>
      </w:r>
    </w:p>
    <w:p>
      <w:pPr/>
      <w:r>
        <w:t xml:space="preserve">Oct 12, 2026</w:t>
      </w:r>
      <w:r>
        <w:t xml:space="preserve"> · </w:t>
      </w:r>
      <w:r>
        <w:t xml:space="preserve">@Modesta</w:t>
      </w:r>
    </w:p>
    <w:p>
      <w:pPr>
        <w:pStyle w:val="Heading2"/>
      </w:pPr>
      <w:r>
        <w:t xml:space="preserve">Executive summary</w:t>
      </w:r>
    </w:p>
    <w:p>
      <w:pPr/>
      <w:r>
        <w:t xml:space="preserve">KAZA tourism MSMEs are not short of lenders. The finance on offer just doesn't fit them. Women- and youth-led MSMEs next to protected areas fall into the gap between village savings groups (loans under about USD 500) and bank SME lending (about USD 25,000 and up, secured on land). This report proposes a three-window grant facility, linked to guarantees, built to close that gap. It follows the Joint Action on Regenerative Nature-Based Tourism (R-NBT), launched in Maun in September 2026 by KAZA, the EU and Germany, with GIZ implementing (</w:t>
      </w:r>
      <w:hyperlink r:id="rId3" w:history="1">
        <w:r>
          <w:rPr>
            <w:rStyle w:val="Hyperlink"/>
          </w:rPr>
          <w:t xml:space="preserve">ATTA</w:t>
        </w:r>
      </w:hyperlink>
      <w:r>
        <w:t xml:space="preserve">).</w:t>
      </w:r>
    </w:p>
    <w:p>
      <w:pPr/>
      <w:r>
        <w:rPr>
          <w:b/>
        </w:rPr>
        <w:t xml:space="preserve">Headline findings</w:t>
      </w:r>
    </w:p>
    <w:p>
      <w:pPr>
        <w:pStyle w:val="ListParagraph"/>
        <w:numPr>
          <w:ilvl w:val="0"/>
          <w:numId w:val="2"/>
        </w:numPr>
      </w:pPr>
      <w:r>
        <w:rPr>
          <w:b/>
        </w:rPr>
        <w:t xml:space="preserve">Women already own many firms, but not the collateral.</w:t>
      </w:r>
      <w:r>
        <w:t xml:space="preserve"> The World Bank Enterprise Surveys put women among the principal owners of 41–55% of formal firms in four KAZA states. Women still rarely hold land titles, and communal or customary land can't be mortgaged. The binding constraint is collateral, not entrepreneurship.</w:t>
      </w:r>
    </w:p>
    <w:p>
      <w:pPr>
        <w:pStyle w:val="ListParagraph"/>
        <w:numPr>
          <w:ilvl w:val="0"/>
          <w:numId w:val="2"/>
        </w:numPr>
      </w:pPr>
      <w:r>
        <w:rPr>
          <w:b/>
        </w:rPr>
        <w:t xml:space="preserve">Youth carry the highest risk rating.</w:t>
      </w:r>
      <w:r>
        <w:t xml:space="preserve"> Youth unemployment is 28.9% in Botswana (ages 15–35) and about 37% in Namibia (ages 15–24). Young founders have no credit history or assets, and lenders rate youth start-ups as the riskiest MSME category.</w:t>
      </w:r>
    </w:p>
    <w:p>
      <w:pPr>
        <w:pStyle w:val="ListParagraph"/>
        <w:numPr>
          <w:ilvl w:val="0"/>
          <w:numId w:val="2"/>
        </w:numPr>
      </w:pPr>
      <w:r>
        <w:rPr>
          <w:b/>
        </w:rPr>
        <w:t xml:space="preserve">Seasonality makes viable firms look unbankable.</w:t>
      </w:r>
      <w:r>
        <w:t xml:space="preserve"> About 60–75% of revenue arrives in the June–October dry season. Fixed monthly instalments fail in the green season, so lenders read seasonal firms as weak ones.</w:t>
      </w:r>
    </w:p>
    <w:p>
      <w:pPr>
        <w:pStyle w:val="ListParagraph"/>
        <w:numPr>
          <w:ilvl w:val="0"/>
          <w:numId w:val="2"/>
        </w:numPr>
      </w:pPr>
      <w:r>
        <w:rPr>
          <w:b/>
        </w:rPr>
        <w:t xml:space="preserve">Large operators set payment terms.</w:t>
      </w:r>
      <w:r>
        <w:t xml:space="preserve"> Invoices are typically paid in 30–90 days. MSME suppliers end up financing their buyers, and the first contract-backed model (Wilderness–Stanbic, Botswana, 2025) shows how to reverse this.</w:t>
      </w:r>
    </w:p>
    <w:p>
      <w:pPr>
        <w:pStyle w:val="ListParagraph"/>
        <w:numPr>
          <w:ilvl w:val="0"/>
          <w:numId w:val="2"/>
        </w:numPr>
      </w:pPr>
      <w:r>
        <w:rPr>
          <w:b/>
        </w:rPr>
        <w:t xml:space="preserve">Informal finance is large and mostly female.</w:t>
      </w:r>
      <w:r>
        <w:t xml:space="preserve"> Women are about 73% of savings-group members in rural Zambia, and Zambia counts over 800,000 savings-group members in total. Conservancy and CAMPFIRE revenues add community capital that could be pooled into guarantees.</w:t>
      </w:r>
    </w:p>
    <w:p>
      <w:pPr>
        <w:pStyle w:val="ListParagraph"/>
        <w:numPr>
          <w:ilvl w:val="0"/>
          <w:numId w:val="2"/>
        </w:numPr>
      </w:pPr>
      <w:r>
        <w:rPr>
          <w:b/>
        </w:rPr>
        <w:t xml:space="preserve">Lenders are interested if the risk is shared.</w:t>
      </w:r>
      <w:r>
        <w:t xml:space="preserve"> Credit guarantee schemes already target women and youth: Namibia's CGS gives 60% cover, and FNB Zambia's partnership with ZCGS puts women and youth first. Banks want first-loss cover, pipeline preparation and simpler sector data before they'll lend.</w:t>
      </w:r>
    </w:p>
    <w:p>
      <w:pPr/>
      <w:r>
        <w:rPr>
          <w:b/>
        </w:rPr>
        <w:t xml:space="preserve">Grant facility at a glance</w:t>
      </w:r>
    </w:p>
    <w:tbl>
      <w:tblPr>
        <w:tblStyle w:val="TableGrid"/>
        <w:tblW w:w="0" w:type="auto"/>
        <w:tblLayout w:type="fixed"/>
        <w:tblLook w:val="04A0" w:firstRow="1" w:lastRow="0" w:firstColumn="0" w:lastColumn="0" w:noHBand="0" w:noVBand="1"/>
        <w:tblLayout w:type="fixed"/>
      </w:tblPr>
      <w:tblGrid>
        <w:gridCol w:w="1377"/>
        <w:gridCol w:w="3402"/>
        <w:gridCol w:w="2204"/>
        <w:gridCol w:w="2375"/>
      </w:tblGrid>
      <w:tr>
        <w:trPr>
          <w:tblHeader/>
          <w:tblHeader w:val="true"/>
        </w:trPr>
        <w:tc>
          <w:tcPr>
            <w:tcW w:w="1378" w:type="dxa"/>
            <w:shd w:val="clear" w:color="auto" w:fill="F2F2F2"/>
          </w:tcPr>
          <w:p>
            <w:pPr/>
            <w:r>
              <w:rPr>
                <w:sz w:val="19"/>
              </w:rPr>
              <w:t xml:space="preserve">Window</w:t>
            </w:r>
          </w:p>
        </w:tc>
        <w:tc>
          <w:tcPr>
            <w:tcW w:w="3403" w:type="dxa"/>
            <w:shd w:val="clear" w:color="auto" w:fill="F2F2F2"/>
          </w:tcPr>
          <w:p>
            <w:pPr/>
            <w:r>
              <w:rPr>
                <w:sz w:val="19"/>
              </w:rPr>
              <w:t xml:space="preserve">For</w:t>
            </w:r>
          </w:p>
        </w:tc>
        <w:tc>
          <w:tcPr>
            <w:tcW w:w="2204" w:type="dxa"/>
            <w:shd w:val="clear" w:color="auto" w:fill="F2F2F2"/>
          </w:tcPr>
          <w:p>
            <w:pPr/>
            <w:r>
              <w:rPr>
                <w:sz w:val="19"/>
              </w:rPr>
              <w:t xml:space="preserve">Grant size (USD)</w:t>
            </w:r>
          </w:p>
        </w:tc>
        <w:tc>
          <w:tcPr>
            <w:tcW w:w="2375" w:type="dxa"/>
            <w:shd w:val="clear" w:color="auto" w:fill="F2F2F2"/>
          </w:tcPr>
          <w:p>
            <w:pPr/>
            <w:r>
              <w:rPr>
                <w:sz w:val="19"/>
              </w:rPr>
              <w:t xml:space="preserve">Matching contribution</w:t>
            </w:r>
          </w:p>
        </w:tc>
      </w:tr>
      <w:tr>
        <w:tc>
          <w:tcPr>
            <w:tcW w:w="1378" w:type="dxa"/>
          </w:tcPr>
          <w:p>
            <w:pPr/>
            <w:r>
              <w:rPr>
                <w:sz w:val="19"/>
              </w:rPr>
              <w:t xml:space="preserve">A. Seed</w:t>
            </w:r>
          </w:p>
        </w:tc>
        <w:tc>
          <w:tcPr>
            <w:tcW w:w="3403" w:type="dxa"/>
          </w:tcPr>
          <w:p>
            <w:pPr/>
            <w:r>
              <w:rPr>
                <w:sz w:val="19"/>
              </w:rPr>
              <w:t xml:space="preserve">Start-ups and community or VSLA-linked enterprises, women and youth first</w:t>
            </w:r>
          </w:p>
        </w:tc>
        <w:tc>
          <w:tcPr>
            <w:tcW w:w="2204" w:type="dxa"/>
          </w:tcPr>
          <w:p>
            <w:pPr/>
            <w:r>
              <w:rPr>
                <w:sz w:val="19"/>
              </w:rPr>
              <w:t xml:space="preserve">2,000–15,000</w:t>
            </w:r>
          </w:p>
        </w:tc>
        <w:tc>
          <w:tcPr>
            <w:tcW w:w="2375" w:type="dxa"/>
          </w:tcPr>
          <w:p>
            <w:pPr/>
            <w:r>
              <w:rPr>
                <w:sz w:val="19"/>
              </w:rPr>
              <w:t xml:space="preserve">10% (cash or in kind)</w:t>
            </w:r>
          </w:p>
        </w:tc>
      </w:tr>
      <w:tr>
        <w:tc>
          <w:tcPr>
            <w:tcW w:w="1378" w:type="dxa"/>
          </w:tcPr>
          <w:p>
            <w:pPr/>
            <w:r>
              <w:rPr>
                <w:sz w:val="19"/>
              </w:rPr>
              <w:t xml:space="preserve">B. Growth</w:t>
            </w:r>
          </w:p>
        </w:tc>
        <w:tc>
          <w:tcPr>
            <w:tcW w:w="3403" w:type="dxa"/>
          </w:tcPr>
          <w:p>
            <w:pPr/>
            <w:r>
              <w:rPr>
                <w:sz w:val="19"/>
              </w:rPr>
              <w:t xml:space="preserve">Emerging MSMEs with 2+ seasons of trading</w:t>
            </w:r>
          </w:p>
        </w:tc>
        <w:tc>
          <w:tcPr>
            <w:tcW w:w="2204" w:type="dxa"/>
          </w:tcPr>
          <w:p>
            <w:pPr/>
            <w:r>
              <w:rPr>
                <w:sz w:val="19"/>
              </w:rPr>
              <w:t xml:space="preserve">15,000–75,000</w:t>
            </w:r>
          </w:p>
        </w:tc>
        <w:tc>
          <w:tcPr>
            <w:tcW w:w="2375" w:type="dxa"/>
          </w:tcPr>
          <w:p>
            <w:pPr/>
            <w:r>
              <w:rPr>
                <w:sz w:val="19"/>
              </w:rPr>
              <w:t xml:space="preserve">25–30% (in kind allowed up to half)</w:t>
            </w:r>
          </w:p>
        </w:tc>
      </w:tr>
      <w:tr>
        <w:tc>
          <w:tcPr>
            <w:tcW w:w="1378" w:type="dxa"/>
          </w:tcPr>
          <w:p>
            <w:pPr/>
            <w:r>
              <w:rPr>
                <w:sz w:val="19"/>
              </w:rPr>
              <w:t xml:space="preserve">C. Scale and leverage</w:t>
            </w:r>
          </w:p>
        </w:tc>
        <w:tc>
          <w:tcPr>
            <w:tcW w:w="3403" w:type="dxa"/>
          </w:tcPr>
          <w:p>
            <w:pPr/>
            <w:r>
              <w:rPr>
                <w:sz w:val="19"/>
              </w:rPr>
              <w:t xml:space="preserve">Scaling MSMEs and cooperatives with a lender's term sheet</w:t>
            </w:r>
          </w:p>
        </w:tc>
        <w:tc>
          <w:tcPr>
            <w:tcW w:w="2204" w:type="dxa"/>
          </w:tcPr>
          <w:p>
            <w:pPr/>
            <w:r>
              <w:rPr>
                <w:sz w:val="19"/>
              </w:rPr>
              <w:t xml:space="preserve">50,000–150,000</w:t>
            </w:r>
          </w:p>
        </w:tc>
        <w:tc>
          <w:tcPr>
            <w:tcW w:w="2375" w:type="dxa"/>
          </w:tcPr>
          <w:p>
            <w:pPr/>
            <w:r>
              <w:rPr>
                <w:sz w:val="19"/>
              </w:rPr>
              <w:t xml:space="preserve">50%, of which at least half is a loan</w:t>
            </w:r>
          </w:p>
        </w:tc>
      </w:tr>
    </w:tbl>
    <w:p>
      <w:pPr/>
      <w:r>
        <w:t xml:space="preserve">The usual 20% and 50% matching rates suit growth and scaling firms. They exclude most women- and youth-led start-ups, so this report recommends 10% for Window A, with in-kind and VSLA savings counted as match.</w:t>
      </w:r>
    </w:p>
    <w:p>
      <w:pPr/>
      <w:r>
        <w:t xml:space="preserve">The evidence comes from a desk review to October 2026, which builds on the project's earlier Financial Landscape Analysis. Figures marked </w:t>
      </w:r>
      <w:r>
        <w:rPr>
          <w:i/>
        </w:rPr>
        <w:t xml:space="preserve">indicative</w:t>
      </w:r>
      <w:r>
        <w:t xml:space="preserve"> are estimates from the literature and still need checking. Primary data still has to be collected through the planned MSME survey and the interviews with financial institutions.</w:t>
      </w:r>
    </w:p>
    <w:p>
      <w:pPr>
        <w:pStyle w:val="Heading2"/>
      </w:pPr>
      <w:r>
        <w:t xml:space="preserve">1. Scope and method</w:t>
      </w:r>
    </w:p>
    <w:p>
      <w:pPr/>
      <w:r>
        <w:t xml:space="preserve">This report covers tourism MSMEs and the financial institutions that serve them in the five KAZA Partner States. The focus throughout is on women, youth (ages 15–35, the AU and national definition) and communities next to protected areas.</w:t>
      </w:r>
    </w:p>
    <w:p>
      <w:pPr/>
      <w:r>
        <w:rPr>
          <w:b/>
        </w:rPr>
        <w:t xml:space="preserve">Geography.</w:t>
      </w:r>
      <w:r>
        <w:t xml:space="preserve"> The KAZA hubs covered are Kasane, Maun, Katima Mulilo, Rundu, Divundu, Livingstone, Kazungula, Mulobezi, Mongu, Victoria Falls, Hwange, Binga and Menongue. The communities around them sit in conservancies (Namibia), community trust concessions (Botswana), Game Management Areas and Simalaha (Zambia), CAMPFIRE wards (Zimbabwe) and the Cuando and Cubango provinces (Angola).</w:t>
      </w:r>
    </w:p>
    <w:p>
      <w:pPr/>
      <w:r>
        <w:rPr>
          <w:b/>
        </w:rPr>
        <w:t xml:space="preserve">Size classes used.</w:t>
      </w:r>
      <w:r>
        <w:t xml:space="preserve"> The five countries define MSMEs differently. To compare them, this report uses common bands:</w:t>
      </w:r>
    </w:p>
    <w:tbl>
      <w:tblPr>
        <w:tblStyle w:val="TableGrid"/>
        <w:tblW w:w="0" w:type="auto"/>
        <w:tblLayout w:type="fixed"/>
        <w:tblLook w:val="04A0" w:firstRow="1" w:lastRow="0" w:firstColumn="0" w:lastColumn="0" w:noHBand="0" w:noVBand="1"/>
      </w:tblPr>
      <w:tblGrid>
        <w:gridCol w:w="3120"/>
        <w:gridCol w:w="3120"/>
        <w:gridCol w:w="3120"/>
      </w:tblGrid>
      <w:tr>
        <w:trPr>
          <w:tblHeader/>
          <w:tblHeader w:val="true"/>
        </w:trPr>
        <w:tc>
          <w:tcPr>
            <w:tcW w:w="3120" w:type="dxa"/>
            <w:shd w:val="clear" w:color="auto" w:fill="F2F2F2"/>
          </w:tcPr>
          <w:p>
            <w:pPr/>
            <w:r>
              <w:t xml:space="preserve">Class</w:t>
            </w:r>
          </w:p>
        </w:tc>
        <w:tc>
          <w:tcPr>
            <w:tcW w:w="3120" w:type="dxa"/>
            <w:shd w:val="clear" w:color="auto" w:fill="F2F2F2"/>
          </w:tcPr>
          <w:p>
            <w:pPr/>
            <w:r>
              <w:t xml:space="preserve">Employees</w:t>
            </w:r>
          </w:p>
        </w:tc>
        <w:tc>
          <w:tcPr>
            <w:tcW w:w="3120" w:type="dxa"/>
            <w:shd w:val="clear" w:color="auto" w:fill="F2F2F2"/>
          </w:tcPr>
          <w:p>
            <w:pPr/>
            <w:r>
              <w:t xml:space="preserve">Annual turnover (USD)</w:t>
            </w:r>
          </w:p>
        </w:tc>
      </w:tr>
      <w:tr>
        <w:tc>
          <w:tcPr>
            <w:tcW w:w="3120" w:type="dxa"/>
          </w:tcPr>
          <w:p>
            <w:pPr/>
            <w:r>
              <w:t xml:space="preserve">Micro</w:t>
            </w:r>
          </w:p>
        </w:tc>
        <w:tc>
          <w:tcPr>
            <w:tcW w:w="3120" w:type="dxa"/>
          </w:tcPr>
          <w:p>
            <w:pPr/>
            <w:r>
              <w:t xml:space="preserve">1–5</w:t>
            </w:r>
          </w:p>
        </w:tc>
        <w:tc>
          <w:tcPr>
            <w:tcW w:w="3120" w:type="dxa"/>
          </w:tcPr>
          <w:p>
            <w:pPr/>
            <w:r>
              <w:t xml:space="preserve">under 50,000</w:t>
            </w:r>
          </w:p>
        </w:tc>
      </w:tr>
      <w:tr>
        <w:tc>
          <w:tcPr>
            <w:tcW w:w="3120" w:type="dxa"/>
          </w:tcPr>
          <w:p>
            <w:pPr/>
            <w:r>
              <w:t xml:space="preserve">Small</w:t>
            </w:r>
          </w:p>
        </w:tc>
        <w:tc>
          <w:tcPr>
            <w:tcW w:w="3120" w:type="dxa"/>
          </w:tcPr>
          <w:p>
            <w:pPr/>
            <w:r>
              <w:t xml:space="preserve">6–30</w:t>
            </w:r>
          </w:p>
        </w:tc>
        <w:tc>
          <w:tcPr>
            <w:tcW w:w="3120" w:type="dxa"/>
          </w:tcPr>
          <w:p>
            <w:pPr/>
            <w:r>
              <w:t xml:space="preserve">50,000–500,000</w:t>
            </w:r>
          </w:p>
        </w:tc>
      </w:tr>
      <w:tr>
        <w:tc>
          <w:tcPr>
            <w:tcW w:w="3120" w:type="dxa"/>
          </w:tcPr>
          <w:p>
            <w:pPr/>
            <w:r>
              <w:t xml:space="preserve">Medium</w:t>
            </w:r>
          </w:p>
        </w:tc>
        <w:tc>
          <w:tcPr>
            <w:tcW w:w="3120" w:type="dxa"/>
          </w:tcPr>
          <w:p>
            <w:pPr/>
            <w:r>
              <w:t xml:space="preserve">31–100</w:t>
            </w:r>
          </w:p>
        </w:tc>
        <w:tc>
          <w:tcPr>
            <w:tcW w:w="3120" w:type="dxa"/>
          </w:tcPr>
          <w:p>
            <w:pPr/>
            <w:r>
              <w:t xml:space="preserve">500,000–2,000,000</w:t>
            </w:r>
          </w:p>
        </w:tc>
      </w:tr>
    </w:tbl>
    <w:p>
      <w:pPr/>
      <w:r>
        <w:rPr>
          <w:b/>
        </w:rPr>
        <w:t xml:space="preserve">Growth stages used.</w:t>
      </w:r>
      <w:r>
        <w:t xml:space="preserve"> Start-up means under 2 trading seasons. Emerging means 2–5 seasons, trading but under-capitalised. Scaling means 5+ seasons, with a proven model and expansion plans.</w:t>
      </w:r>
    </w:p>
    <w:p>
      <w:pPr/>
      <w:r>
        <w:rPr>
          <w:b/>
        </w:rPr>
        <w:t xml:space="preserve">Method.</w:t>
      </w:r>
      <w:r>
        <w:t xml:space="preserve"> The report is a structured desk review of national statistics, Enterprise Surveys, Findex, central bank and guarantee-scheme publications, World Bank and AfDB project documents, CBNRM reports (NACSO, CAMPFIRE, Botswana CBNRM) and press reporting up to October 2026. It builds on the project's Financial Landscape Analysis (October 2026), which mapped the financial actors in each country.</w:t>
      </w:r>
    </w:p>
    <w:p>
      <w:pPr/>
      <w:r>
        <w:rPr>
          <w:b/>
        </w:rPr>
        <w:t xml:space="preserve">Limitations.</w:t>
      </w:r>
      <w:r>
        <w:t xml:space="preserve"> No KAZA-specific, sex- and age-disaggregated MSME dataset exists. The disaggregated figures here are national or programme-level proxies, and each is labelled with its year and age definition. Where a number is an estimate drawn from the literature rather than a measurement, it is marked </w:t>
      </w:r>
      <w:r>
        <w:rPr>
          <w:i/>
        </w:rPr>
        <w:t xml:space="preserve">indicative</w:t>
      </w:r>
      <w:r>
        <w:t xml:space="preserve">. Section 8 lists the primary data the facility should collect during its inception phase.</w:t>
      </w:r>
    </w:p>
    <w:p>
      <w:pPr>
        <w:pStyle w:val="Heading2"/>
      </w:pPr>
      <w:r>
        <w:t xml:space="preserve">2. The KAZA tourism MSME landscape</w:t>
      </w:r>
    </w:p>
    <w:p>
      <w:pPr/>
      <w:r>
        <w:t xml:space="preserve">Most KAZA tourism MSMEs are micro, informal or semi-formal, and run from communal land. Women dominate crafts, food supply, laundry and homestays. Youth cluster in guiding, transport, digital services and activities. Men still dominate vehicle-, boat- and land-based businesses, the asset-heavy segments where loan sizes are largest.</w:t>
      </w:r>
    </w:p>
    <w:p>
      <w:pPr>
        <w:pStyle w:val="Heading3"/>
      </w:pPr>
      <w:r>
        <w:t xml:space="preserve">2.1 MSME typology and who leads it</w:t>
      </w:r>
    </w:p>
    <w:p>
      <w:pPr/>
      <w:r>
        <w:t xml:space="preserve">The gender and age patterns below are </w:t>
      </w:r>
      <w:r>
        <w:rPr>
          <w:i/>
        </w:rPr>
        <w:t xml:space="preserve">indicative</w:t>
      </w:r>
      <w:r>
        <w:t xml:space="preserve">. They draw on CBNRM reports, programme evaluations and the Financial Landscape Analysis, and need checking in the baseline survey.</w:t>
      </w:r>
    </w:p>
    <w:tbl>
      <w:tblPr>
        <w:tblStyle w:val="TableGrid"/>
        <w:tblW w:w="0" w:type="auto"/>
        <w:tblLayout w:type="fixed"/>
        <w:tblLook w:val="04A0" w:firstRow="1" w:lastRow="0" w:firstColumn="0" w:lastColumn="0" w:noHBand="0" w:noVBand="1"/>
        <w:tblLayout w:type="fixed"/>
      </w:tblPr>
      <w:tblGrid>
        <w:gridCol w:w="2552"/>
        <w:gridCol w:w="1449"/>
        <w:gridCol w:w="2091"/>
        <w:gridCol w:w="1550"/>
        <w:gridCol w:w="1716"/>
      </w:tblGrid>
      <w:tr>
        <w:trPr>
          <w:tblHeader/>
          <w:tblHeader w:val="true"/>
        </w:trPr>
        <w:tc>
          <w:tcPr>
            <w:tcW w:w="2552" w:type="dxa"/>
            <w:shd w:val="clear" w:color="auto" w:fill="F2F2F2"/>
          </w:tcPr>
          <w:p>
            <w:pPr/>
            <w:r>
              <w:rPr>
                <w:sz w:val="19"/>
              </w:rPr>
              <w:t xml:space="preserve">Segment</w:t>
            </w:r>
          </w:p>
        </w:tc>
        <w:tc>
          <w:tcPr>
            <w:tcW w:w="1449" w:type="dxa"/>
            <w:shd w:val="clear" w:color="auto" w:fill="F2F2F2"/>
          </w:tcPr>
          <w:p>
            <w:pPr/>
            <w:r>
              <w:rPr>
                <w:sz w:val="19"/>
              </w:rPr>
              <w:t xml:space="preserve">Typical size and stage</w:t>
            </w:r>
          </w:p>
        </w:tc>
        <w:tc>
          <w:tcPr>
            <w:tcW w:w="2091" w:type="dxa"/>
            <w:shd w:val="clear" w:color="auto" w:fill="F2F2F2"/>
          </w:tcPr>
          <w:p>
            <w:pPr/>
            <w:r>
              <w:rPr>
                <w:sz w:val="19"/>
              </w:rPr>
              <w:t xml:space="preserve">Typical leader pattern</w:t>
            </w:r>
          </w:p>
        </w:tc>
        <w:tc>
          <w:tcPr>
            <w:tcW w:w="1551" w:type="dxa"/>
            <w:shd w:val="clear" w:color="auto" w:fill="F2F2F2"/>
          </w:tcPr>
          <w:p>
            <w:pPr/>
            <w:r>
              <w:rPr>
                <w:sz w:val="19"/>
              </w:rPr>
              <w:t xml:space="preserve">Formality</w:t>
            </w:r>
          </w:p>
        </w:tc>
        <w:tc>
          <w:tcPr>
            <w:tcW w:w="1716" w:type="dxa"/>
            <w:shd w:val="clear" w:color="auto" w:fill="F2F2F2"/>
          </w:tcPr>
          <w:p>
            <w:pPr/>
            <w:r>
              <w:rPr>
                <w:sz w:val="19"/>
              </w:rPr>
              <w:t xml:space="preserve">Main asset base</w:t>
            </w:r>
          </w:p>
        </w:tc>
      </w:tr>
      <w:tr>
        <w:tc>
          <w:tcPr>
            <w:tcW w:w="2552" w:type="dxa"/>
          </w:tcPr>
          <w:p>
            <w:pPr/>
            <w:r>
              <w:rPr>
                <w:sz w:val="19"/>
              </w:rPr>
              <w:t xml:space="preserve">Crafts and cultural products (basketry, carving, cultural villages)</w:t>
            </w:r>
          </w:p>
        </w:tc>
        <w:tc>
          <w:tcPr>
            <w:tcW w:w="1449" w:type="dxa"/>
          </w:tcPr>
          <w:p>
            <w:pPr/>
            <w:r>
              <w:rPr>
                <w:sz w:val="19"/>
              </w:rPr>
              <w:t xml:space="preserve">Micro; start-up to emerging; often groups</w:t>
            </w:r>
          </w:p>
        </w:tc>
        <w:tc>
          <w:tcPr>
            <w:tcW w:w="2091" w:type="dxa"/>
          </w:tcPr>
          <w:p>
            <w:pPr/>
            <w:r>
              <w:rPr>
                <w:sz w:val="19"/>
              </w:rPr>
              <w:t xml:space="preserve">Mostly women; older women in basketry</w:t>
            </w:r>
          </w:p>
        </w:tc>
        <w:tc>
          <w:tcPr>
            <w:tcW w:w="1551" w:type="dxa"/>
          </w:tcPr>
          <w:p>
            <w:pPr/>
            <w:r>
              <w:rPr>
                <w:sz w:val="19"/>
              </w:rPr>
              <w:t xml:space="preserve">Informal; group or co-op</w:t>
            </w:r>
          </w:p>
        </w:tc>
        <w:tc>
          <w:tcPr>
            <w:tcW w:w="1716" w:type="dxa"/>
          </w:tcPr>
          <w:p>
            <w:pPr/>
            <w:r>
              <w:rPr>
                <w:sz w:val="19"/>
              </w:rPr>
              <w:t xml:space="preserve">Skills, raw materials, stock</w:t>
            </w:r>
          </w:p>
        </w:tc>
      </w:tr>
      <w:tr>
        <w:tc>
          <w:tcPr>
            <w:tcW w:w="2552" w:type="dxa"/>
          </w:tcPr>
          <w:p>
            <w:pPr/>
            <w:r>
              <w:rPr>
                <w:sz w:val="19"/>
              </w:rPr>
              <w:t xml:space="preserve">Food and agri-supply to lodges (vegetables, poultry, fish, bakery)</w:t>
            </w:r>
          </w:p>
        </w:tc>
        <w:tc>
          <w:tcPr>
            <w:tcW w:w="1449" w:type="dxa"/>
          </w:tcPr>
          <w:p>
            <w:pPr/>
            <w:r>
              <w:rPr>
                <w:sz w:val="19"/>
              </w:rPr>
              <w:t xml:space="preserve">Micro to small; emerging</w:t>
            </w:r>
          </w:p>
        </w:tc>
        <w:tc>
          <w:tcPr>
            <w:tcW w:w="2091" w:type="dxa"/>
          </w:tcPr>
          <w:p>
            <w:pPr/>
            <w:r>
              <w:rPr>
                <w:sz w:val="19"/>
              </w:rPr>
              <w:t xml:space="preserve">Mostly women; youth in poultry and horticulture</w:t>
            </w:r>
          </w:p>
        </w:tc>
        <w:tc>
          <w:tcPr>
            <w:tcW w:w="1551" w:type="dxa"/>
          </w:tcPr>
          <w:p>
            <w:pPr/>
            <w:r>
              <w:rPr>
                <w:sz w:val="19"/>
              </w:rPr>
              <w:t xml:space="preserve">Semi-formal</w:t>
            </w:r>
          </w:p>
        </w:tc>
        <w:tc>
          <w:tcPr>
            <w:tcW w:w="1716" w:type="dxa"/>
          </w:tcPr>
          <w:p>
            <w:pPr/>
            <w:r>
              <w:rPr>
                <w:sz w:val="19"/>
              </w:rPr>
              <w:t xml:space="preserve">Small livestock, irrigation kit</w:t>
            </w:r>
          </w:p>
        </w:tc>
      </w:tr>
      <w:tr>
        <w:tc>
          <w:tcPr>
            <w:tcW w:w="2552" w:type="dxa"/>
          </w:tcPr>
          <w:p>
            <w:pPr/>
            <w:r>
              <w:rPr>
                <w:sz w:val="19"/>
              </w:rPr>
              <w:t xml:space="preserve">Homestays, guesthouses, B&amp;Bs</w:t>
            </w:r>
          </w:p>
        </w:tc>
        <w:tc>
          <w:tcPr>
            <w:tcW w:w="1449" w:type="dxa"/>
          </w:tcPr>
          <w:p>
            <w:pPr/>
            <w:r>
              <w:rPr>
                <w:sz w:val="19"/>
              </w:rPr>
              <w:t xml:space="preserve">Micro to small; emerging</w:t>
            </w:r>
          </w:p>
        </w:tc>
        <w:tc>
          <w:tcPr>
            <w:tcW w:w="2091" w:type="dxa"/>
          </w:tcPr>
          <w:p>
            <w:pPr/>
            <w:r>
              <w:rPr>
                <w:sz w:val="19"/>
              </w:rPr>
              <w:t xml:space="preserve">Mixed; many women-run family firms</w:t>
            </w:r>
          </w:p>
        </w:tc>
        <w:tc>
          <w:tcPr>
            <w:tcW w:w="1551" w:type="dxa"/>
          </w:tcPr>
          <w:p>
            <w:pPr/>
            <w:r>
              <w:rPr>
                <w:sz w:val="19"/>
              </w:rPr>
              <w:t xml:space="preserve">Semi-formal; licence gaps</w:t>
            </w:r>
          </w:p>
        </w:tc>
        <w:tc>
          <w:tcPr>
            <w:tcW w:w="1716" w:type="dxa"/>
          </w:tcPr>
          <w:p>
            <w:pPr/>
            <w:r>
              <w:rPr>
                <w:sz w:val="19"/>
              </w:rPr>
              <w:t xml:space="preserve">Buildings on communal plots (not bankable)</w:t>
            </w:r>
          </w:p>
        </w:tc>
      </w:tr>
      <w:tr>
        <w:tc>
          <w:tcPr>
            <w:tcW w:w="2552" w:type="dxa"/>
          </w:tcPr>
          <w:p>
            <w:pPr/>
            <w:r>
              <w:rPr>
                <w:sz w:val="19"/>
              </w:rPr>
              <w:t xml:space="preserve">Community campsites and community-owned lodges</w:t>
            </w:r>
          </w:p>
        </w:tc>
        <w:tc>
          <w:tcPr>
            <w:tcW w:w="1449" w:type="dxa"/>
          </w:tcPr>
          <w:p>
            <w:pPr/>
            <w:r>
              <w:rPr>
                <w:sz w:val="19"/>
              </w:rPr>
              <w:t xml:space="preserve">Small; emerging to scaling</w:t>
            </w:r>
          </w:p>
        </w:tc>
        <w:tc>
          <w:tcPr>
            <w:tcW w:w="2091" w:type="dxa"/>
          </w:tcPr>
          <w:p>
            <w:pPr/>
            <w:r>
              <w:rPr>
                <w:sz w:val="19"/>
              </w:rPr>
              <w:t xml:space="preserve">Trusts, conservancies and CRBs; women 40% of conservancy committees in Namibia</w:t>
            </w:r>
          </w:p>
        </w:tc>
        <w:tc>
          <w:tcPr>
            <w:tcW w:w="1551" w:type="dxa"/>
          </w:tcPr>
          <w:p>
            <w:pPr/>
            <w:r>
              <w:rPr>
                <w:sz w:val="19"/>
              </w:rPr>
              <w:t xml:space="preserve">Formal (trust or association)</w:t>
            </w:r>
          </w:p>
        </w:tc>
        <w:tc>
          <w:tcPr>
            <w:tcW w:w="1716" w:type="dxa"/>
          </w:tcPr>
          <w:p>
            <w:pPr/>
            <w:r>
              <w:rPr>
                <w:sz w:val="19"/>
              </w:rPr>
              <w:t xml:space="preserve">Lease or JV rights, infrastructure</w:t>
            </w:r>
          </w:p>
        </w:tc>
      </w:tr>
      <w:tr>
        <w:tc>
          <w:tcPr>
            <w:tcW w:w="2552" w:type="dxa"/>
          </w:tcPr>
          <w:p>
            <w:pPr/>
            <w:r>
              <w:rPr>
                <w:sz w:val="19"/>
              </w:rPr>
              <w:t xml:space="preserve">Guiding, mokoro and walking safaris, fishing</w:t>
            </w:r>
          </w:p>
        </w:tc>
        <w:tc>
          <w:tcPr>
            <w:tcW w:w="1449" w:type="dxa"/>
          </w:tcPr>
          <w:p>
            <w:pPr/>
            <w:r>
              <w:rPr>
                <w:sz w:val="19"/>
              </w:rPr>
              <w:t xml:space="preserve">Micro; start-up</w:t>
            </w:r>
          </w:p>
        </w:tc>
        <w:tc>
          <w:tcPr>
            <w:tcW w:w="2091" w:type="dxa"/>
          </w:tcPr>
          <w:p>
            <w:pPr/>
            <w:r>
              <w:rPr>
                <w:sz w:val="19"/>
              </w:rPr>
              <w:t xml:space="preserve">Mostly young men; women guides rising</w:t>
            </w:r>
          </w:p>
        </w:tc>
        <w:tc>
          <w:tcPr>
            <w:tcW w:w="1551" w:type="dxa"/>
          </w:tcPr>
          <w:p>
            <w:pPr/>
            <w:r>
              <w:rPr>
                <w:sz w:val="19"/>
              </w:rPr>
              <w:t xml:space="preserve">Informal to licensed</w:t>
            </w:r>
          </w:p>
        </w:tc>
        <w:tc>
          <w:tcPr>
            <w:tcW w:w="1716" w:type="dxa"/>
          </w:tcPr>
          <w:p>
            <w:pPr/>
            <w:r>
              <w:rPr>
                <w:sz w:val="19"/>
              </w:rPr>
              <w:t xml:space="preserve">Mokoro, licence, small equipment</w:t>
            </w:r>
          </w:p>
        </w:tc>
      </w:tr>
      <w:tr>
        <w:tc>
          <w:tcPr>
            <w:tcW w:w="2552" w:type="dxa"/>
          </w:tcPr>
          <w:p>
            <w:pPr/>
            <w:r>
              <w:rPr>
                <w:sz w:val="19"/>
              </w:rPr>
              <w:t xml:space="preserve">Transfers, 4x4 hire, boat cruises</w:t>
            </w:r>
          </w:p>
        </w:tc>
        <w:tc>
          <w:tcPr>
            <w:tcW w:w="1449" w:type="dxa"/>
          </w:tcPr>
          <w:p>
            <w:pPr/>
            <w:r>
              <w:rPr>
                <w:sz w:val="19"/>
              </w:rPr>
              <w:t xml:space="preserve">Small; emerging to scaling</w:t>
            </w:r>
          </w:p>
        </w:tc>
        <w:tc>
          <w:tcPr>
            <w:tcW w:w="2091" w:type="dxa"/>
          </w:tcPr>
          <w:p>
            <w:pPr/>
            <w:r>
              <w:rPr>
                <w:sz w:val="19"/>
              </w:rPr>
              <w:t xml:space="preserve">Mostly men, aged 30+</w:t>
            </w:r>
          </w:p>
        </w:tc>
        <w:tc>
          <w:tcPr>
            <w:tcW w:w="1551" w:type="dxa"/>
          </w:tcPr>
          <w:p>
            <w:pPr/>
            <w:r>
              <w:rPr>
                <w:sz w:val="19"/>
              </w:rPr>
              <w:t xml:space="preserve">Formal</w:t>
            </w:r>
          </w:p>
        </w:tc>
        <w:tc>
          <w:tcPr>
            <w:tcW w:w="1716" w:type="dxa"/>
          </w:tcPr>
          <w:p>
            <w:pPr/>
            <w:r>
              <w:rPr>
                <w:sz w:val="19"/>
              </w:rPr>
              <w:t xml:space="preserve">Vehicles and boats (good movable collateral)</w:t>
            </w:r>
          </w:p>
        </w:tc>
      </w:tr>
      <w:tr>
        <w:tc>
          <w:tcPr>
            <w:tcW w:w="2552" w:type="dxa"/>
          </w:tcPr>
          <w:p>
            <w:pPr/>
            <w:r>
              <w:rPr>
                <w:sz w:val="19"/>
              </w:rPr>
              <w:t xml:space="preserve">Laundry, maintenance, construction, waste and recycling</w:t>
            </w:r>
          </w:p>
        </w:tc>
        <w:tc>
          <w:tcPr>
            <w:tcW w:w="1449" w:type="dxa"/>
          </w:tcPr>
          <w:p>
            <w:pPr/>
            <w:r>
              <w:rPr>
                <w:sz w:val="19"/>
              </w:rPr>
              <w:t xml:space="preserve">Micro to small; emerging</w:t>
            </w:r>
          </w:p>
        </w:tc>
        <w:tc>
          <w:tcPr>
            <w:tcW w:w="2091" w:type="dxa"/>
          </w:tcPr>
          <w:p>
            <w:pPr/>
            <w:r>
              <w:rPr>
                <w:sz w:val="19"/>
              </w:rPr>
              <w:t xml:space="preserve">Mixed; youth in waste and recycling</w:t>
            </w:r>
          </w:p>
        </w:tc>
        <w:tc>
          <w:tcPr>
            <w:tcW w:w="1551" w:type="dxa"/>
          </w:tcPr>
          <w:p>
            <w:pPr/>
            <w:r>
              <w:rPr>
                <w:sz w:val="19"/>
              </w:rPr>
              <w:t xml:space="preserve">Semi-formal</w:t>
            </w:r>
          </w:p>
        </w:tc>
        <w:tc>
          <w:tcPr>
            <w:tcW w:w="1716" w:type="dxa"/>
          </w:tcPr>
          <w:p>
            <w:pPr/>
            <w:r>
              <w:rPr>
                <w:sz w:val="19"/>
              </w:rPr>
              <w:t xml:space="preserve">Equipment</w:t>
            </w:r>
          </w:p>
        </w:tc>
      </w:tr>
      <w:tr>
        <w:tc>
          <w:tcPr>
            <w:tcW w:w="2552" w:type="dxa"/>
          </w:tcPr>
          <w:p>
            <w:pPr/>
            <w:r>
              <w:rPr>
                <w:sz w:val="19"/>
              </w:rPr>
              <w:t xml:space="preserve">Digital marketing, booking, IT and media</w:t>
            </w:r>
          </w:p>
        </w:tc>
        <w:tc>
          <w:tcPr>
            <w:tcW w:w="1449" w:type="dxa"/>
          </w:tcPr>
          <w:p>
            <w:pPr/>
            <w:r>
              <w:rPr>
                <w:sz w:val="19"/>
              </w:rPr>
              <w:t xml:space="preserve">Micro; start-up</w:t>
            </w:r>
          </w:p>
        </w:tc>
        <w:tc>
          <w:tcPr>
            <w:tcW w:w="2091" w:type="dxa"/>
          </w:tcPr>
          <w:p>
            <w:pPr/>
            <w:r>
              <w:rPr>
                <w:sz w:val="19"/>
              </w:rPr>
              <w:t xml:space="preserve">Youth-led, mixed gender, urban hubs</w:t>
            </w:r>
          </w:p>
        </w:tc>
        <w:tc>
          <w:tcPr>
            <w:tcW w:w="1551" w:type="dxa"/>
          </w:tcPr>
          <w:p>
            <w:pPr/>
            <w:r>
              <w:rPr>
                <w:sz w:val="19"/>
              </w:rPr>
              <w:t xml:space="preserve">Semi-formal</w:t>
            </w:r>
          </w:p>
        </w:tc>
        <w:tc>
          <w:tcPr>
            <w:tcW w:w="1716" w:type="dxa"/>
          </w:tcPr>
          <w:p>
            <w:pPr/>
            <w:r>
              <w:rPr>
                <w:sz w:val="19"/>
              </w:rPr>
              <w:t xml:space="preserve">Laptops, phones, software</w:t>
            </w:r>
          </w:p>
        </w:tc>
      </w:tr>
      <w:tr>
        <w:tc>
          <w:tcPr>
            <w:tcW w:w="2552" w:type="dxa"/>
          </w:tcPr>
          <w:p>
            <w:pPr/>
            <w:r>
              <w:rPr>
                <w:sz w:val="19"/>
              </w:rPr>
              <w:t xml:space="preserve">Conservation services (monitoring, restoration, human–wildlife conflict mitigation)</w:t>
            </w:r>
          </w:p>
        </w:tc>
        <w:tc>
          <w:tcPr>
            <w:tcW w:w="1449" w:type="dxa"/>
          </w:tcPr>
          <w:p>
            <w:pPr/>
            <w:r>
              <w:rPr>
                <w:sz w:val="19"/>
              </w:rPr>
              <w:t xml:space="preserve">Micro to small; start-up</w:t>
            </w:r>
          </w:p>
        </w:tc>
        <w:tc>
          <w:tcPr>
            <w:tcW w:w="2091" w:type="dxa"/>
          </w:tcPr>
          <w:p>
            <w:pPr/>
            <w:r>
              <w:rPr>
                <w:sz w:val="19"/>
              </w:rPr>
              <w:t xml:space="preserve">Community and youth groups</w:t>
            </w:r>
          </w:p>
        </w:tc>
        <w:tc>
          <w:tcPr>
            <w:tcW w:w="1551" w:type="dxa"/>
          </w:tcPr>
          <w:p>
            <w:pPr/>
            <w:r>
              <w:rPr>
                <w:sz w:val="19"/>
              </w:rPr>
              <w:t xml:space="preserve">Contract-based</w:t>
            </w:r>
          </w:p>
        </w:tc>
        <w:tc>
          <w:tcPr>
            <w:tcW w:w="1716" w:type="dxa"/>
          </w:tcPr>
          <w:p>
            <w:pPr/>
            <w:r>
              <w:rPr>
                <w:sz w:val="19"/>
              </w:rPr>
              <w:t xml:space="preserve">Contracts and performance payments</w:t>
            </w:r>
          </w:p>
        </w:tc>
      </w:tr>
    </w:tbl>
    <w:p>
      <w:pPr>
        <w:pStyle w:val="Heading3"/>
      </w:pPr>
      <w:r>
        <w:t xml:space="preserve">2.2 Gender- and age-disaggregated data</w:t>
      </w:r>
    </w:p>
    <w:p>
      <w:pPr/>
      <w:r>
        <w:t xml:space="preserve">KAZA-level disaggregated data is missing, so national proxies are used. Each row names its source year and age definition.</w:t>
      </w:r>
    </w:p>
    <w:tbl>
      <w:tblPr>
        <w:tblStyle w:val="TableGrid"/>
        <w:tblW w:w="0" w:type="auto"/>
        <w:tblLayout w:type="fixed"/>
        <w:tblLook w:val="04A0" w:firstRow="1" w:lastRow="0" w:firstColumn="0" w:lastColumn="0" w:noHBand="0" w:noVBand="1"/>
        <w:tblLayout w:type="fixed"/>
      </w:tblPr>
      <w:tblGrid>
        <w:gridCol w:w="2175"/>
        <w:gridCol w:w="873"/>
        <w:gridCol w:w="1068"/>
        <w:gridCol w:w="1262"/>
        <w:gridCol w:w="1262"/>
        <w:gridCol w:w="1359"/>
        <w:gridCol w:w="1359"/>
      </w:tblGrid>
      <w:tr>
        <w:trPr>
          <w:tblHeader/>
          <w:tblHeader w:val="true"/>
        </w:trPr>
        <w:tc>
          <w:tcPr>
            <w:tcW w:w="2175" w:type="dxa"/>
            <w:shd w:val="clear" w:color="auto" w:fill="F2F2F2"/>
          </w:tcPr>
          <w:p>
            <w:pPr/>
            <w:r>
              <w:rPr>
                <w:sz w:val="17"/>
              </w:rPr>
              <w:t xml:space="preserve">Indicator</w:t>
            </w:r>
          </w:p>
        </w:tc>
        <w:tc>
          <w:tcPr>
            <w:tcW w:w="874" w:type="dxa"/>
            <w:shd w:val="clear" w:color="auto" w:fill="F2F2F2"/>
          </w:tcPr>
          <w:p>
            <w:pPr/>
            <w:r>
              <w:rPr>
                <w:sz w:val="17"/>
              </w:rPr>
              <w:t xml:space="preserve">Angola</w:t>
            </w:r>
          </w:p>
        </w:tc>
        <w:tc>
          <w:tcPr>
            <w:tcW w:w="1068" w:type="dxa"/>
            <w:shd w:val="clear" w:color="auto" w:fill="F2F2F2"/>
          </w:tcPr>
          <w:p>
            <w:pPr/>
            <w:r>
              <w:rPr>
                <w:sz w:val="17"/>
              </w:rPr>
              <w:t xml:space="preserve">Botswana</w:t>
            </w:r>
          </w:p>
        </w:tc>
        <w:tc>
          <w:tcPr>
            <w:tcW w:w="1262" w:type="dxa"/>
            <w:shd w:val="clear" w:color="auto" w:fill="F2F2F2"/>
          </w:tcPr>
          <w:p>
            <w:pPr/>
            <w:r>
              <w:rPr>
                <w:sz w:val="17"/>
              </w:rPr>
              <w:t xml:space="preserve">Namibia</w:t>
            </w:r>
          </w:p>
        </w:tc>
        <w:tc>
          <w:tcPr>
            <w:tcW w:w="1262" w:type="dxa"/>
            <w:shd w:val="clear" w:color="auto" w:fill="F2F2F2"/>
          </w:tcPr>
          <w:p>
            <w:pPr/>
            <w:r>
              <w:rPr>
                <w:sz w:val="17"/>
              </w:rPr>
              <w:t xml:space="preserve">Zambia</w:t>
            </w:r>
          </w:p>
        </w:tc>
        <w:tc>
          <w:tcPr>
            <w:tcW w:w="1359" w:type="dxa"/>
            <w:shd w:val="clear" w:color="auto" w:fill="F2F2F2"/>
          </w:tcPr>
          <w:p>
            <w:pPr/>
            <w:r>
              <w:rPr>
                <w:sz w:val="17"/>
              </w:rPr>
              <w:t xml:space="preserve">Zimbabwe</w:t>
            </w:r>
          </w:p>
        </w:tc>
        <w:tc>
          <w:tcPr>
            <w:tcW w:w="1359" w:type="dxa"/>
            <w:shd w:val="clear" w:color="auto" w:fill="F2F2F2"/>
          </w:tcPr>
          <w:p>
            <w:pPr/>
            <w:r>
              <w:rPr>
                <w:sz w:val="17"/>
              </w:rPr>
              <w:t xml:space="preserve">Source</w:t>
            </w:r>
          </w:p>
        </w:tc>
      </w:tr>
      <w:tr>
        <w:tc>
          <w:tcPr>
            <w:tcW w:w="2175" w:type="dxa"/>
          </w:tcPr>
          <w:p>
            <w:pPr/>
            <w:r>
              <w:rPr>
                <w:sz w:val="17"/>
              </w:rPr>
              <w:t xml:space="preserve">Formal firms with a woman among principal owners (%)</w:t>
            </w:r>
          </w:p>
        </w:tc>
        <w:tc>
          <w:tcPr>
            <w:tcW w:w="874" w:type="dxa"/>
          </w:tcPr>
          <w:p>
            <w:pPr/>
            <w:r>
              <w:rPr>
                <w:sz w:val="17"/>
              </w:rPr>
              <w:t xml:space="preserve">highest in Africa (ranked 1st)</w:t>
            </w:r>
          </w:p>
        </w:tc>
        <w:tc>
          <w:tcPr>
            <w:tcW w:w="1068" w:type="dxa"/>
          </w:tcPr>
          <w:p>
            <w:pPr/>
            <w:r>
              <w:rPr>
                <w:sz w:val="17"/>
              </w:rPr>
              <w:t xml:space="preserve">55.3 (2010)</w:t>
            </w:r>
          </w:p>
        </w:tc>
        <w:tc>
          <w:tcPr>
            <w:tcW w:w="1262" w:type="dxa"/>
          </w:tcPr>
          <w:p>
            <w:pPr/>
            <w:r>
              <w:rPr>
                <w:sz w:val="17"/>
              </w:rPr>
              <w:t xml:space="preserve">41.0 (2014)</w:t>
            </w:r>
          </w:p>
        </w:tc>
        <w:tc>
          <w:tcPr>
            <w:tcW w:w="1262" w:type="dxa"/>
          </w:tcPr>
          <w:p>
            <w:pPr/>
            <w:r>
              <w:rPr>
                <w:sz w:val="17"/>
              </w:rPr>
              <w:t xml:space="preserve">41.5 (2019)</w:t>
            </w:r>
          </w:p>
        </w:tc>
        <w:tc>
          <w:tcPr>
            <w:tcW w:w="1359" w:type="dxa"/>
          </w:tcPr>
          <w:p>
            <w:pPr/>
            <w:r>
              <w:rPr>
                <w:sz w:val="17"/>
              </w:rPr>
              <w:t xml:space="preserve">42.5 (2016)</w:t>
            </w:r>
          </w:p>
        </w:tc>
        <w:tc>
          <w:tcPr>
            <w:tcW w:w="1359" w:type="dxa"/>
          </w:tcPr>
          <w:p>
            <w:pPr/>
            <w:hyperlink r:id="rId4" w:history="1">
              <w:r>
                <w:rPr>
                  <w:rStyle w:val="Hyperlink"/>
                  <w:sz w:val="17"/>
                </w:rPr>
                <w:t xml:space="preserve">WB Enterprise Surveys via IndexMundi</w:t>
              </w:r>
            </w:hyperlink>
          </w:p>
        </w:tc>
      </w:tr>
      <w:tr>
        <w:tc>
          <w:tcPr>
            <w:tcW w:w="2175" w:type="dxa"/>
          </w:tcPr>
          <w:p>
            <w:pPr/>
            <w:r>
              <w:rPr>
                <w:sz w:val="17"/>
              </w:rPr>
              <w:t xml:space="preserve">Youth unemployment (%)</w:t>
            </w:r>
          </w:p>
        </w:tc>
        <w:tc>
          <w:tcPr>
            <w:tcW w:w="874" w:type="dxa"/>
          </w:tcPr>
          <w:p>
            <w:pPr/>
            <w:r>
              <w:rPr>
                <w:sz w:val="17"/>
              </w:rPr>
              <w:t xml:space="preserve">—</w:t>
            </w:r>
          </w:p>
        </w:tc>
        <w:tc>
          <w:tcPr>
            <w:tcW w:w="1068" w:type="dxa"/>
          </w:tcPr>
          <w:p>
            <w:pPr/>
            <w:r>
              <w:rPr>
                <w:sz w:val="17"/>
              </w:rPr>
              <w:t xml:space="preserve">28.9 (ages 15–35, 2024/25); 45.3 (ages 15–24, 2024)</w:t>
            </w:r>
          </w:p>
        </w:tc>
        <w:tc>
          <w:tcPr>
            <w:tcW w:w="1262" w:type="dxa"/>
          </w:tcPr>
          <w:p>
            <w:pPr/>
            <w:r>
              <w:rPr>
                <w:sz w:val="17"/>
              </w:rPr>
              <w:t xml:space="preserve">37.3 (ages 15–24, 2024)</w:t>
            </w:r>
          </w:p>
        </w:tc>
        <w:tc>
          <w:tcPr>
            <w:tcW w:w="1262" w:type="dxa"/>
          </w:tcPr>
          <w:p>
            <w:pPr/>
            <w:r>
              <w:rPr>
                <w:sz w:val="17"/>
              </w:rPr>
              <w:t xml:space="preserve">9.9 (ages 15–24, 2024; strict definition)</w:t>
            </w:r>
          </w:p>
        </w:tc>
        <w:tc>
          <w:tcPr>
            <w:tcW w:w="1359" w:type="dxa"/>
          </w:tcPr>
          <w:p>
            <w:pPr/>
            <w:r>
              <w:rPr>
                <w:sz w:val="17"/>
              </w:rPr>
              <w:t xml:space="preserve">—</w:t>
            </w:r>
          </w:p>
        </w:tc>
        <w:tc>
          <w:tcPr>
            <w:tcW w:w="1359" w:type="dxa"/>
          </w:tcPr>
          <w:p>
            <w:pPr/>
            <w:hyperlink r:id="rId5" w:history="1">
              <w:r>
                <w:rPr>
                  <w:rStyle w:val="Hyperlink"/>
                  <w:sz w:val="17"/>
                </w:rPr>
                <w:t xml:space="preserve">Statistics Botswana BMTHS</w:t>
              </w:r>
            </w:hyperlink>
            <w:r>
              <w:rPr>
                <w:sz w:val="17"/>
              </w:rPr>
              <w:t xml:space="preserve">; WB WDI</w:t>
            </w:r>
          </w:p>
        </w:tc>
      </w:tr>
      <w:tr>
        <w:tc>
          <w:tcPr>
            <w:tcW w:w="2175" w:type="dxa"/>
          </w:tcPr>
          <w:p>
            <w:pPr/>
            <w:r>
              <w:rPr>
                <w:sz w:val="17"/>
              </w:rPr>
              <w:t xml:space="preserve">Youth NEET rate (%)</w:t>
            </w:r>
          </w:p>
        </w:tc>
        <w:tc>
          <w:tcPr>
            <w:tcW w:w="874" w:type="dxa"/>
          </w:tcPr>
          <w:p>
            <w:pPr/>
            <w:r>
              <w:rPr>
                <w:sz w:val="17"/>
              </w:rPr>
              <w:t xml:space="preserve">—</w:t>
            </w:r>
          </w:p>
        </w:tc>
        <w:tc>
          <w:tcPr>
            <w:tcW w:w="1068" w:type="dxa"/>
          </w:tcPr>
          <w:p>
            <w:pPr/>
            <w:r>
              <w:rPr>
                <w:sz w:val="17"/>
              </w:rPr>
              <w:t xml:space="preserve">41.3 (2024)</w:t>
            </w:r>
          </w:p>
        </w:tc>
        <w:tc>
          <w:tcPr>
            <w:tcW w:w="1262" w:type="dxa"/>
          </w:tcPr>
          <w:p>
            <w:pPr/>
            <w:r>
              <w:rPr>
                <w:sz w:val="17"/>
              </w:rPr>
              <w:t xml:space="preserve">—</w:t>
            </w:r>
          </w:p>
        </w:tc>
        <w:tc>
          <w:tcPr>
            <w:tcW w:w="1262" w:type="dxa"/>
          </w:tcPr>
          <w:p>
            <w:pPr/>
            <w:r>
              <w:rPr>
                <w:sz w:val="17"/>
              </w:rPr>
              <w:t xml:space="preserve">—</w:t>
            </w:r>
          </w:p>
        </w:tc>
        <w:tc>
          <w:tcPr>
            <w:tcW w:w="1359" w:type="dxa"/>
          </w:tcPr>
          <w:p>
            <w:pPr/>
            <w:r>
              <w:rPr>
                <w:sz w:val="17"/>
              </w:rPr>
              <w:t xml:space="preserve">—</w:t>
            </w:r>
          </w:p>
        </w:tc>
        <w:tc>
          <w:tcPr>
            <w:tcW w:w="1359" w:type="dxa"/>
          </w:tcPr>
          <w:p>
            <w:pPr/>
            <w:hyperlink r:id="rId6" w:history="1">
              <w:r>
                <w:rPr>
                  <w:rStyle w:val="Hyperlink"/>
                  <w:sz w:val="17"/>
                </w:rPr>
                <w:t xml:space="preserve">UNFPA Botswana</w:t>
              </w:r>
            </w:hyperlink>
          </w:p>
        </w:tc>
      </w:tr>
      <w:tr>
        <w:tc>
          <w:tcPr>
            <w:tcW w:w="2175" w:type="dxa"/>
          </w:tcPr>
          <w:p>
            <w:pPr/>
            <w:r>
              <w:rPr>
                <w:sz w:val="17"/>
              </w:rPr>
              <w:t xml:space="preserve">Women's formal financial inclusion (%)</w:t>
            </w:r>
          </w:p>
        </w:tc>
        <w:tc>
          <w:tcPr>
            <w:tcW w:w="874" w:type="dxa"/>
          </w:tcPr>
          <w:p>
            <w:pPr/>
            <w:r>
              <w:rPr>
                <w:sz w:val="17"/>
              </w:rPr>
              <w:t xml:space="preserve">—</w:t>
            </w:r>
          </w:p>
        </w:tc>
        <w:tc>
          <w:tcPr>
            <w:tcW w:w="1068" w:type="dxa"/>
          </w:tcPr>
          <w:p>
            <w:pPr/>
            <w:r>
              <w:rPr>
                <w:sz w:val="17"/>
              </w:rPr>
              <w:t xml:space="preserve">—</w:t>
            </w:r>
          </w:p>
        </w:tc>
        <w:tc>
          <w:tcPr>
            <w:tcW w:w="1262" w:type="dxa"/>
          </w:tcPr>
          <w:p>
            <w:pPr/>
            <w:r>
              <w:rPr>
                <w:sz w:val="17"/>
              </w:rPr>
              <w:t xml:space="preserve">—</w:t>
            </w:r>
          </w:p>
        </w:tc>
        <w:tc>
          <w:tcPr>
            <w:tcW w:w="1262" w:type="dxa"/>
          </w:tcPr>
          <w:p>
            <w:pPr/>
            <w:r>
              <w:rPr>
                <w:sz w:val="17"/>
              </w:rPr>
              <w:t xml:space="preserve">58.6 (2020, up from 33.3 in 2015)</w:t>
            </w:r>
          </w:p>
        </w:tc>
        <w:tc>
          <w:tcPr>
            <w:tcW w:w="1359" w:type="dxa"/>
          </w:tcPr>
          <w:p>
            <w:pPr/>
            <w:r>
              <w:rPr>
                <w:sz w:val="17"/>
              </w:rPr>
              <w:t xml:space="preserve">—</w:t>
            </w:r>
          </w:p>
        </w:tc>
        <w:tc>
          <w:tcPr>
            <w:tcW w:w="1359" w:type="dxa"/>
          </w:tcPr>
          <w:p>
            <w:pPr/>
            <w:hyperlink r:id="rId7" w:history="1">
              <w:r>
                <w:rPr>
                  <w:rStyle w:val="Hyperlink"/>
                  <w:sz w:val="17"/>
                </w:rPr>
                <w:t xml:space="preserve">AFI Zambia</w:t>
              </w:r>
            </w:hyperlink>
          </w:p>
        </w:tc>
      </w:tr>
      <w:tr>
        <w:tc>
          <w:tcPr>
            <w:tcW w:w="2175" w:type="dxa"/>
          </w:tcPr>
          <w:p>
            <w:pPr/>
            <w:r>
              <w:rPr>
                <w:sz w:val="17"/>
              </w:rPr>
              <w:t xml:space="preserve">Savings-group members who are women / youth 15–35 (%)</w:t>
            </w:r>
          </w:p>
        </w:tc>
        <w:tc>
          <w:tcPr>
            <w:tcW w:w="874" w:type="dxa"/>
          </w:tcPr>
          <w:p>
            <w:pPr/>
            <w:r>
              <w:rPr>
                <w:sz w:val="17"/>
              </w:rPr>
              <w:t xml:space="preserve">—</w:t>
            </w:r>
          </w:p>
        </w:tc>
        <w:tc>
          <w:tcPr>
            <w:tcW w:w="1068" w:type="dxa"/>
          </w:tcPr>
          <w:p>
            <w:pPr/>
            <w:r>
              <w:rPr>
                <w:sz w:val="17"/>
              </w:rPr>
              <w:t xml:space="preserve">—</w:t>
            </w:r>
          </w:p>
        </w:tc>
        <w:tc>
          <w:tcPr>
            <w:tcW w:w="1262" w:type="dxa"/>
          </w:tcPr>
          <w:p>
            <w:pPr/>
            <w:r>
              <w:rPr>
                <w:sz w:val="17"/>
              </w:rPr>
              <w:t xml:space="preserve">—</w:t>
            </w:r>
          </w:p>
        </w:tc>
        <w:tc>
          <w:tcPr>
            <w:tcW w:w="1262" w:type="dxa"/>
          </w:tcPr>
          <w:p>
            <w:pPr/>
            <w:r>
              <w:rPr>
                <w:sz w:val="17"/>
              </w:rPr>
              <w:t xml:space="preserve">73 / 28 (rural sample)</w:t>
            </w:r>
          </w:p>
        </w:tc>
        <w:tc>
          <w:tcPr>
            <w:tcW w:w="1359" w:type="dxa"/>
          </w:tcPr>
          <w:p>
            <w:pPr/>
            <w:r>
              <w:rPr>
                <w:sz w:val="17"/>
              </w:rPr>
              <w:t xml:space="preserve">—</w:t>
            </w:r>
          </w:p>
        </w:tc>
        <w:tc>
          <w:tcPr>
            <w:tcW w:w="1359" w:type="dxa"/>
          </w:tcPr>
          <w:p>
            <w:pPr/>
            <w:hyperlink r:id="rId8" w:history="1">
              <w:r>
                <w:rPr>
                  <w:rStyle w:val="Hyperlink"/>
                  <w:sz w:val="17"/>
                </w:rPr>
                <w:t xml:space="preserve">Africa Portal</w:t>
              </w:r>
            </w:hyperlink>
          </w:p>
        </w:tc>
      </w:tr>
      <w:tr>
        <w:tc>
          <w:tcPr>
            <w:tcW w:w="2175" w:type="dxa"/>
          </w:tcPr>
          <w:p>
            <w:pPr/>
            <w:r>
              <w:rPr>
                <w:sz w:val="17"/>
              </w:rPr>
              <w:t xml:space="preserve">Conservancy committee members / financial managers who are women (%)</w:t>
            </w:r>
          </w:p>
        </w:tc>
        <w:tc>
          <w:tcPr>
            <w:tcW w:w="874" w:type="dxa"/>
          </w:tcPr>
          <w:p>
            <w:pPr/>
            <w:r>
              <w:rPr>
                <w:sz w:val="17"/>
              </w:rPr>
              <w:t xml:space="preserve">—</w:t>
            </w:r>
          </w:p>
        </w:tc>
        <w:tc>
          <w:tcPr>
            <w:tcW w:w="1068" w:type="dxa"/>
          </w:tcPr>
          <w:p>
            <w:pPr/>
            <w:r>
              <w:rPr>
                <w:sz w:val="17"/>
              </w:rPr>
              <w:t xml:space="preserve">—</w:t>
            </w:r>
          </w:p>
        </w:tc>
        <w:tc>
          <w:tcPr>
            <w:tcW w:w="1262" w:type="dxa"/>
          </w:tcPr>
          <w:p>
            <w:pPr/>
            <w:r>
              <w:rPr>
                <w:sz w:val="17"/>
              </w:rPr>
              <w:t xml:space="preserve">about 40 / over 60</w:t>
            </w:r>
          </w:p>
        </w:tc>
        <w:tc>
          <w:tcPr>
            <w:tcW w:w="1262" w:type="dxa"/>
          </w:tcPr>
          <w:p>
            <w:pPr/>
            <w:r>
              <w:rPr>
                <w:sz w:val="17"/>
              </w:rPr>
              <w:t xml:space="preserve">—</w:t>
            </w:r>
          </w:p>
        </w:tc>
        <w:tc>
          <w:tcPr>
            <w:tcW w:w="1359" w:type="dxa"/>
          </w:tcPr>
          <w:p>
            <w:pPr/>
            <w:r>
              <w:rPr>
                <w:sz w:val="17"/>
              </w:rPr>
              <w:t xml:space="preserve">—</w:t>
            </w:r>
          </w:p>
        </w:tc>
        <w:tc>
          <w:tcPr>
            <w:tcW w:w="1359" w:type="dxa"/>
          </w:tcPr>
          <w:p>
            <w:pPr/>
            <w:hyperlink r:id="rId9" w:history="1">
              <w:r>
                <w:rPr>
                  <w:rStyle w:val="Hyperlink"/>
                  <w:sz w:val="17"/>
                </w:rPr>
                <w:t xml:space="preserve">NACSO via TravelNam</w:t>
              </w:r>
            </w:hyperlink>
          </w:p>
        </w:tc>
      </w:tr>
      <w:tr>
        <w:tc>
          <w:tcPr>
            <w:tcW w:w="2175" w:type="dxa"/>
          </w:tcPr>
          <w:p>
            <w:pPr/>
            <w:r>
              <w:rPr>
                <w:sz w:val="17"/>
              </w:rPr>
              <w:t xml:space="preserve">Women landowners or leaseholders after land reform (%)</w:t>
            </w:r>
          </w:p>
        </w:tc>
        <w:tc>
          <w:tcPr>
            <w:tcW w:w="874" w:type="dxa"/>
          </w:tcPr>
          <w:p>
            <w:pPr/>
            <w:r>
              <w:rPr>
                <w:sz w:val="17"/>
              </w:rPr>
              <w:t xml:space="preserve">—</w:t>
            </w:r>
          </w:p>
        </w:tc>
        <w:tc>
          <w:tcPr>
            <w:tcW w:w="1068" w:type="dxa"/>
          </w:tcPr>
          <w:p>
            <w:pPr/>
            <w:r>
              <w:rPr>
                <w:sz w:val="17"/>
              </w:rPr>
              <w:t xml:space="preserve">—</w:t>
            </w:r>
          </w:p>
        </w:tc>
        <w:tc>
          <w:tcPr>
            <w:tcW w:w="1262" w:type="dxa"/>
          </w:tcPr>
          <w:p>
            <w:pPr/>
            <w:r>
              <w:rPr>
                <w:sz w:val="17"/>
              </w:rPr>
              <w:t xml:space="preserve">—</w:t>
            </w:r>
          </w:p>
        </w:tc>
        <w:tc>
          <w:tcPr>
            <w:tcW w:w="1262" w:type="dxa"/>
          </w:tcPr>
          <w:p>
            <w:pPr/>
            <w:r>
              <w:rPr>
                <w:sz w:val="17"/>
              </w:rPr>
              <w:t xml:space="preserve">—</w:t>
            </w:r>
          </w:p>
        </w:tc>
        <w:tc>
          <w:tcPr>
            <w:tcW w:w="1359" w:type="dxa"/>
          </w:tcPr>
          <w:p>
            <w:pPr/>
            <w:r>
              <w:rPr>
                <w:sz w:val="17"/>
              </w:rPr>
              <w:t xml:space="preserve">about 20 (from under 5)</w:t>
            </w:r>
          </w:p>
        </w:tc>
        <w:tc>
          <w:tcPr>
            <w:tcW w:w="1359" w:type="dxa"/>
          </w:tcPr>
          <w:p>
            <w:pPr/>
            <w:hyperlink r:id="rId10" w:history="1">
              <w:r>
                <w:rPr>
                  <w:rStyle w:val="Hyperlink"/>
                  <w:sz w:val="17"/>
                </w:rPr>
                <w:t xml:space="preserve">The New Humanitarian</w:t>
              </w:r>
            </w:hyperlink>
          </w:p>
        </w:tc>
      </w:tr>
      <w:tr>
        <w:tc>
          <w:tcPr>
            <w:tcW w:w="2175" w:type="dxa"/>
          </w:tcPr>
          <w:p>
            <w:pPr/>
            <w:r>
              <w:rPr>
                <w:sz w:val="17"/>
              </w:rPr>
              <w:t xml:space="preserve">Women-led credit guarantee targets</w:t>
            </w:r>
          </w:p>
        </w:tc>
        <w:tc>
          <w:tcPr>
            <w:tcW w:w="874" w:type="dxa"/>
          </w:tcPr>
          <w:p>
            <w:pPr/>
            <w:r>
              <w:rPr>
                <w:sz w:val="17"/>
              </w:rPr>
              <w:t xml:space="preserve">—</w:t>
            </w:r>
          </w:p>
        </w:tc>
        <w:tc>
          <w:tcPr>
            <w:tcW w:w="1068" w:type="dxa"/>
          </w:tcPr>
          <w:p>
            <w:pPr/>
            <w:r>
              <w:rPr>
                <w:sz w:val="17"/>
              </w:rPr>
              <w:t xml:space="preserve">No national CGS</w:t>
            </w:r>
          </w:p>
        </w:tc>
        <w:tc>
          <w:tcPr>
            <w:tcW w:w="1262" w:type="dxa"/>
          </w:tcPr>
          <w:p>
            <w:pPr/>
            <w:r>
              <w:rPr>
                <w:sz w:val="17"/>
              </w:rPr>
              <w:t xml:space="preserve">CGS targets women-owned and youth-owned (40 and under) SMEs at 60% cover</w:t>
            </w:r>
          </w:p>
        </w:tc>
        <w:tc>
          <w:tcPr>
            <w:tcW w:w="1262" w:type="dxa"/>
          </w:tcPr>
          <w:p>
            <w:pPr/>
            <w:r>
              <w:rPr>
                <w:sz w:val="17"/>
              </w:rPr>
              <w:t xml:space="preserve">ZCGS–FNB partnership prioritises women- and youth-led firms</w:t>
            </w:r>
          </w:p>
        </w:tc>
        <w:tc>
          <w:tcPr>
            <w:tcW w:w="1359" w:type="dxa"/>
          </w:tcPr>
          <w:p>
            <w:pPr/>
            <w:r>
              <w:rPr>
                <w:sz w:val="17"/>
              </w:rPr>
              <w:t xml:space="preserve">Women's Microfinance Bank: 49,000+ borrowers since 2018</w:t>
            </w:r>
          </w:p>
        </w:tc>
        <w:tc>
          <w:tcPr>
            <w:tcW w:w="1359" w:type="dxa"/>
          </w:tcPr>
          <w:p>
            <w:pPr/>
            <w:hyperlink r:id="rId11" w:history="1">
              <w:r>
                <w:rPr>
                  <w:rStyle w:val="Hyperlink"/>
                  <w:sz w:val="17"/>
                </w:rPr>
                <w:t xml:space="preserve">The Brief</w:t>
              </w:r>
            </w:hyperlink>
            <w:r>
              <w:rPr>
                <w:sz w:val="17"/>
              </w:rPr>
              <w:t xml:space="preserve">; </w:t>
            </w:r>
            <w:hyperlink r:id="rId12" w:history="1">
              <w:r>
                <w:rPr>
                  <w:rStyle w:val="Hyperlink"/>
                  <w:sz w:val="17"/>
                </w:rPr>
                <w:t xml:space="preserve">Zambia Monitor</w:t>
              </w:r>
            </w:hyperlink>
            <w:r>
              <w:rPr>
                <w:sz w:val="17"/>
              </w:rPr>
              <w:t xml:space="preserve">; Parliament of Zimbabwe</w:t>
            </w:r>
          </w:p>
        </w:tc>
      </w:tr>
    </w:tbl>
    <w:p>
      <w:pPr/>
      <w:r>
        <w:t xml:space="preserve">The data shows three patterns:</w:t>
      </w:r>
    </w:p>
    <w:p>
      <w:pPr>
        <w:pStyle w:val="ListParagraph"/>
        <w:numPr>
          <w:ilvl w:val="0"/>
          <w:numId w:val="3"/>
        </w:numPr>
      </w:pPr>
      <w:r>
        <w:rPr>
          <w:b/>
        </w:rPr>
        <w:t xml:space="preserve">Ownership is not the gap.</w:t>
      </w:r>
      <w:r>
        <w:t xml:space="preserve"> Women hold a large share of firms. The gap is in firm size and in credit, because women's firms sit in low-asset segments.</w:t>
      </w:r>
    </w:p>
    <w:p>
      <w:pPr>
        <w:pStyle w:val="ListParagraph"/>
        <w:numPr>
          <w:ilvl w:val="0"/>
          <w:numId w:val="3"/>
        </w:numPr>
      </w:pPr>
      <w:r>
        <w:rPr>
          <w:b/>
        </w:rPr>
        <w:t xml:space="preserve">Youth exclusion is the sharpest problem.</w:t>
      </w:r>
      <w:r>
        <w:t xml:space="preserve"> It is most acute in Botswana and Namibia, which have the deepest tourism markets.</w:t>
      </w:r>
    </w:p>
    <w:p>
      <w:pPr>
        <w:pStyle w:val="ListParagraph"/>
        <w:numPr>
          <w:ilvl w:val="0"/>
          <w:numId w:val="3"/>
        </w:numPr>
      </w:pPr>
      <w:r>
        <w:rPr>
          <w:b/>
        </w:rPr>
        <w:t xml:space="preserve">Women's finance is already organised.</w:t>
      </w:r>
      <w:r>
        <w:t xml:space="preserve"> Women run savings groups and conservancy finances. That is a base to build on, not a deficit to fix.</w:t>
      </w:r>
    </w:p>
    <w:p>
      <w:pPr/>
      <w:r>
        <w:t xml:space="preserve">For 2025 Findex country gender gaps, the World Bank tables should be pulled during inception. The search for this report did not return country values.</w:t>
      </w:r>
    </w:p>
    <w:p>
      <w:pPr>
        <w:pStyle w:val="Heading2"/>
      </w:pPr>
      <w:r>
        <w:t xml:space="preserve">3. Financial institutions: risk views and willingness to lend to women and youth</w:t>
      </w:r>
    </w:p>
    <w:p>
      <w:pPr/>
      <w:r>
        <w:t xml:space="preserve">Lenders in the corridor are willing to take on gender-lens and youth lending, but mostly through risk-sharing they don't fund themselves. The institutions most ready are those with a guarantee partner and a mandate to empower citizens: DBN with CGS in Namibia, FNB and Absa with ZCGS and CEEC in Zambia, CEDA with Stanbic in Botswana, and ECGC with the Women's Microfinance Bank in Zimbabwe.</w:t>
      </w:r>
    </w:p>
    <w:p>
      <w:pPr>
        <w:pStyle w:val="Heading3"/>
      </w:pPr>
      <w:r>
        <w:t xml:space="preserve">3.1 How lenders view risk by MSME category</w:t>
      </w:r>
    </w:p>
    <w:p>
      <w:pPr/>
      <w:r>
        <w:t xml:space="preserve">These ratings are </w:t>
      </w:r>
      <w:r>
        <w:rPr>
          <w:i/>
        </w:rPr>
        <w:t xml:space="preserve">indicative</w:t>
      </w:r>
      <w:r>
        <w:t xml:space="preserve">. They synthesise lender practice reported in the Financial Landscape Analysis and should be validated in interviews with financial institutions.</w:t>
      </w:r>
    </w:p>
    <w:tbl>
      <w:tblPr>
        <w:tblStyle w:val="TableGrid"/>
        <w:tblW w:w="0" w:type="auto"/>
        <w:tblLayout w:type="fixed"/>
        <w:tblLook w:val="04A0" w:firstRow="1" w:lastRow="0" w:firstColumn="0" w:lastColumn="0" w:noHBand="0" w:noVBand="1"/>
        <w:tblLayout w:type="fixed"/>
      </w:tblPr>
      <w:tblGrid>
        <w:gridCol w:w="1992"/>
        <w:gridCol w:w="1356"/>
        <w:gridCol w:w="3060"/>
        <w:gridCol w:w="2950"/>
      </w:tblGrid>
      <w:tr>
        <w:trPr>
          <w:tblHeader/>
          <w:tblHeader w:val="true"/>
        </w:trPr>
        <w:tc>
          <w:tcPr>
            <w:tcW w:w="1992" w:type="dxa"/>
            <w:shd w:val="clear" w:color="auto" w:fill="F2F2F2"/>
          </w:tcPr>
          <w:p>
            <w:pPr/>
            <w:r>
              <w:rPr>
                <w:sz w:val="19"/>
              </w:rPr>
              <w:t xml:space="preserve">MSME category</w:t>
            </w:r>
          </w:p>
        </w:tc>
        <w:tc>
          <w:tcPr>
            <w:tcW w:w="1356" w:type="dxa"/>
            <w:shd w:val="clear" w:color="auto" w:fill="F2F2F2"/>
          </w:tcPr>
          <w:p>
            <w:pPr/>
            <w:r>
              <w:rPr>
                <w:sz w:val="19"/>
              </w:rPr>
              <w:t xml:space="preserve">Perceived risk</w:t>
            </w:r>
          </w:p>
        </w:tc>
        <w:tc>
          <w:tcPr>
            <w:tcW w:w="3061" w:type="dxa"/>
            <w:shd w:val="clear" w:color="auto" w:fill="F2F2F2"/>
          </w:tcPr>
          <w:p>
            <w:pPr/>
            <w:r>
              <w:rPr>
                <w:sz w:val="19"/>
              </w:rPr>
              <w:t xml:space="preserve">Why lenders see it this way</w:t>
            </w:r>
          </w:p>
        </w:tc>
        <w:tc>
          <w:tcPr>
            <w:tcW w:w="2951" w:type="dxa"/>
            <w:shd w:val="clear" w:color="auto" w:fill="F2F2F2"/>
          </w:tcPr>
          <w:p>
            <w:pPr/>
            <w:r>
              <w:rPr>
                <w:sz w:val="19"/>
              </w:rPr>
              <w:t xml:space="preserve">What would lower it</w:t>
            </w:r>
          </w:p>
        </w:tc>
      </w:tr>
      <w:tr>
        <w:tc>
          <w:tcPr>
            <w:tcW w:w="1992" w:type="dxa"/>
          </w:tcPr>
          <w:p>
            <w:pPr/>
            <w:r>
              <w:rPr>
                <w:sz w:val="19"/>
              </w:rPr>
              <w:t xml:space="preserve">Youth-led start-up (guiding, digital)</w:t>
            </w:r>
          </w:p>
        </w:tc>
        <w:tc>
          <w:tcPr>
            <w:tcW w:w="1356" w:type="dxa"/>
          </w:tcPr>
          <w:p>
            <w:pPr/>
            <w:r>
              <w:rPr>
                <w:sz w:val="19"/>
              </w:rPr>
              <w:t xml:space="preserve">Very high</w:t>
            </w:r>
          </w:p>
        </w:tc>
        <w:tc>
          <w:tcPr>
            <w:tcW w:w="3061" w:type="dxa"/>
          </w:tcPr>
          <w:p>
            <w:pPr/>
            <w:r>
              <w:rPr>
                <w:sz w:val="19"/>
              </w:rPr>
              <w:t xml:space="preserve">No credit history, no assets, seasonal income, mobile workforce</w:t>
            </w:r>
          </w:p>
        </w:tc>
        <w:tc>
          <w:tcPr>
            <w:tcW w:w="2951" w:type="dxa"/>
          </w:tcPr>
          <w:p>
            <w:pPr/>
            <w:r>
              <w:rPr>
                <w:sz w:val="19"/>
              </w:rPr>
              <w:t xml:space="preserve">Guarantee of 70% or more, mentored seed grant, digital revenue trail</w:t>
            </w:r>
          </w:p>
        </w:tc>
      </w:tr>
      <w:tr>
        <w:tc>
          <w:tcPr>
            <w:tcW w:w="1992" w:type="dxa"/>
          </w:tcPr>
          <w:p>
            <w:pPr/>
            <w:r>
              <w:rPr>
                <w:sz w:val="19"/>
              </w:rPr>
              <w:t xml:space="preserve">Women-led micro (crafts, food, homestay)</w:t>
            </w:r>
          </w:p>
        </w:tc>
        <w:tc>
          <w:tcPr>
            <w:tcW w:w="1356" w:type="dxa"/>
          </w:tcPr>
          <w:p>
            <w:pPr/>
            <w:r>
              <w:rPr>
                <w:sz w:val="19"/>
              </w:rPr>
              <w:t xml:space="preserve">High</w:t>
            </w:r>
          </w:p>
        </w:tc>
        <w:tc>
          <w:tcPr>
            <w:tcW w:w="3061" w:type="dxa"/>
          </w:tcPr>
          <w:p>
            <w:pPr/>
            <w:r>
              <w:rPr>
                <w:sz w:val="19"/>
              </w:rPr>
              <w:t xml:space="preserve">Small tickets, informal records, communal-land premises, cost to serve</w:t>
            </w:r>
          </w:p>
        </w:tc>
        <w:tc>
          <w:tcPr>
            <w:tcW w:w="2951" w:type="dxa"/>
          </w:tcPr>
          <w:p>
            <w:pPr/>
            <w:r>
              <w:rPr>
                <w:sz w:val="19"/>
              </w:rPr>
              <w:t xml:space="preserve">Group lending, VSLA linkage, buyer contracts, portfolio guarantee</w:t>
            </w:r>
          </w:p>
        </w:tc>
      </w:tr>
      <w:tr>
        <w:tc>
          <w:tcPr>
            <w:tcW w:w="1992" w:type="dxa"/>
          </w:tcPr>
          <w:p>
            <w:pPr/>
            <w:r>
              <w:rPr>
                <w:sz w:val="19"/>
              </w:rPr>
              <w:t xml:space="preserve">Community enterprise (trust, conservancy, CRB)</w:t>
            </w:r>
          </w:p>
        </w:tc>
        <w:tc>
          <w:tcPr>
            <w:tcW w:w="1356" w:type="dxa"/>
          </w:tcPr>
          <w:p>
            <w:pPr/>
            <w:r>
              <w:rPr>
                <w:sz w:val="19"/>
              </w:rPr>
              <w:t xml:space="preserve">High</w:t>
            </w:r>
          </w:p>
        </w:tc>
        <w:tc>
          <w:tcPr>
            <w:tcW w:w="3061" w:type="dxa"/>
          </w:tcPr>
          <w:p>
            <w:pPr/>
            <w:r>
              <w:rPr>
                <w:sz w:val="19"/>
              </w:rPr>
              <w:t xml:space="preserve">Governance disputes, elite capture, lease tenure shorter than loan tenor</w:t>
            </w:r>
          </w:p>
        </w:tc>
        <w:tc>
          <w:tcPr>
            <w:tcW w:w="2951" w:type="dxa"/>
          </w:tcPr>
          <w:p>
            <w:pPr/>
            <w:r>
              <w:rPr>
                <w:sz w:val="19"/>
              </w:rPr>
              <w:t xml:space="preserve">Audited governance, JV revenue escrow, revolving fund rules</w:t>
            </w:r>
          </w:p>
        </w:tc>
      </w:tr>
      <w:tr>
        <w:tc>
          <w:tcPr>
            <w:tcW w:w="1992" w:type="dxa"/>
          </w:tcPr>
          <w:p>
            <w:pPr/>
            <w:r>
              <w:rPr>
                <w:sz w:val="19"/>
              </w:rPr>
              <w:t xml:space="preserve">Small accommodation (guesthouse, B&amp;B)</w:t>
            </w:r>
          </w:p>
        </w:tc>
        <w:tc>
          <w:tcPr>
            <w:tcW w:w="1356" w:type="dxa"/>
          </w:tcPr>
          <w:p>
            <w:pPr/>
            <w:r>
              <w:rPr>
                <w:sz w:val="19"/>
              </w:rPr>
              <w:t xml:space="preserve">Medium–high</w:t>
            </w:r>
          </w:p>
        </w:tc>
        <w:tc>
          <w:tcPr>
            <w:tcW w:w="3061" w:type="dxa"/>
          </w:tcPr>
          <w:p>
            <w:pPr/>
            <w:r>
              <w:rPr>
                <w:sz w:val="19"/>
              </w:rPr>
              <w:t xml:space="preserve">Land not mortgageable, occupancy volatility, licensing gaps</w:t>
            </w:r>
          </w:p>
        </w:tc>
        <w:tc>
          <w:tcPr>
            <w:tcW w:w="2951" w:type="dxa"/>
          </w:tcPr>
          <w:p>
            <w:pPr/>
            <w:r>
              <w:rPr>
                <w:sz w:val="19"/>
              </w:rPr>
              <w:t xml:space="preserve">Lease-backed security, occupancy data, seasonal repayment</w:t>
            </w:r>
          </w:p>
        </w:tc>
      </w:tr>
      <w:tr>
        <w:tc>
          <w:tcPr>
            <w:tcW w:w="1992" w:type="dxa"/>
          </w:tcPr>
          <w:p>
            <w:pPr/>
            <w:r>
              <w:rPr>
                <w:sz w:val="19"/>
              </w:rPr>
              <w:t xml:space="preserve">Transport and boat operators</w:t>
            </w:r>
          </w:p>
        </w:tc>
        <w:tc>
          <w:tcPr>
            <w:tcW w:w="1356" w:type="dxa"/>
          </w:tcPr>
          <w:p>
            <w:pPr/>
            <w:r>
              <w:rPr>
                <w:sz w:val="19"/>
              </w:rPr>
              <w:t xml:space="preserve">Medium</w:t>
            </w:r>
          </w:p>
        </w:tc>
        <w:tc>
          <w:tcPr>
            <w:tcW w:w="3061" w:type="dxa"/>
          </w:tcPr>
          <w:p>
            <w:pPr/>
            <w:r>
              <w:rPr>
                <w:sz w:val="19"/>
              </w:rPr>
              <w:t xml:space="preserve">Assets are movable and insurable, but drivers and boats get damaged</w:t>
            </w:r>
          </w:p>
        </w:tc>
        <w:tc>
          <w:tcPr>
            <w:tcW w:w="2951" w:type="dxa"/>
          </w:tcPr>
          <w:p>
            <w:pPr/>
            <w:r>
              <w:rPr>
                <w:sz w:val="19"/>
              </w:rPr>
              <w:t xml:space="preserve">Asset finance with registry filing, insurance bundling</w:t>
            </w:r>
          </w:p>
        </w:tc>
      </w:tr>
      <w:tr>
        <w:tc>
          <w:tcPr>
            <w:tcW w:w="1992" w:type="dxa"/>
          </w:tcPr>
          <w:p>
            <w:pPr/>
            <w:r>
              <w:rPr>
                <w:sz w:val="19"/>
              </w:rPr>
              <w:t xml:space="preserve">Suppliers with an anchor contract</w:t>
            </w:r>
          </w:p>
        </w:tc>
        <w:tc>
          <w:tcPr>
            <w:tcW w:w="1356" w:type="dxa"/>
          </w:tcPr>
          <w:p>
            <w:pPr/>
            <w:r>
              <w:rPr>
                <w:sz w:val="19"/>
              </w:rPr>
              <w:t xml:space="preserve">Medium–low</w:t>
            </w:r>
          </w:p>
        </w:tc>
        <w:tc>
          <w:tcPr>
            <w:tcW w:w="3061" w:type="dxa"/>
          </w:tcPr>
          <w:p>
            <w:pPr/>
            <w:r>
              <w:rPr>
                <w:sz w:val="19"/>
              </w:rPr>
              <w:t xml:space="preserve">Contract cash flow is visible</w:t>
            </w:r>
          </w:p>
        </w:tc>
        <w:tc>
          <w:tcPr>
            <w:tcW w:w="2951" w:type="dxa"/>
          </w:tcPr>
          <w:p>
            <w:pPr/>
            <w:r>
              <w:rPr>
                <w:sz w:val="19"/>
              </w:rPr>
              <w:t xml:space="preserve">Receivables assignment, tripartite agreements</w:t>
            </w:r>
          </w:p>
        </w:tc>
      </w:tr>
      <w:tr>
        <w:tc>
          <w:tcPr>
            <w:tcW w:w="1992" w:type="dxa"/>
          </w:tcPr>
          <w:p>
            <w:pPr/>
            <w:r>
              <w:rPr>
                <w:sz w:val="19"/>
              </w:rPr>
              <w:t xml:space="preserve">Scaling formal operator</w:t>
            </w:r>
          </w:p>
        </w:tc>
        <w:tc>
          <w:tcPr>
            <w:tcW w:w="1356" w:type="dxa"/>
          </w:tcPr>
          <w:p>
            <w:pPr/>
            <w:r>
              <w:rPr>
                <w:sz w:val="19"/>
              </w:rPr>
              <w:t xml:space="preserve">Low–medium</w:t>
            </w:r>
          </w:p>
        </w:tc>
        <w:tc>
          <w:tcPr>
            <w:tcW w:w="3061" w:type="dxa"/>
          </w:tcPr>
          <w:p>
            <w:pPr/>
            <w:r>
              <w:rPr>
                <w:sz w:val="19"/>
              </w:rPr>
              <w:t xml:space="preserve">Audited accounts, USD revenue, bookings</w:t>
            </w:r>
          </w:p>
        </w:tc>
        <w:tc>
          <w:tcPr>
            <w:tcW w:w="2951" w:type="dxa"/>
          </w:tcPr>
          <w:p>
            <w:pPr/>
            <w:r>
              <w:rPr>
                <w:sz w:val="19"/>
              </w:rPr>
              <w:t xml:space="preserve">Standard SME products with seasonal grace</w:t>
            </w:r>
          </w:p>
        </w:tc>
      </w:tr>
    </w:tbl>
    <w:p>
      <w:pPr>
        <w:pStyle w:val="Heading3"/>
      </w:pPr>
      <w:r>
        <w:t xml:space="preserve">3.2 Willingness to adopt gender-lens and youth-inclusive strategies</w:t>
      </w:r>
    </w:p>
    <w:tbl>
      <w:tblPr>
        <w:tblStyle w:val="TableGrid"/>
        <w:tblW w:w="0" w:type="auto"/>
        <w:tblLayout w:type="fixed"/>
        <w:tblLook w:val="04A0" w:firstRow="1" w:lastRow="0" w:firstColumn="0" w:lastColumn="0" w:noHBand="0" w:noVBand="1"/>
        <w:tblLayout w:type="fixed"/>
      </w:tblPr>
      <w:tblGrid>
        <w:gridCol w:w="2817"/>
        <w:gridCol w:w="1908"/>
        <w:gridCol w:w="1675"/>
        <w:gridCol w:w="2958"/>
      </w:tblGrid>
      <w:tr>
        <w:trPr>
          <w:tblHeader/>
          <w:tblHeader w:val="true"/>
        </w:trPr>
        <w:tc>
          <w:tcPr>
            <w:tcW w:w="2818" w:type="dxa"/>
            <w:shd w:val="clear" w:color="auto" w:fill="F2F2F2"/>
          </w:tcPr>
          <w:p>
            <w:pPr/>
            <w:r>
              <w:rPr>
                <w:sz w:val="19"/>
              </w:rPr>
              <w:t xml:space="preserve">Institution type</w:t>
            </w:r>
          </w:p>
        </w:tc>
        <w:tc>
          <w:tcPr>
            <w:tcW w:w="1908" w:type="dxa"/>
            <w:shd w:val="clear" w:color="auto" w:fill="F2F2F2"/>
          </w:tcPr>
          <w:p>
            <w:pPr/>
            <w:r>
              <w:rPr>
                <w:sz w:val="19"/>
              </w:rPr>
              <w:t xml:space="preserve">Current practice</w:t>
            </w:r>
          </w:p>
        </w:tc>
        <w:tc>
          <w:tcPr>
            <w:tcW w:w="1675" w:type="dxa"/>
            <w:shd w:val="clear" w:color="auto" w:fill="F2F2F2"/>
          </w:tcPr>
          <w:p>
            <w:pPr/>
            <w:r>
              <w:rPr>
                <w:sz w:val="19"/>
              </w:rPr>
              <w:t xml:space="preserve">Willingness</w:t>
            </w:r>
          </w:p>
        </w:tc>
        <w:tc>
          <w:tcPr>
            <w:tcW w:w="2959" w:type="dxa"/>
            <w:shd w:val="clear" w:color="auto" w:fill="F2F2F2"/>
          </w:tcPr>
          <w:p>
            <w:pPr/>
            <w:r>
              <w:rPr>
                <w:sz w:val="19"/>
              </w:rPr>
              <w:t xml:space="preserve">Incentives that would move them</w:t>
            </w:r>
          </w:p>
        </w:tc>
      </w:tr>
      <w:tr>
        <w:tc>
          <w:tcPr>
            <w:tcW w:w="2818" w:type="dxa"/>
          </w:tcPr>
          <w:p>
            <w:pPr/>
            <w:r>
              <w:rPr>
                <w:sz w:val="19"/>
              </w:rPr>
              <w:t xml:space="preserve">Commercial banks (Stanbic, FNB, Absa, Standard Chartered, BancABC, CBZ, BAI)</w:t>
            </w:r>
          </w:p>
        </w:tc>
        <w:tc>
          <w:tcPr>
            <w:tcW w:w="1908" w:type="dxa"/>
          </w:tcPr>
          <w:p>
            <w:pPr/>
            <w:r>
              <w:rPr>
                <w:sz w:val="19"/>
              </w:rPr>
              <w:t xml:space="preserve">Women's banking propositions (e.g. Absa, FNB); supplier finance pilots (Stanbic)</w:t>
            </w:r>
          </w:p>
        </w:tc>
        <w:tc>
          <w:tcPr>
            <w:tcW w:w="1675" w:type="dxa"/>
          </w:tcPr>
          <w:p>
            <w:pPr/>
            <w:r>
              <w:rPr>
                <w:sz w:val="19"/>
              </w:rPr>
              <w:t xml:space="preserve">Medium: interested if pipeline and risk cover exist</w:t>
            </w:r>
          </w:p>
        </w:tc>
        <w:tc>
          <w:tcPr>
            <w:tcW w:w="2959" w:type="dxa"/>
          </w:tcPr>
          <w:p>
            <w:pPr/>
            <w:r>
              <w:rPr>
                <w:sz w:val="19"/>
              </w:rPr>
              <w:t xml:space="preserve">Portfolio guarantees of 50–70%, first-loss, TA grants, women's lines from DFIs (AFAWA, IFC)</w:t>
            </w:r>
          </w:p>
        </w:tc>
      </w:tr>
      <w:tr>
        <w:tc>
          <w:tcPr>
            <w:tcW w:w="2818" w:type="dxa"/>
          </w:tcPr>
          <w:p>
            <w:pPr/>
            <w:r>
              <w:rPr>
                <w:sz w:val="19"/>
              </w:rPr>
              <w:t xml:space="preserve">Development and empowerment financiers (DBN, CEDA, NDB, YDF, CEEC, SMEDCO, BDA)</w:t>
            </w:r>
          </w:p>
        </w:tc>
        <w:tc>
          <w:tcPr>
            <w:tcW w:w="1908" w:type="dxa"/>
          </w:tcPr>
          <w:p>
            <w:pPr/>
            <w:r>
              <w:rPr>
                <w:sz w:val="19"/>
              </w:rPr>
              <w:t xml:space="preserve">Explicit women and youth quotas or windows</w:t>
            </w:r>
          </w:p>
        </w:tc>
        <w:tc>
          <w:tcPr>
            <w:tcW w:w="1675" w:type="dxa"/>
          </w:tcPr>
          <w:p>
            <w:pPr/>
            <w:r>
              <w:rPr>
                <w:sz w:val="19"/>
              </w:rPr>
              <w:t xml:space="preserve">High mandate, constrained liquidity and processing capacity</w:t>
            </w:r>
          </w:p>
        </w:tc>
        <w:tc>
          <w:tcPr>
            <w:tcW w:w="2959" w:type="dxa"/>
          </w:tcPr>
          <w:p>
            <w:pPr/>
            <w:r>
              <w:rPr>
                <w:sz w:val="19"/>
              </w:rPr>
              <w:t xml:space="preserve">Co-financing lines, pipeline preparation, digital loan processing</w:t>
            </w:r>
          </w:p>
        </w:tc>
      </w:tr>
      <w:tr>
        <w:tc>
          <w:tcPr>
            <w:tcW w:w="2818" w:type="dxa"/>
          </w:tcPr>
          <w:p>
            <w:pPr/>
            <w:r>
              <w:rPr>
                <w:sz w:val="19"/>
              </w:rPr>
              <w:t xml:space="preserve">Credit guarantee schemes (CGS Namibia, ZCGS, ECGC, FGC)</w:t>
            </w:r>
          </w:p>
        </w:tc>
        <w:tc>
          <w:tcPr>
            <w:tcW w:w="1908" w:type="dxa"/>
          </w:tcPr>
          <w:p>
            <w:pPr/>
            <w:r>
              <w:rPr>
                <w:sz w:val="19"/>
              </w:rPr>
              <w:t xml:space="preserve">Women and youth eligibility already prioritised</w:t>
            </w:r>
          </w:p>
        </w:tc>
        <w:tc>
          <w:tcPr>
            <w:tcW w:w="1675" w:type="dxa"/>
          </w:tcPr>
          <w:p>
            <w:pPr/>
            <w:r>
              <w:rPr>
                <w:sz w:val="19"/>
              </w:rPr>
              <w:t xml:space="preserve">High</w:t>
            </w:r>
          </w:p>
        </w:tc>
        <w:tc>
          <w:tcPr>
            <w:tcW w:w="2959" w:type="dxa"/>
          </w:tcPr>
          <w:p>
            <w:pPr/>
            <w:r>
              <w:rPr>
                <w:sz w:val="19"/>
              </w:rPr>
              <w:t xml:space="preserve">Counter-guarantee (AGF or AFAWA), a tourism window with seasonal-loan rules, capital top-up</w:t>
            </w:r>
          </w:p>
        </w:tc>
      </w:tr>
      <w:tr>
        <w:tc>
          <w:tcPr>
            <w:tcW w:w="2818" w:type="dxa"/>
          </w:tcPr>
          <w:p>
            <w:pPr/>
            <w:r>
              <w:rPr>
                <w:sz w:val="19"/>
              </w:rPr>
              <w:t xml:space="preserve">MFIs and women's banks (Letshego, FINCA, Women's Microfinance Bank, KixiCrédito, Bayport)</w:t>
            </w:r>
          </w:p>
        </w:tc>
        <w:tc>
          <w:tcPr>
            <w:tcW w:w="1908" w:type="dxa"/>
          </w:tcPr>
          <w:p>
            <w:pPr/>
            <w:r>
              <w:rPr>
                <w:sz w:val="19"/>
              </w:rPr>
              <w:t xml:space="preserve">Mostly female clients, group methods</w:t>
            </w:r>
          </w:p>
        </w:tc>
        <w:tc>
          <w:tcPr>
            <w:tcW w:w="1675" w:type="dxa"/>
          </w:tcPr>
          <w:p>
            <w:pPr/>
            <w:r>
              <w:rPr>
                <w:sz w:val="19"/>
              </w:rPr>
              <w:t xml:space="preserve">High, but expensive (25–60% APR equivalent) and short tenors</w:t>
            </w:r>
          </w:p>
        </w:tc>
        <w:tc>
          <w:tcPr>
            <w:tcW w:w="2959" w:type="dxa"/>
          </w:tcPr>
          <w:p>
            <w:pPr/>
            <w:r>
              <w:rPr>
                <w:sz w:val="19"/>
              </w:rPr>
              <w:t xml:space="preserve">Cheaper wholesale funding, guarantees, seasonal product design TA</w:t>
            </w:r>
          </w:p>
        </w:tc>
      </w:tr>
      <w:tr>
        <w:tc>
          <w:tcPr>
            <w:tcW w:w="2818" w:type="dxa"/>
          </w:tcPr>
          <w:p>
            <w:pPr/>
            <w:r>
              <w:rPr>
                <w:sz w:val="19"/>
              </w:rPr>
              <w:t xml:space="preserve">Savings groups and community funds (VSLAs, conservancy funds, CAMPFIRE wards)</w:t>
            </w:r>
          </w:p>
        </w:tc>
        <w:tc>
          <w:tcPr>
            <w:tcW w:w="1908" w:type="dxa"/>
          </w:tcPr>
          <w:p>
            <w:pPr/>
            <w:r>
              <w:rPr>
                <w:sz w:val="19"/>
              </w:rPr>
              <w:t xml:space="preserve">Women-led, member-owned</w:t>
            </w:r>
          </w:p>
        </w:tc>
        <w:tc>
          <w:tcPr>
            <w:tcW w:w="1675" w:type="dxa"/>
          </w:tcPr>
          <w:p>
            <w:pPr/>
            <w:r>
              <w:rPr>
                <w:sz w:val="19"/>
              </w:rPr>
              <w:t xml:space="preserve">High</w:t>
            </w:r>
          </w:p>
        </w:tc>
        <w:tc>
          <w:tcPr>
            <w:tcW w:w="2959" w:type="dxa"/>
          </w:tcPr>
          <w:p>
            <w:pPr/>
            <w:r>
              <w:rPr>
                <w:sz w:val="19"/>
              </w:rPr>
              <w:t xml:space="preserve">Linkage banking, matching grants for loan funds, governance training</w:t>
            </w:r>
          </w:p>
        </w:tc>
      </w:tr>
      <w:tr>
        <w:tc>
          <w:tcPr>
            <w:tcW w:w="2818" w:type="dxa"/>
          </w:tcPr>
          <w:p>
            <w:pPr/>
            <w:r>
              <w:rPr>
                <w:sz w:val="19"/>
              </w:rPr>
              <w:t xml:space="preserve">Impact investors and foundations</w:t>
            </w:r>
          </w:p>
        </w:tc>
        <w:tc>
          <w:tcPr>
            <w:tcW w:w="1908" w:type="dxa"/>
          </w:tcPr>
          <w:p>
            <w:pPr/>
            <w:r>
              <w:rPr>
                <w:sz w:val="19"/>
              </w:rPr>
              <w:t xml:space="preserve">Small tickets rarely fit</w:t>
            </w:r>
          </w:p>
        </w:tc>
        <w:tc>
          <w:tcPr>
            <w:tcW w:w="1675" w:type="dxa"/>
          </w:tcPr>
          <w:p>
            <w:pPr/>
            <w:r>
              <w:rPr>
                <w:sz w:val="19"/>
              </w:rPr>
              <w:t xml:space="preserve">Low to medium for MSMEs; higher for funds</w:t>
            </w:r>
          </w:p>
        </w:tc>
        <w:tc>
          <w:tcPr>
            <w:tcW w:w="2959" w:type="dxa"/>
          </w:tcPr>
          <w:p>
            <w:pPr/>
            <w:r>
              <w:rPr>
                <w:sz w:val="19"/>
              </w:rPr>
              <w:t xml:space="preserve">Aggregation vehicles, blended first-loss</w:t>
            </w:r>
          </w:p>
        </w:tc>
      </w:tr>
    </w:tbl>
    <w:p>
      <w:pPr/>
      <w:r>
        <w:t xml:space="preserve">Three de-risking mechanisms would catalyse lending most:</w:t>
      </w:r>
    </w:p>
    <w:p>
      <w:pPr>
        <w:pStyle w:val="ListParagraph"/>
        <w:numPr>
          <w:ilvl w:val="0"/>
          <w:numId w:val="4"/>
        </w:numPr>
      </w:pPr>
      <w:r>
        <w:rPr>
          <w:b/>
        </w:rPr>
        <w:t xml:space="preserve">Portfolio guarantees</w:t>
      </w:r>
      <w:r>
        <w:t xml:space="preserve"> with higher cover for women and youth borrowers: 70% compared with 50–60% standard. Run them through existing national schemes, counter-guaranteed regionally by AGF or AFAWA, which shares up to 75% of risk.</w:t>
      </w:r>
    </w:p>
    <w:p>
      <w:pPr>
        <w:pStyle w:val="ListParagraph"/>
        <w:numPr>
          <w:ilvl w:val="0"/>
          <w:numId w:val="4"/>
        </w:numPr>
      </w:pPr>
      <w:r>
        <w:rPr>
          <w:b/>
        </w:rPr>
        <w:t xml:space="preserve">First-loss tranches</w:t>
      </w:r>
      <w:r>
        <w:t xml:space="preserve"> funded by the grant facility. These absorb the first 10–15% of portfolio losses on seasonal or collateral-light loans.</w:t>
      </w:r>
    </w:p>
    <w:p>
      <w:pPr>
        <w:pStyle w:val="ListParagraph"/>
        <w:numPr>
          <w:ilvl w:val="0"/>
          <w:numId w:val="4"/>
        </w:numPr>
      </w:pPr>
      <w:r>
        <w:rPr>
          <w:b/>
        </w:rPr>
        <w:t xml:space="preserve">Performance-based incentives</w:t>
      </w:r>
      <w:r>
        <w:t xml:space="preserve"> to lenders. These are small grants per loan disbursed to a woman- or youth-led tourism MSME that is still performing after 12 months, paid to offset origination cost.</w:t>
      </w:r>
    </w:p>
    <w:p>
      <w:pPr>
        <w:pStyle w:val="Heading2"/>
      </w:pPr>
      <w:r>
        <w:t xml:space="preserve">4. Systemic enablers, leverage points and informal finance</w:t>
      </w:r>
    </w:p>
    <w:p>
      <w:pPr/>
      <w:r>
        <w:t xml:space="preserve">Five leverage points would shift access at system level rather than one loan at a time. Informal, women-led savings systems are the best place to pilot hybrid formal–informal models.</w:t>
      </w:r>
    </w:p>
    <w:p>
      <w:pPr>
        <w:pStyle w:val="Heading3"/>
      </w:pPr>
      <w:r>
        <w:t xml:space="preserve">4.1 Systemic enablers and leverage points</w:t>
      </w:r>
    </w:p>
    <w:tbl>
      <w:tblPr>
        <w:tblStyle w:val="TableGrid"/>
        <w:tblW w:w="0" w:type="auto"/>
        <w:tblLayout w:type="fixed"/>
        <w:tblLook w:val="04A0" w:firstRow="1" w:lastRow="0" w:firstColumn="0" w:lastColumn="0" w:noHBand="0" w:noVBand="1"/>
        <w:tblLayout w:type="fixed"/>
      </w:tblPr>
      <w:tblGrid>
        <w:gridCol w:w="1387"/>
        <w:gridCol w:w="3105"/>
        <w:gridCol w:w="2218"/>
        <w:gridCol w:w="2648"/>
      </w:tblGrid>
      <w:tr>
        <w:trPr>
          <w:tblHeader/>
          <w:tblHeader w:val="true"/>
        </w:trPr>
        <w:tc>
          <w:tcPr>
            <w:tcW w:w="1388" w:type="dxa"/>
            <w:shd w:val="clear" w:color="auto" w:fill="F2F2F2"/>
          </w:tcPr>
          <w:p>
            <w:pPr/>
            <w:r>
              <w:rPr>
                <w:sz w:val="19"/>
              </w:rPr>
              <w:t xml:space="preserve">Leverage point</w:t>
            </w:r>
          </w:p>
        </w:tc>
        <w:tc>
          <w:tcPr>
            <w:tcW w:w="3105" w:type="dxa"/>
            <w:shd w:val="clear" w:color="auto" w:fill="F2F2F2"/>
          </w:tcPr>
          <w:p>
            <w:pPr/>
            <w:r>
              <w:rPr>
                <w:sz w:val="19"/>
              </w:rPr>
              <w:t xml:space="preserve">What exists</w:t>
            </w:r>
          </w:p>
        </w:tc>
        <w:tc>
          <w:tcPr>
            <w:tcW w:w="2219" w:type="dxa"/>
            <w:shd w:val="clear" w:color="auto" w:fill="F2F2F2"/>
          </w:tcPr>
          <w:p>
            <w:pPr/>
            <w:r>
              <w:rPr>
                <w:sz w:val="19"/>
              </w:rPr>
              <w:t xml:space="preserve">Why it matters</w:t>
            </w:r>
          </w:p>
        </w:tc>
        <w:tc>
          <w:tcPr>
            <w:tcW w:w="2648" w:type="dxa"/>
            <w:shd w:val="clear" w:color="auto" w:fill="F2F2F2"/>
          </w:tcPr>
          <w:p>
            <w:pPr/>
            <w:r>
              <w:rPr>
                <w:sz w:val="19"/>
              </w:rPr>
              <w:t xml:space="preserve">Action</w:t>
            </w:r>
          </w:p>
        </w:tc>
      </w:tr>
      <w:tr>
        <w:tc>
          <w:tcPr>
            <w:tcW w:w="1388" w:type="dxa"/>
          </w:tcPr>
          <w:p>
            <w:pPr/>
            <w:r>
              <w:rPr>
                <w:sz w:val="19"/>
              </w:rPr>
              <w:t xml:space="preserve">Credit guarantee infrastructure</w:t>
            </w:r>
          </w:p>
        </w:tc>
        <w:tc>
          <w:tcPr>
            <w:tcW w:w="3105" w:type="dxa"/>
          </w:tcPr>
          <w:p>
            <w:pPr/>
            <w:r>
              <w:rPr>
                <w:sz w:val="19"/>
              </w:rPr>
              <w:t xml:space="preserve">CGS (NA), ZCGS and the BoZ SBGI pilot (ZM), ECGC (ZW), FGC (AO); none operational in BW</w:t>
            </w:r>
          </w:p>
        </w:tc>
        <w:tc>
          <w:tcPr>
            <w:tcW w:w="2219" w:type="dxa"/>
          </w:tcPr>
          <w:p>
            <w:pPr/>
            <w:r>
              <w:rPr>
                <w:sz w:val="19"/>
              </w:rPr>
              <w:t xml:space="preserve">Turns collateral-light loans into bankable ones</w:t>
            </w:r>
          </w:p>
        </w:tc>
        <w:tc>
          <w:tcPr>
            <w:tcW w:w="2648" w:type="dxa"/>
          </w:tcPr>
          <w:p>
            <w:pPr/>
            <w:r>
              <w:rPr>
                <w:sz w:val="19"/>
              </w:rPr>
              <w:t xml:space="preserve">Tourism windows with women and youth cover uplift; design a Botswana facility</w:t>
            </w:r>
          </w:p>
        </w:tc>
      </w:tr>
      <w:tr>
        <w:tc>
          <w:tcPr>
            <w:tcW w:w="1388" w:type="dxa"/>
          </w:tcPr>
          <w:p>
            <w:pPr/>
            <w:r>
              <w:rPr>
                <w:sz w:val="19"/>
              </w:rPr>
              <w:t xml:space="preserve">Movable collateral registries</w:t>
            </w:r>
          </w:p>
        </w:tc>
        <w:tc>
          <w:tcPr>
            <w:tcW w:w="3105" w:type="dxa"/>
          </w:tcPr>
          <w:p>
            <w:pPr/>
            <w:r>
              <w:rPr>
                <w:sz w:val="19"/>
              </w:rPr>
              <w:t xml:space="preserve">Zambia (2016 Act, PACRA registry); Zimbabwe (Act commenced Nov 2022); Botswana Act 5 of 2022 (commencement on notice, IFC-supported)</w:t>
            </w:r>
          </w:p>
        </w:tc>
        <w:tc>
          <w:tcPr>
            <w:tcW w:w="2219" w:type="dxa"/>
          </w:tcPr>
          <w:p>
            <w:pPr/>
            <w:r>
              <w:rPr>
                <w:sz w:val="19"/>
              </w:rPr>
              <w:t xml:space="preserve">Lets vehicles, boats, equipment and receivables serve as security</w:t>
            </w:r>
          </w:p>
        </w:tc>
        <w:tc>
          <w:tcPr>
            <w:tcW w:w="2648" w:type="dxa"/>
          </w:tcPr>
          <w:p>
            <w:pPr/>
            <w:r>
              <w:rPr>
                <w:sz w:val="19"/>
              </w:rPr>
              <w:t xml:space="preserve">Train lenders; file grant-financed assets; push Botswana commencement</w:t>
            </w:r>
          </w:p>
        </w:tc>
      </w:tr>
      <w:tr>
        <w:tc>
          <w:tcPr>
            <w:tcW w:w="1388" w:type="dxa"/>
          </w:tcPr>
          <w:p>
            <w:pPr/>
            <w:r>
              <w:rPr>
                <w:sz w:val="19"/>
              </w:rPr>
              <w:t xml:space="preserve">Anchor operator procurement</w:t>
            </w:r>
          </w:p>
        </w:tc>
        <w:tc>
          <w:tcPr>
            <w:tcW w:w="3105" w:type="dxa"/>
          </w:tcPr>
          <w:p>
            <w:pPr/>
            <w:r>
              <w:rPr>
                <w:sz w:val="19"/>
              </w:rPr>
              <w:t xml:space="preserve">Wilderness–Stanbic supplier finance (2025); Wilderness–LEA MoU (2026)</w:t>
            </w:r>
          </w:p>
        </w:tc>
        <w:tc>
          <w:tcPr>
            <w:tcW w:w="2219" w:type="dxa"/>
          </w:tcPr>
          <w:p>
            <w:pPr/>
            <w:r>
              <w:rPr>
                <w:sz w:val="19"/>
              </w:rPr>
              <w:t xml:space="preserve">Contract cash flows replace collateral</w:t>
            </w:r>
          </w:p>
        </w:tc>
        <w:tc>
          <w:tcPr>
            <w:tcW w:w="2648" w:type="dxa"/>
          </w:tcPr>
          <w:p>
            <w:pPr/>
            <w:r>
              <w:rPr>
                <w:sz w:val="19"/>
              </w:rPr>
              <w:t xml:space="preserve">KAZA model supplier-finance contract; operator pledges on payment days</w:t>
            </w:r>
          </w:p>
        </w:tc>
      </w:tr>
      <w:tr>
        <w:tc>
          <w:tcPr>
            <w:tcW w:w="1388" w:type="dxa"/>
          </w:tcPr>
          <w:p>
            <w:pPr/>
            <w:r>
              <w:rPr>
                <w:sz w:val="19"/>
              </w:rPr>
              <w:t xml:space="preserve">CBNRM revenue streams</w:t>
            </w:r>
          </w:p>
        </w:tc>
        <w:tc>
          <w:tcPr>
            <w:tcW w:w="3105" w:type="dxa"/>
          </w:tcPr>
          <w:p>
            <w:pPr/>
            <w:r>
              <w:rPr>
                <w:sz w:val="19"/>
              </w:rPr>
              <w:t xml:space="preserve">Conservancy JV income (N$57.7m in 2023, NA); CAMPFIRE; Botswana trusts; Zambian CRBs</w:t>
            </w:r>
          </w:p>
        </w:tc>
        <w:tc>
          <w:tcPr>
            <w:tcW w:w="2219" w:type="dxa"/>
          </w:tcPr>
          <w:p>
            <w:pPr/>
            <w:r>
              <w:rPr>
                <w:sz w:val="19"/>
              </w:rPr>
              <w:t xml:space="preserve">Community capital that can seed guarantees and revolving funds</w:t>
            </w:r>
          </w:p>
        </w:tc>
        <w:tc>
          <w:tcPr>
            <w:tcW w:w="2648" w:type="dxa"/>
          </w:tcPr>
          <w:p>
            <w:pPr/>
            <w:r>
              <w:rPr>
                <w:sz w:val="19"/>
              </w:rPr>
              <w:t xml:space="preserve">Ring-fence a share as a community guarantee fund</w:t>
            </w:r>
          </w:p>
        </w:tc>
      </w:tr>
      <w:tr>
        <w:tc>
          <w:tcPr>
            <w:tcW w:w="1388" w:type="dxa"/>
          </w:tcPr>
          <w:p>
            <w:pPr/>
            <w:r>
              <w:rPr>
                <w:sz w:val="19"/>
              </w:rPr>
              <w:t xml:space="preserve">Digital payment trails</w:t>
            </w:r>
          </w:p>
        </w:tc>
        <w:tc>
          <w:tcPr>
            <w:tcW w:w="3105" w:type="dxa"/>
          </w:tcPr>
          <w:p>
            <w:pPr/>
            <w:r>
              <w:rPr>
                <w:sz w:val="19"/>
              </w:rPr>
              <w:t xml:space="preserve">Mobile money, merchant acquiring, OTA and booking-platform data</w:t>
            </w:r>
          </w:p>
        </w:tc>
        <w:tc>
          <w:tcPr>
            <w:tcW w:w="2219" w:type="dxa"/>
          </w:tcPr>
          <w:p>
            <w:pPr/>
            <w:r>
              <w:rPr>
                <w:sz w:val="19"/>
              </w:rPr>
              <w:t xml:space="preserve">Gives lenders the cash-flow history MSMEs lack</w:t>
            </w:r>
          </w:p>
        </w:tc>
        <w:tc>
          <w:tcPr>
            <w:tcW w:w="2648" w:type="dxa"/>
          </w:tcPr>
          <w:p>
            <w:pPr/>
            <w:r>
              <w:rPr>
                <w:sz w:val="19"/>
              </w:rPr>
              <w:t xml:space="preserve">Bundle digital collection tools with grants; data-sharing consent</w:t>
            </w:r>
          </w:p>
        </w:tc>
      </w:tr>
    </w:tbl>
    <w:p>
      <w:pPr/>
      <w:r>
        <w:t xml:space="preserve">The enabling policy instruments are mostly in place: empowerment mandates (CEDA, CEEC, YDF), the Univisa, and the conservation-linked payments pioneered by Wildlife Credits in Namibia (</w:t>
      </w:r>
      <w:hyperlink r:id="rId13" w:history="1">
        <w:r>
          <w:rPr>
            <w:rStyle w:val="Hyperlink"/>
          </w:rPr>
          <w:t xml:space="preserve">NACSO</w:t>
        </w:r>
      </w:hyperlink>
      <w:r>
        <w:t xml:space="preserve">). The missing piece is a </w:t>
      </w:r>
      <w:r>
        <w:rPr>
          <w:i/>
        </w:rPr>
        <w:t xml:space="preserve">coordinating</w:t>
      </w:r>
      <w:r>
        <w:t xml:space="preserve"> layer: one pipeline, one eligibility standard, and shared data.</w:t>
      </w:r>
    </w:p>
    <w:p>
      <w:pPr>
        <w:pStyle w:val="Heading3"/>
      </w:pPr>
      <w:r>
        <w:t xml:space="preserve">4.2 Informal and community-based finance among women and youth</w:t>
      </w:r>
    </w:p>
    <w:tbl>
      <w:tblPr>
        <w:tblStyle w:val="TableGrid"/>
        <w:tblW w:w="0" w:type="auto"/>
        <w:tblLayout w:type="fixed"/>
        <w:tblLook w:val="04A0" w:firstRow="1" w:lastRow="0" w:firstColumn="0" w:lastColumn="0" w:noHBand="0" w:noVBand="1"/>
        <w:tblLayout w:type="fixed"/>
      </w:tblPr>
      <w:tblGrid>
        <w:gridCol w:w="1665"/>
        <w:gridCol w:w="871"/>
        <w:gridCol w:w="1324"/>
        <w:gridCol w:w="1131"/>
        <w:gridCol w:w="1162"/>
        <w:gridCol w:w="1292"/>
        <w:gridCol w:w="1911"/>
      </w:tblGrid>
      <w:tr>
        <w:trPr>
          <w:tblHeader/>
          <w:tblHeader w:val="true"/>
        </w:trPr>
        <w:tc>
          <w:tcPr>
            <w:tcW w:w="1666" w:type="dxa"/>
            <w:shd w:val="clear" w:color="auto" w:fill="F2F2F2"/>
          </w:tcPr>
          <w:p>
            <w:pPr/>
            <w:r>
              <w:rPr>
                <w:sz w:val="17"/>
              </w:rPr>
              <w:t xml:space="preserve">Practice</w:t>
            </w:r>
          </w:p>
        </w:tc>
        <w:tc>
          <w:tcPr>
            <w:tcW w:w="872" w:type="dxa"/>
            <w:shd w:val="clear" w:color="auto" w:fill="F2F2F2"/>
          </w:tcPr>
          <w:p>
            <w:pPr/>
            <w:r>
              <w:rPr>
                <w:sz w:val="17"/>
              </w:rPr>
              <w:t xml:space="preserve">Where</w:t>
            </w:r>
          </w:p>
        </w:tc>
        <w:tc>
          <w:tcPr>
            <w:tcW w:w="1324" w:type="dxa"/>
            <w:shd w:val="clear" w:color="auto" w:fill="F2F2F2"/>
          </w:tcPr>
          <w:p>
            <w:pPr/>
            <w:r>
              <w:rPr>
                <w:sz w:val="17"/>
              </w:rPr>
              <w:t xml:space="preserve">Who uses it</w:t>
            </w:r>
          </w:p>
        </w:tc>
        <w:tc>
          <w:tcPr>
            <w:tcW w:w="1132" w:type="dxa"/>
            <w:shd w:val="clear" w:color="auto" w:fill="F2F2F2"/>
          </w:tcPr>
          <w:p>
            <w:pPr/>
            <w:r>
              <w:rPr>
                <w:sz w:val="17"/>
              </w:rPr>
              <w:t xml:space="preserve">How it works</w:t>
            </w:r>
          </w:p>
        </w:tc>
        <w:tc>
          <w:tcPr>
            <w:tcW w:w="1162" w:type="dxa"/>
            <w:shd w:val="clear" w:color="auto" w:fill="F2F2F2"/>
          </w:tcPr>
          <w:p>
            <w:pPr/>
            <w:r>
              <w:rPr>
                <w:sz w:val="17"/>
              </w:rPr>
              <w:t xml:space="preserve">Strengths</w:t>
            </w:r>
          </w:p>
        </w:tc>
        <w:tc>
          <w:tcPr>
            <w:tcW w:w="1293" w:type="dxa"/>
            <w:shd w:val="clear" w:color="auto" w:fill="F2F2F2"/>
          </w:tcPr>
          <w:p>
            <w:pPr/>
            <w:r>
              <w:rPr>
                <w:sz w:val="17"/>
              </w:rPr>
              <w:t xml:space="preserve">Limits</w:t>
            </w:r>
          </w:p>
        </w:tc>
        <w:tc>
          <w:tcPr>
            <w:tcW w:w="1912" w:type="dxa"/>
            <w:shd w:val="clear" w:color="auto" w:fill="F2F2F2"/>
          </w:tcPr>
          <w:p>
            <w:pPr/>
            <w:r>
              <w:rPr>
                <w:sz w:val="17"/>
              </w:rPr>
              <w:t xml:space="preserve">Pilot route</w:t>
            </w:r>
          </w:p>
        </w:tc>
      </w:tr>
      <w:tr>
        <w:tc>
          <w:tcPr>
            <w:tcW w:w="1666" w:type="dxa"/>
          </w:tcPr>
          <w:p>
            <w:pPr/>
            <w:r>
              <w:rPr>
                <w:sz w:val="17"/>
              </w:rPr>
              <w:t xml:space="preserve">VSLAs and savings groups</w:t>
            </w:r>
          </w:p>
        </w:tc>
        <w:tc>
          <w:tcPr>
            <w:tcW w:w="872" w:type="dxa"/>
          </w:tcPr>
          <w:p>
            <w:pPr/>
            <w:r>
              <w:rPr>
                <w:sz w:val="17"/>
              </w:rPr>
              <w:t xml:space="preserve">All five; dense in Zambia (800,000+ members) and Zimbabwe</w:t>
            </w:r>
          </w:p>
        </w:tc>
        <w:tc>
          <w:tcPr>
            <w:tcW w:w="1324" w:type="dxa"/>
          </w:tcPr>
          <w:p>
            <w:pPr/>
            <w:r>
              <w:rPr>
                <w:sz w:val="17"/>
              </w:rPr>
              <w:t xml:space="preserve">Women (about 73% in rural Zambia); youth about 28%</w:t>
            </w:r>
          </w:p>
        </w:tc>
        <w:tc>
          <w:tcPr>
            <w:tcW w:w="1132" w:type="dxa"/>
          </w:tcPr>
          <w:p>
            <w:pPr/>
            <w:r>
              <w:rPr>
                <w:sz w:val="17"/>
              </w:rPr>
              <w:t xml:space="preserve">Weekly savings, loans at 5–10% a month, annual share-out</w:t>
            </w:r>
          </w:p>
        </w:tc>
        <w:tc>
          <w:tcPr>
            <w:tcW w:w="1162" w:type="dxa"/>
          </w:tcPr>
          <w:p>
            <w:pPr/>
            <w:r>
              <w:rPr>
                <w:sz w:val="17"/>
              </w:rPr>
              <w:t xml:space="preserve">Discipline, trust, records kept in passbooks</w:t>
            </w:r>
          </w:p>
        </w:tc>
        <w:tc>
          <w:tcPr>
            <w:tcW w:w="1293" w:type="dxa"/>
          </w:tcPr>
          <w:p>
            <w:pPr/>
            <w:r>
              <w:rPr>
                <w:sz w:val="17"/>
              </w:rPr>
              <w:t xml:space="preserve">Loans small (USD 20–500); cash-box risk; share-out drains capital</w:t>
            </w:r>
          </w:p>
        </w:tc>
        <w:tc>
          <w:tcPr>
            <w:tcW w:w="1912" w:type="dxa"/>
          </w:tcPr>
          <w:p>
            <w:pPr/>
            <w:r>
              <w:rPr>
                <w:sz w:val="17"/>
              </w:rPr>
              <w:t xml:space="preserve">Linkage banking: group account plus a bulk loan; digitise passbooks</w:t>
            </w:r>
          </w:p>
        </w:tc>
      </w:tr>
      <w:tr>
        <w:tc>
          <w:tcPr>
            <w:tcW w:w="1666" w:type="dxa"/>
          </w:tcPr>
          <w:p>
            <w:pPr/>
            <w:r>
              <w:rPr>
                <w:sz w:val="17"/>
              </w:rPr>
              <w:t xml:space="preserve">Rotating savings (chilimba ZM, kixikila AO, mukando or round ZW, motshelo BW, okuhanga or oshitopito NA)</w:t>
            </w:r>
          </w:p>
        </w:tc>
        <w:tc>
          <w:tcPr>
            <w:tcW w:w="872" w:type="dxa"/>
          </w:tcPr>
          <w:p>
            <w:pPr/>
            <w:r>
              <w:rPr>
                <w:sz w:val="17"/>
              </w:rPr>
              <w:t xml:space="preserve">All</w:t>
            </w:r>
          </w:p>
        </w:tc>
        <w:tc>
          <w:tcPr>
            <w:tcW w:w="1324" w:type="dxa"/>
          </w:tcPr>
          <w:p>
            <w:pPr/>
            <w:r>
              <w:rPr>
                <w:sz w:val="17"/>
              </w:rPr>
              <w:t xml:space="preserve">Women traders, crafters, lodge staff</w:t>
            </w:r>
          </w:p>
        </w:tc>
        <w:tc>
          <w:tcPr>
            <w:tcW w:w="1132" w:type="dxa"/>
          </w:tcPr>
          <w:p>
            <w:pPr/>
            <w:r>
              <w:rPr>
                <w:sz w:val="17"/>
              </w:rPr>
              <w:t xml:space="preserve">Fixed rotation of a lump sum</w:t>
            </w:r>
          </w:p>
        </w:tc>
        <w:tc>
          <w:tcPr>
            <w:tcW w:w="1162" w:type="dxa"/>
          </w:tcPr>
          <w:p>
            <w:pPr/>
            <w:r>
              <w:rPr>
                <w:sz w:val="17"/>
              </w:rPr>
              <w:t xml:space="preserve">No interest, social collateral</w:t>
            </w:r>
          </w:p>
        </w:tc>
        <w:tc>
          <w:tcPr>
            <w:tcW w:w="1293" w:type="dxa"/>
          </w:tcPr>
          <w:p>
            <w:pPr/>
            <w:r>
              <w:rPr>
                <w:sz w:val="17"/>
              </w:rPr>
              <w:t xml:space="preserve">No credit growth; fails when members default</w:t>
            </w:r>
          </w:p>
        </w:tc>
        <w:tc>
          <w:tcPr>
            <w:tcW w:w="1912" w:type="dxa"/>
          </w:tcPr>
          <w:p>
            <w:pPr/>
            <w:r>
              <w:rPr>
                <w:sz w:val="17"/>
              </w:rPr>
              <w:t xml:space="preserve">Use rotation records as a credit-history proxy</w:t>
            </w:r>
          </w:p>
        </w:tc>
      </w:tr>
      <w:tr>
        <w:tc>
          <w:tcPr>
            <w:tcW w:w="1666" w:type="dxa"/>
          </w:tcPr>
          <w:p>
            <w:pPr/>
            <w:r>
              <w:rPr>
                <w:sz w:val="17"/>
              </w:rPr>
              <w:t xml:space="preserve">Burial societies and funeral clubs</w:t>
            </w:r>
          </w:p>
        </w:tc>
        <w:tc>
          <w:tcPr>
            <w:tcW w:w="872" w:type="dxa"/>
          </w:tcPr>
          <w:p>
            <w:pPr/>
            <w:r>
              <w:rPr>
                <w:sz w:val="17"/>
              </w:rPr>
              <w:t xml:space="preserve">All</w:t>
            </w:r>
          </w:p>
        </w:tc>
        <w:tc>
          <w:tcPr>
            <w:tcW w:w="1324" w:type="dxa"/>
          </w:tcPr>
          <w:p>
            <w:pPr/>
            <w:r>
              <w:rPr>
                <w:sz w:val="17"/>
              </w:rPr>
              <w:t xml:space="preserve">Older women</w:t>
            </w:r>
          </w:p>
        </w:tc>
        <w:tc>
          <w:tcPr>
            <w:tcW w:w="1132" w:type="dxa"/>
          </w:tcPr>
          <w:p>
            <w:pPr/>
            <w:r>
              <w:rPr>
                <w:sz w:val="17"/>
              </w:rPr>
              <w:t xml:space="preserve">Mutual insurance</w:t>
            </w:r>
          </w:p>
        </w:tc>
        <w:tc>
          <w:tcPr>
            <w:tcW w:w="1162" w:type="dxa"/>
          </w:tcPr>
          <w:p>
            <w:pPr/>
            <w:r>
              <w:rPr>
                <w:sz w:val="17"/>
              </w:rPr>
              <w:t xml:space="preserve">Large membership, trusted</w:t>
            </w:r>
          </w:p>
        </w:tc>
        <w:tc>
          <w:tcPr>
            <w:tcW w:w="1293" w:type="dxa"/>
          </w:tcPr>
          <w:p>
            <w:pPr/>
            <w:r>
              <w:rPr>
                <w:sz w:val="17"/>
              </w:rPr>
              <w:t xml:space="preserve">Not lending vehicles</w:t>
            </w:r>
          </w:p>
        </w:tc>
        <w:tc>
          <w:tcPr>
            <w:tcW w:w="1912" w:type="dxa"/>
          </w:tcPr>
          <w:p>
            <w:pPr/>
            <w:r>
              <w:rPr>
                <w:sz w:val="17"/>
              </w:rPr>
              <w:t xml:space="preserve">Micro-insurance distribution channel</w:t>
            </w:r>
          </w:p>
        </w:tc>
      </w:tr>
      <w:tr>
        <w:tc>
          <w:tcPr>
            <w:tcW w:w="1666" w:type="dxa"/>
          </w:tcPr>
          <w:p>
            <w:pPr/>
            <w:r>
              <w:rPr>
                <w:sz w:val="17"/>
              </w:rPr>
              <w:t xml:space="preserve">Conservancy and trust benefit funds</w:t>
            </w:r>
          </w:p>
        </w:tc>
        <w:tc>
          <w:tcPr>
            <w:tcW w:w="872" w:type="dxa"/>
          </w:tcPr>
          <w:p>
            <w:pPr/>
            <w:r>
              <w:rPr>
                <w:sz w:val="17"/>
              </w:rPr>
              <w:t xml:space="preserve">NA, BW, ZM (CRBs), ZW (CAMPFIRE)</w:t>
            </w:r>
          </w:p>
        </w:tc>
        <w:tc>
          <w:tcPr>
            <w:tcW w:w="1324" w:type="dxa"/>
          </w:tcPr>
          <w:p>
            <w:pPr/>
            <w:r>
              <w:rPr>
                <w:sz w:val="17"/>
              </w:rPr>
              <w:t xml:space="preserve">Community members via committees (women about 40% in NA)</w:t>
            </w:r>
          </w:p>
        </w:tc>
        <w:tc>
          <w:tcPr>
            <w:tcW w:w="1132" w:type="dxa"/>
          </w:tcPr>
          <w:p>
            <w:pPr/>
            <w:r>
              <w:rPr>
                <w:sz w:val="17"/>
              </w:rPr>
              <w:t xml:space="preserve">Cash dividends, community projects</w:t>
            </w:r>
          </w:p>
        </w:tc>
        <w:tc>
          <w:tcPr>
            <w:tcW w:w="1162" w:type="dxa"/>
          </w:tcPr>
          <w:p>
            <w:pPr/>
            <w:r>
              <w:rPr>
                <w:sz w:val="17"/>
              </w:rPr>
              <w:t xml:space="preserve">Recurring income; legal entities</w:t>
            </w:r>
          </w:p>
        </w:tc>
        <w:tc>
          <w:tcPr>
            <w:tcW w:w="1293" w:type="dxa"/>
          </w:tcPr>
          <w:p>
            <w:pPr/>
            <w:r>
              <w:rPr>
                <w:sz w:val="17"/>
              </w:rPr>
              <w:t xml:space="preserve">Governance risk; payouts consumed, not invested</w:t>
            </w:r>
          </w:p>
        </w:tc>
        <w:tc>
          <w:tcPr>
            <w:tcW w:w="1912" w:type="dxa"/>
          </w:tcPr>
          <w:p>
            <w:pPr/>
            <w:r>
              <w:rPr>
                <w:sz w:val="17"/>
              </w:rPr>
              <w:t xml:space="preserve">Community revolving or guarantee fund with independent management</w:t>
            </w:r>
          </w:p>
        </w:tc>
      </w:tr>
      <w:tr>
        <w:tc>
          <w:tcPr>
            <w:tcW w:w="1666" w:type="dxa"/>
          </w:tcPr>
          <w:p>
            <w:pPr/>
            <w:r>
              <w:rPr>
                <w:sz w:val="17"/>
              </w:rPr>
              <w:t xml:space="preserve">Lodge staff savings schemes and cooperatives</w:t>
            </w:r>
          </w:p>
        </w:tc>
        <w:tc>
          <w:tcPr>
            <w:tcW w:w="872" w:type="dxa"/>
          </w:tcPr>
          <w:p>
            <w:pPr/>
            <w:r>
              <w:rPr>
                <w:sz w:val="17"/>
              </w:rPr>
              <w:t xml:space="preserve">BW, NA, ZW hubs</w:t>
            </w:r>
          </w:p>
        </w:tc>
        <w:tc>
          <w:tcPr>
            <w:tcW w:w="1324" w:type="dxa"/>
          </w:tcPr>
          <w:p>
            <w:pPr/>
            <w:r>
              <w:rPr>
                <w:sz w:val="17"/>
              </w:rPr>
              <w:t xml:space="preserve">Lodge staff, many young</w:t>
            </w:r>
          </w:p>
        </w:tc>
        <w:tc>
          <w:tcPr>
            <w:tcW w:w="1132" w:type="dxa"/>
          </w:tcPr>
          <w:p>
            <w:pPr/>
            <w:r>
              <w:rPr>
                <w:sz w:val="17"/>
              </w:rPr>
              <w:t xml:space="preserve">Payroll deduction</w:t>
            </w:r>
          </w:p>
        </w:tc>
        <w:tc>
          <w:tcPr>
            <w:tcW w:w="1162" w:type="dxa"/>
          </w:tcPr>
          <w:p>
            <w:pPr/>
            <w:r>
              <w:rPr>
                <w:sz w:val="17"/>
              </w:rPr>
              <w:t xml:space="preserve">Payroll-linked repayment</w:t>
            </w:r>
          </w:p>
        </w:tc>
        <w:tc>
          <w:tcPr>
            <w:tcW w:w="1293" w:type="dxa"/>
          </w:tcPr>
          <w:p>
            <w:pPr/>
            <w:r>
              <w:rPr>
                <w:sz w:val="17"/>
              </w:rPr>
              <w:t xml:space="preserve">Tied to employer</w:t>
            </w:r>
          </w:p>
        </w:tc>
        <w:tc>
          <w:tcPr>
            <w:tcW w:w="1912" w:type="dxa"/>
          </w:tcPr>
          <w:p>
            <w:pPr/>
            <w:r>
              <w:rPr>
                <w:sz w:val="17"/>
              </w:rPr>
              <w:t xml:space="preserve">Staff-to-entrepreneur loans via payroll-linked SACCOs</w:t>
            </w:r>
          </w:p>
        </w:tc>
      </w:tr>
      <w:tr>
        <w:tc>
          <w:tcPr>
            <w:tcW w:w="1666" w:type="dxa"/>
          </w:tcPr>
          <w:p>
            <w:pPr/>
            <w:r>
              <w:rPr>
                <w:sz w:val="17"/>
              </w:rPr>
              <w:t xml:space="preserve">Informal moneylenders (kaloba ZM, mashonisa)</w:t>
            </w:r>
          </w:p>
        </w:tc>
        <w:tc>
          <w:tcPr>
            <w:tcW w:w="872" w:type="dxa"/>
          </w:tcPr>
          <w:p>
            <w:pPr/>
            <w:r>
              <w:rPr>
                <w:sz w:val="17"/>
              </w:rPr>
              <w:t xml:space="preserve">All</w:t>
            </w:r>
          </w:p>
        </w:tc>
        <w:tc>
          <w:tcPr>
            <w:tcW w:w="1324" w:type="dxa"/>
          </w:tcPr>
          <w:p>
            <w:pPr/>
            <w:r>
              <w:rPr>
                <w:sz w:val="17"/>
              </w:rPr>
              <w:t xml:space="preserve">Youth, emergency borrowers</w:t>
            </w:r>
          </w:p>
        </w:tc>
        <w:tc>
          <w:tcPr>
            <w:tcW w:w="1132" w:type="dxa"/>
          </w:tcPr>
          <w:p>
            <w:pPr/>
            <w:r>
              <w:rPr>
                <w:sz w:val="17"/>
              </w:rPr>
              <w:t xml:space="preserve">20–50% a month</w:t>
            </w:r>
          </w:p>
        </w:tc>
        <w:tc>
          <w:tcPr>
            <w:tcW w:w="1162" w:type="dxa"/>
          </w:tcPr>
          <w:p>
            <w:pPr/>
            <w:r>
              <w:rPr>
                <w:sz w:val="17"/>
              </w:rPr>
              <w:t xml:space="preserve">Fast</w:t>
            </w:r>
          </w:p>
        </w:tc>
        <w:tc>
          <w:tcPr>
            <w:tcW w:w="1293" w:type="dxa"/>
          </w:tcPr>
          <w:p>
            <w:pPr/>
            <w:r>
              <w:rPr>
                <w:sz w:val="17"/>
              </w:rPr>
              <w:t xml:space="preserve">Predatory</w:t>
            </w:r>
          </w:p>
        </w:tc>
        <w:tc>
          <w:tcPr>
            <w:tcW w:w="1912" w:type="dxa"/>
          </w:tcPr>
          <w:p>
            <w:pPr/>
            <w:r>
              <w:rPr>
                <w:sz w:val="17"/>
              </w:rPr>
              <w:t xml:space="preserve">Displace with digital nano-loans tied to VSLA data</w:t>
            </w:r>
          </w:p>
        </w:tc>
      </w:tr>
    </w:tbl>
    <w:p>
      <w:pPr/>
      <w:r>
        <w:rPr>
          <w:b/>
        </w:rPr>
        <w:t xml:space="preserve">Recommended hybrid pilots.</w:t>
      </w:r>
    </w:p>
    <w:p>
      <w:pPr>
        <w:pStyle w:val="ListParagraph"/>
        <w:numPr>
          <w:ilvl w:val="0"/>
          <w:numId w:val="5"/>
        </w:numPr>
      </w:pPr>
      <w:r>
        <w:rPr>
          <w:b/>
        </w:rPr>
        <w:t xml:space="preserve">VSLA-to-bank graduation.</w:t>
      </w:r>
      <w:r>
        <w:t xml:space="preserve"> Run this in Livingstone/Kazungula and Katima Mulilo. Mature groups (2+ cycles) open group accounts. Partner banks or MFIs lend 1–3 times group savings, backed by a facility first-loss. Women's tourism suppliers come first.</w:t>
      </w:r>
    </w:p>
    <w:p>
      <w:pPr>
        <w:pStyle w:val="ListParagraph"/>
        <w:numPr>
          <w:ilvl w:val="0"/>
          <w:numId w:val="5"/>
        </w:numPr>
      </w:pPr>
      <w:r>
        <w:rPr>
          <w:b/>
        </w:rPr>
        <w:t xml:space="preserve">Conservancy or CAMPFIRE community guarantee fund.</w:t>
      </w:r>
      <w:r>
        <w:t xml:space="preserve"> Pilot this in the Zambezi Region and Hwange/Binga. A community deposits 10–20% of annual JV income into a ring-fenced account at a partner bank. The deposit backs loans to members' tourism enterprises at 3–5 times leverage, and the grant facility matches the deposit.</w:t>
      </w:r>
    </w:p>
    <w:p>
      <w:pPr>
        <w:pStyle w:val="ListParagraph"/>
        <w:numPr>
          <w:ilvl w:val="0"/>
          <w:numId w:val="5"/>
        </w:numPr>
      </w:pPr>
      <w:r>
        <w:rPr>
          <w:b/>
        </w:rPr>
        <w:t xml:space="preserve">Digital passbook credit scoring.</w:t>
      </w:r>
      <w:r>
        <w:t xml:space="preserve"> Digitise VSLA and kixikila records on mobile money. Lenders then get a repayment history for youth and women with no bank file.</w:t>
      </w:r>
    </w:p>
    <w:p>
      <w:pPr>
        <w:pStyle w:val="Heading2"/>
      </w:pPr>
      <w:r>
        <w:t xml:space="preserve">5. Financing requirements by type, size and growth stage</w:t>
      </w:r>
    </w:p>
    <w:p>
      <w:pPr/>
      <w:r>
        <w:t xml:space="preserve">The instrument has to change as firms grow. Start-ups need grants and nano-loans under USD 15,000. Emerging firms need seasonal working capital and asset finance of USD 15,000–75,000. Scaling firms need term debt of USD 75,000–500,000 with guarantees. Ticket sizes are </w:t>
      </w:r>
      <w:r>
        <w:rPr>
          <w:i/>
        </w:rPr>
        <w:t xml:space="preserve">indicative</w:t>
      </w:r>
      <w:r>
        <w:t xml:space="preserve"> ranges from the Financial Landscape Analysis and programme experience.</w:t>
      </w:r>
    </w:p>
    <w:p>
      <w:pPr>
        <w:pStyle w:val="Heading3"/>
      </w:pPr>
      <w:r>
        <w:t xml:space="preserve">5.1 By growth stage</w:t>
      </w:r>
    </w:p>
    <w:tbl>
      <w:tblPr>
        <w:tblStyle w:val="TableGrid"/>
        <w:tblW w:w="0" w:type="auto"/>
        <w:tblLayout w:type="fixed"/>
        <w:tblLook w:val="04A0" w:firstRow="1" w:lastRow="0" w:firstColumn="0" w:lastColumn="0" w:noHBand="0" w:noVBand="1"/>
        <w:tblLayout w:type="fixed"/>
      </w:tblPr>
      <w:tblGrid>
        <w:gridCol w:w="827"/>
        <w:gridCol w:w="1121"/>
        <w:gridCol w:w="2594"/>
        <w:gridCol w:w="2308"/>
        <w:gridCol w:w="2507"/>
      </w:tblGrid>
      <w:tr>
        <w:trPr>
          <w:tblHeader/>
          <w:tblHeader w:val="true"/>
        </w:trPr>
        <w:tc>
          <w:tcPr>
            <w:tcW w:w="828" w:type="dxa"/>
            <w:shd w:val="clear" w:color="auto" w:fill="F2F2F2"/>
          </w:tcPr>
          <w:p>
            <w:pPr/>
            <w:r>
              <w:rPr>
                <w:sz w:val="19"/>
              </w:rPr>
              <w:t xml:space="preserve">Stage</w:t>
            </w:r>
          </w:p>
        </w:tc>
        <w:tc>
          <w:tcPr>
            <w:tcW w:w="1122" w:type="dxa"/>
            <w:shd w:val="clear" w:color="auto" w:fill="F2F2F2"/>
          </w:tcPr>
          <w:p>
            <w:pPr/>
            <w:r>
              <w:rPr>
                <w:sz w:val="19"/>
              </w:rPr>
              <w:t xml:space="preserve">Typical ticket (USD)</w:t>
            </w:r>
          </w:p>
        </w:tc>
        <w:tc>
          <w:tcPr>
            <w:tcW w:w="2595" w:type="dxa"/>
            <w:shd w:val="clear" w:color="auto" w:fill="F2F2F2"/>
          </w:tcPr>
          <w:p>
            <w:pPr/>
            <w:r>
              <w:rPr>
                <w:sz w:val="19"/>
              </w:rPr>
              <w:t xml:space="preserve">Main needs</w:t>
            </w:r>
          </w:p>
        </w:tc>
        <w:tc>
          <w:tcPr>
            <w:tcW w:w="2308" w:type="dxa"/>
            <w:shd w:val="clear" w:color="auto" w:fill="F2F2F2"/>
          </w:tcPr>
          <w:p>
            <w:pPr/>
            <w:r>
              <w:rPr>
                <w:sz w:val="19"/>
              </w:rPr>
              <w:t xml:space="preserve">Best-fit instruments</w:t>
            </w:r>
          </w:p>
        </w:tc>
        <w:tc>
          <w:tcPr>
            <w:tcW w:w="2508" w:type="dxa"/>
            <w:shd w:val="clear" w:color="auto" w:fill="F2F2F2"/>
          </w:tcPr>
          <w:p>
            <w:pPr/>
            <w:r>
              <w:rPr>
                <w:sz w:val="19"/>
              </w:rPr>
              <w:t xml:space="preserve">Women and youth notes</w:t>
            </w:r>
          </w:p>
        </w:tc>
      </w:tr>
      <w:tr>
        <w:tc>
          <w:tcPr>
            <w:tcW w:w="828" w:type="dxa"/>
          </w:tcPr>
          <w:p>
            <w:pPr/>
            <w:r>
              <w:rPr>
                <w:sz w:val="19"/>
              </w:rPr>
              <w:t xml:space="preserve">Start-up (under 2 seasons)</w:t>
            </w:r>
          </w:p>
        </w:tc>
        <w:tc>
          <w:tcPr>
            <w:tcW w:w="1122" w:type="dxa"/>
          </w:tcPr>
          <w:p>
            <w:pPr/>
            <w:r>
              <w:rPr>
                <w:sz w:val="19"/>
              </w:rPr>
              <w:t xml:space="preserve">500–15,000</w:t>
            </w:r>
          </w:p>
        </w:tc>
        <w:tc>
          <w:tcPr>
            <w:tcW w:w="2595" w:type="dxa"/>
          </w:tcPr>
          <w:p>
            <w:pPr/>
            <w:r>
              <w:rPr>
                <w:sz w:val="19"/>
              </w:rPr>
              <w:t xml:space="preserve">Licences, first equipment, mokoro or boat, craft stock, website and booking set-up, training</w:t>
            </w:r>
          </w:p>
        </w:tc>
        <w:tc>
          <w:tcPr>
            <w:tcW w:w="2308" w:type="dxa"/>
          </w:tcPr>
          <w:p>
            <w:pPr/>
            <w:r>
              <w:rPr>
                <w:sz w:val="19"/>
              </w:rPr>
              <w:t xml:space="preserve">Seed grant, VSLA loan, MFI group loan, in-kind asset grant</w:t>
            </w:r>
          </w:p>
        </w:tc>
        <w:tc>
          <w:tcPr>
            <w:tcW w:w="2508" w:type="dxa"/>
          </w:tcPr>
          <w:p>
            <w:pPr/>
            <w:r>
              <w:rPr>
                <w:sz w:val="19"/>
              </w:rPr>
              <w:t xml:space="preserve">Youth: first-asset grant plus mentoring. Women: grants that accept household-time constraints, childcare-aware training</w:t>
            </w:r>
          </w:p>
        </w:tc>
      </w:tr>
      <w:tr>
        <w:tc>
          <w:tcPr>
            <w:tcW w:w="828" w:type="dxa"/>
          </w:tcPr>
          <w:p>
            <w:pPr/>
            <w:r>
              <w:rPr>
                <w:sz w:val="19"/>
              </w:rPr>
              <w:t xml:space="preserve">Emerging (2–5 seasons)</w:t>
            </w:r>
          </w:p>
        </w:tc>
        <w:tc>
          <w:tcPr>
            <w:tcW w:w="1122" w:type="dxa"/>
          </w:tcPr>
          <w:p>
            <w:pPr/>
            <w:r>
              <w:rPr>
                <w:sz w:val="19"/>
              </w:rPr>
              <w:t xml:space="preserve">15,000–75,000</w:t>
            </w:r>
          </w:p>
        </w:tc>
        <w:tc>
          <w:tcPr>
            <w:tcW w:w="2595" w:type="dxa"/>
          </w:tcPr>
          <w:p>
            <w:pPr/>
            <w:r>
              <w:rPr>
                <w:sz w:val="19"/>
              </w:rPr>
              <w:t xml:space="preserve">Pre-season working capital, vehicle or boat, solar and water, room upgrades, certification</w:t>
            </w:r>
          </w:p>
        </w:tc>
        <w:tc>
          <w:tcPr>
            <w:tcW w:w="2308" w:type="dxa"/>
          </w:tcPr>
          <w:p>
            <w:pPr/>
            <w:r>
              <w:rPr>
                <w:sz w:val="19"/>
              </w:rPr>
              <w:t xml:space="preserve">Growth grant plus loan, asset finance or leasing, receivables finance, guaranteed SME loan</w:t>
            </w:r>
          </w:p>
        </w:tc>
        <w:tc>
          <w:tcPr>
            <w:tcW w:w="2508" w:type="dxa"/>
          </w:tcPr>
          <w:p>
            <w:pPr/>
            <w:r>
              <w:rPr>
                <w:sz w:val="19"/>
              </w:rPr>
              <w:t xml:space="preserve">Women: alternative collateral, co-signature rules removed. Youth: guarantee uplift</w:t>
            </w:r>
          </w:p>
        </w:tc>
      </w:tr>
      <w:tr>
        <w:tc>
          <w:tcPr>
            <w:tcW w:w="828" w:type="dxa"/>
          </w:tcPr>
          <w:p>
            <w:pPr/>
            <w:r>
              <w:rPr>
                <w:sz w:val="19"/>
              </w:rPr>
              <w:t xml:space="preserve">Scaling (5+ seasons)</w:t>
            </w:r>
          </w:p>
        </w:tc>
        <w:tc>
          <w:tcPr>
            <w:tcW w:w="1122" w:type="dxa"/>
          </w:tcPr>
          <w:p>
            <w:pPr/>
            <w:r>
              <w:rPr>
                <w:sz w:val="19"/>
              </w:rPr>
              <w:t xml:space="preserve">75,000–500,000</w:t>
            </w:r>
          </w:p>
        </w:tc>
        <w:tc>
          <w:tcPr>
            <w:tcW w:w="2595" w:type="dxa"/>
          </w:tcPr>
          <w:p>
            <w:pPr/>
            <w:r>
              <w:rPr>
                <w:sz w:val="19"/>
              </w:rPr>
              <w:t xml:space="preserve">New units or products, fleet expansion, facility upgrade, digital distribution, processing plant</w:t>
            </w:r>
          </w:p>
        </w:tc>
        <w:tc>
          <w:tcPr>
            <w:tcW w:w="2308" w:type="dxa"/>
          </w:tcPr>
          <w:p>
            <w:pPr/>
            <w:r>
              <w:rPr>
                <w:sz w:val="19"/>
              </w:rPr>
              <w:t xml:space="preserve">Guaranteed term loan, DFI line, supplier finance, quasi-equity, impact funds</w:t>
            </w:r>
          </w:p>
        </w:tc>
        <w:tc>
          <w:tcPr>
            <w:tcW w:w="2508" w:type="dxa"/>
          </w:tcPr>
          <w:p>
            <w:pPr/>
            <w:r>
              <w:rPr>
                <w:sz w:val="19"/>
              </w:rPr>
              <w:t xml:space="preserve">Women-led scale-ups are rare. Target women-owned share via matching leverage</w:t>
            </w:r>
          </w:p>
        </w:tc>
      </w:tr>
    </w:tbl>
    <w:p>
      <w:pPr>
        <w:pStyle w:val="Heading3"/>
      </w:pPr>
      <w:r>
        <w:t xml:space="preserve">5.2 By MSME type and size</w:t>
      </w:r>
    </w:p>
    <w:tbl>
      <w:tblPr>
        <w:tblStyle w:val="TableGrid"/>
        <w:tblW w:w="0" w:type="auto"/>
        <w:tblLayout w:type="fixed"/>
        <w:tblLook w:val="04A0" w:firstRow="1" w:lastRow="0" w:firstColumn="0" w:lastColumn="0" w:noHBand="0" w:noVBand="1"/>
        <w:tblLayout w:type="fixed"/>
      </w:tblPr>
      <w:tblGrid>
        <w:gridCol w:w="1797"/>
        <w:gridCol w:w="2505"/>
        <w:gridCol w:w="2851"/>
        <w:gridCol w:w="2204"/>
      </w:tblGrid>
      <w:tr>
        <w:trPr>
          <w:tblHeader/>
          <w:tblHeader w:val="true"/>
        </w:trPr>
        <w:tc>
          <w:tcPr>
            <w:tcW w:w="1798" w:type="dxa"/>
            <w:shd w:val="clear" w:color="auto" w:fill="F2F2F2"/>
          </w:tcPr>
          <w:p>
            <w:pPr/>
            <w:r>
              <w:rPr>
                <w:sz w:val="19"/>
              </w:rPr>
              <w:t xml:space="preserve">Type</w:t>
            </w:r>
          </w:p>
        </w:tc>
        <w:tc>
          <w:tcPr>
            <w:tcW w:w="2506" w:type="dxa"/>
            <w:shd w:val="clear" w:color="auto" w:fill="F2F2F2"/>
          </w:tcPr>
          <w:p>
            <w:pPr/>
            <w:r>
              <w:rPr>
                <w:sz w:val="19"/>
              </w:rPr>
              <w:t xml:space="preserve">Micro</w:t>
            </w:r>
          </w:p>
        </w:tc>
        <w:tc>
          <w:tcPr>
            <w:tcW w:w="2852" w:type="dxa"/>
            <w:shd w:val="clear" w:color="auto" w:fill="F2F2F2"/>
          </w:tcPr>
          <w:p>
            <w:pPr/>
            <w:r>
              <w:rPr>
                <w:sz w:val="19"/>
              </w:rPr>
              <w:t xml:space="preserve">Small</w:t>
            </w:r>
          </w:p>
        </w:tc>
        <w:tc>
          <w:tcPr>
            <w:tcW w:w="2205" w:type="dxa"/>
            <w:shd w:val="clear" w:color="auto" w:fill="F2F2F2"/>
          </w:tcPr>
          <w:p>
            <w:pPr/>
            <w:r>
              <w:rPr>
                <w:sz w:val="19"/>
              </w:rPr>
              <w:t xml:space="preserve">Medium</w:t>
            </w:r>
          </w:p>
        </w:tc>
      </w:tr>
      <w:tr>
        <w:tc>
          <w:tcPr>
            <w:tcW w:w="1798" w:type="dxa"/>
          </w:tcPr>
          <w:p>
            <w:pPr/>
            <w:r>
              <w:rPr>
                <w:sz w:val="19"/>
              </w:rPr>
              <w:t xml:space="preserve">Accommodation</w:t>
            </w:r>
          </w:p>
        </w:tc>
        <w:tc>
          <w:tcPr>
            <w:tcW w:w="2506" w:type="dxa"/>
          </w:tcPr>
          <w:p>
            <w:pPr/>
            <w:r>
              <w:rPr>
                <w:sz w:val="19"/>
              </w:rPr>
              <w:t xml:space="preserve">USD 2k–15k: furnishing, solar lights, water tank, listings</w:t>
            </w:r>
          </w:p>
        </w:tc>
        <w:tc>
          <w:tcPr>
            <w:tcW w:w="2852" w:type="dxa"/>
          </w:tcPr>
          <w:p>
            <w:pPr/>
            <w:r>
              <w:rPr>
                <w:sz w:val="19"/>
              </w:rPr>
              <w:t xml:space="preserve">USD 15k–150k: room additions, solar, borehole, refurbishment</w:t>
            </w:r>
          </w:p>
        </w:tc>
        <w:tc>
          <w:tcPr>
            <w:tcW w:w="2205" w:type="dxa"/>
          </w:tcPr>
          <w:p>
            <w:pPr/>
            <w:r>
              <w:rPr>
                <w:sz w:val="19"/>
              </w:rPr>
              <w:t xml:space="preserve">USD 150k–500k+: new lodge units, JV fit-out</w:t>
            </w:r>
          </w:p>
        </w:tc>
      </w:tr>
      <w:tr>
        <w:tc>
          <w:tcPr>
            <w:tcW w:w="1798" w:type="dxa"/>
          </w:tcPr>
          <w:p>
            <w:pPr/>
            <w:r>
              <w:rPr>
                <w:sz w:val="19"/>
              </w:rPr>
              <w:t xml:space="preserve">Guiding and activities</w:t>
            </w:r>
          </w:p>
        </w:tc>
        <w:tc>
          <w:tcPr>
            <w:tcW w:w="2506" w:type="dxa"/>
          </w:tcPr>
          <w:p>
            <w:pPr/>
            <w:r>
              <w:rPr>
                <w:sz w:val="19"/>
              </w:rPr>
              <w:t xml:space="preserve">USD 1k–10k: mokoro, bikes, licence, first-aid kit</w:t>
            </w:r>
          </w:p>
        </w:tc>
        <w:tc>
          <w:tcPr>
            <w:tcW w:w="2852" w:type="dxa"/>
          </w:tcPr>
          <w:p>
            <w:pPr/>
            <w:r>
              <w:rPr>
                <w:sz w:val="19"/>
              </w:rPr>
              <w:t xml:space="preserve">USD 10k–60k: boat and engine, game-drive vehicle (used)</w:t>
            </w:r>
          </w:p>
        </w:tc>
        <w:tc>
          <w:tcPr>
            <w:tcW w:w="2205" w:type="dxa"/>
          </w:tcPr>
          <w:p>
            <w:pPr/>
            <w:r>
              <w:rPr>
                <w:sz w:val="19"/>
              </w:rPr>
              <w:t xml:space="preserve">USD 60k–250k: fleet, EV conversion</w:t>
            </w:r>
          </w:p>
        </w:tc>
      </w:tr>
      <w:tr>
        <w:tc>
          <w:tcPr>
            <w:tcW w:w="1798" w:type="dxa"/>
          </w:tcPr>
          <w:p>
            <w:pPr/>
            <w:r>
              <w:rPr>
                <w:sz w:val="19"/>
              </w:rPr>
              <w:t xml:space="preserve">Transport</w:t>
            </w:r>
          </w:p>
        </w:tc>
        <w:tc>
          <w:tcPr>
            <w:tcW w:w="2506" w:type="dxa"/>
          </w:tcPr>
          <w:p>
            <w:pPr/>
            <w:r>
              <w:rPr>
                <w:sz w:val="19"/>
              </w:rPr>
              <w:t xml:space="preserve">USD 5k–20k: motorbike or used minibus deposit</w:t>
            </w:r>
          </w:p>
        </w:tc>
        <w:tc>
          <w:tcPr>
            <w:tcW w:w="2852" w:type="dxa"/>
          </w:tcPr>
          <w:p>
            <w:pPr/>
            <w:r>
              <w:rPr>
                <w:sz w:val="19"/>
              </w:rPr>
              <w:t xml:space="preserve">USD 20k–100k: shuttle and 4x4 fleet</w:t>
            </w:r>
          </w:p>
        </w:tc>
        <w:tc>
          <w:tcPr>
            <w:tcW w:w="2205" w:type="dxa"/>
          </w:tcPr>
          <w:p>
            <w:pPr/>
            <w:r>
              <w:rPr>
                <w:sz w:val="19"/>
              </w:rPr>
              <w:t xml:space="preserve">USD 100k+: fleet, workshop</w:t>
            </w:r>
          </w:p>
        </w:tc>
      </w:tr>
      <w:tr>
        <w:tc>
          <w:tcPr>
            <w:tcW w:w="1798" w:type="dxa"/>
          </w:tcPr>
          <w:p>
            <w:pPr/>
            <w:r>
              <w:rPr>
                <w:sz w:val="19"/>
              </w:rPr>
              <w:t xml:space="preserve">Food and agri-supply</w:t>
            </w:r>
          </w:p>
        </w:tc>
        <w:tc>
          <w:tcPr>
            <w:tcW w:w="2506" w:type="dxa"/>
          </w:tcPr>
          <w:p>
            <w:pPr/>
            <w:r>
              <w:rPr>
                <w:sz w:val="19"/>
              </w:rPr>
              <w:t xml:space="preserve">USD 500–5k: seed, poultry, drip kit</w:t>
            </w:r>
          </w:p>
        </w:tc>
        <w:tc>
          <w:tcPr>
            <w:tcW w:w="2852" w:type="dxa"/>
          </w:tcPr>
          <w:p>
            <w:pPr/>
            <w:r>
              <w:rPr>
                <w:sz w:val="19"/>
              </w:rPr>
              <w:t xml:space="preserve">USD 5k–50k: irrigation, cold room, delivery vehicle</w:t>
            </w:r>
          </w:p>
        </w:tc>
        <w:tc>
          <w:tcPr>
            <w:tcW w:w="2205" w:type="dxa"/>
          </w:tcPr>
          <w:p>
            <w:pPr/>
            <w:r>
              <w:rPr>
                <w:sz w:val="19"/>
              </w:rPr>
              <w:t xml:space="preserve">USD 50k–200k: processing, aggregation hub</w:t>
            </w:r>
          </w:p>
        </w:tc>
      </w:tr>
      <w:tr>
        <w:tc>
          <w:tcPr>
            <w:tcW w:w="1798" w:type="dxa"/>
          </w:tcPr>
          <w:p>
            <w:pPr/>
            <w:r>
              <w:rPr>
                <w:sz w:val="19"/>
              </w:rPr>
              <w:t xml:space="preserve">Crafts and culture</w:t>
            </w:r>
          </w:p>
        </w:tc>
        <w:tc>
          <w:tcPr>
            <w:tcW w:w="2506" w:type="dxa"/>
          </w:tcPr>
          <w:p>
            <w:pPr/>
            <w:r>
              <w:rPr>
                <w:sz w:val="19"/>
              </w:rPr>
              <w:t xml:space="preserve">USD 200–3k: materials, stock</w:t>
            </w:r>
          </w:p>
        </w:tc>
        <w:tc>
          <w:tcPr>
            <w:tcW w:w="2852" w:type="dxa"/>
          </w:tcPr>
          <w:p>
            <w:pPr/>
            <w:r>
              <w:rPr>
                <w:sz w:val="19"/>
              </w:rPr>
              <w:t xml:space="preserve">USD 3k–25k: workshop, showroom, e-commerce</w:t>
            </w:r>
          </w:p>
        </w:tc>
        <w:tc>
          <w:tcPr>
            <w:tcW w:w="2205" w:type="dxa"/>
          </w:tcPr>
          <w:p>
            <w:pPr/>
            <w:r>
              <w:rPr>
                <w:sz w:val="19"/>
              </w:rPr>
              <w:t xml:space="preserve">Rare: cooperative export hub</w:t>
            </w:r>
          </w:p>
        </w:tc>
      </w:tr>
      <w:tr>
        <w:tc>
          <w:tcPr>
            <w:tcW w:w="1798" w:type="dxa"/>
          </w:tcPr>
          <w:p>
            <w:pPr/>
            <w:r>
              <w:rPr>
                <w:sz w:val="19"/>
              </w:rPr>
              <w:t xml:space="preserve">Support services (laundry, waste, maintenance)</w:t>
            </w:r>
          </w:p>
        </w:tc>
        <w:tc>
          <w:tcPr>
            <w:tcW w:w="2506" w:type="dxa"/>
          </w:tcPr>
          <w:p>
            <w:pPr/>
            <w:r>
              <w:rPr>
                <w:sz w:val="19"/>
              </w:rPr>
              <w:t xml:space="preserve">USD 1k–10k: machines, tools</w:t>
            </w:r>
          </w:p>
        </w:tc>
        <w:tc>
          <w:tcPr>
            <w:tcW w:w="2852" w:type="dxa"/>
          </w:tcPr>
          <w:p>
            <w:pPr/>
            <w:r>
              <w:rPr>
                <w:sz w:val="19"/>
              </w:rPr>
              <w:t xml:space="preserve">USD 10k–80k: industrial laundry, recycling baler</w:t>
            </w:r>
          </w:p>
        </w:tc>
        <w:tc>
          <w:tcPr>
            <w:tcW w:w="2205" w:type="dxa"/>
          </w:tcPr>
          <w:p>
            <w:pPr/>
            <w:r>
              <w:rPr>
                <w:sz w:val="19"/>
              </w:rPr>
              <w:t xml:space="preserve">USD 80k+: service contracts across lodges</w:t>
            </w:r>
          </w:p>
        </w:tc>
      </w:tr>
      <w:tr>
        <w:tc>
          <w:tcPr>
            <w:tcW w:w="1798" w:type="dxa"/>
          </w:tcPr>
          <w:p>
            <w:pPr/>
            <w:r>
              <w:rPr>
                <w:sz w:val="19"/>
              </w:rPr>
              <w:t xml:space="preserve">Community enterprises</w:t>
            </w:r>
          </w:p>
        </w:tc>
        <w:tc>
          <w:tcPr>
            <w:tcW w:w="2506" w:type="dxa"/>
          </w:tcPr>
          <w:p>
            <w:pPr/>
            <w:r>
              <w:rPr>
                <w:sz w:val="19"/>
              </w:rPr>
              <w:t xml:space="preserve">USD 5k–30k: campsite ablutions, signage</w:t>
            </w:r>
          </w:p>
        </w:tc>
        <w:tc>
          <w:tcPr>
            <w:tcW w:w="2852" w:type="dxa"/>
          </w:tcPr>
          <w:p>
            <w:pPr/>
            <w:r>
              <w:rPr>
                <w:sz w:val="19"/>
              </w:rPr>
              <w:t xml:space="preserve">USD 30k–200k: community lodge upgrade</w:t>
            </w:r>
          </w:p>
        </w:tc>
        <w:tc>
          <w:tcPr>
            <w:tcW w:w="2205" w:type="dxa"/>
          </w:tcPr>
          <w:p>
            <w:pPr/>
            <w:r>
              <w:rPr>
                <w:sz w:val="19"/>
              </w:rPr>
              <w:t xml:space="preserve">USD 200k+: JV equity stakes</w:t>
            </w:r>
          </w:p>
        </w:tc>
      </w:tr>
    </w:tbl>
    <w:p>
      <w:pPr>
        <w:pStyle w:val="Heading3"/>
      </w:pPr>
      <w:r>
        <w:t xml:space="preserve">5.3 What this means for instruments</w:t>
      </w:r>
    </w:p>
    <w:p>
      <w:pPr>
        <w:pStyle w:val="ListParagraph"/>
        <w:numPr>
          <w:ilvl w:val="0"/>
          <w:numId w:val="6"/>
        </w:numPr>
      </w:pPr>
      <w:r>
        <w:rPr>
          <w:b/>
        </w:rPr>
        <w:t xml:space="preserve">Grants alone can't scale the sector, and loans alone can't reach start-ups.</w:t>
      </w:r>
      <w:r>
        <w:t xml:space="preserve"> The facility needs a graduation path from grant to loan, using the same MSME file, the same TA provider and the same lender.</w:t>
      </w:r>
    </w:p>
    <w:p>
      <w:pPr>
        <w:pStyle w:val="ListParagraph"/>
        <w:numPr>
          <w:ilvl w:val="0"/>
          <w:numId w:val="6"/>
        </w:numPr>
      </w:pPr>
      <w:r>
        <w:rPr>
          <w:b/>
        </w:rPr>
        <w:t xml:space="preserve">Asset-backed needs are the easiest win.</w:t>
      </w:r>
      <w:r>
        <w:t xml:space="preserve"> Vehicles, boats, solar, laundry machines and cold rooms are movable assets. They can be leased or registered as collateral, especially in Zambia and Zimbabwe, where collateral registries operate.</w:t>
      </w:r>
    </w:p>
    <w:p>
      <w:pPr>
        <w:pStyle w:val="ListParagraph"/>
        <w:numPr>
          <w:ilvl w:val="0"/>
          <w:numId w:val="6"/>
        </w:numPr>
      </w:pPr>
      <w:r>
        <w:rPr>
          <w:b/>
        </w:rPr>
        <w:t xml:space="preserve">Women's needs are smaller, more frequent and working-capital heavy.</w:t>
      </w:r>
      <w:r>
        <w:t xml:space="preserve"> Products should allow repeat short-cycle loans and group guarantees rather than a single large term loan.</w:t>
      </w:r>
    </w:p>
    <w:p>
      <w:pPr>
        <w:pStyle w:val="Heading2"/>
      </w:pPr>
      <w:r>
        <w:t xml:space="preserve">6. Thematic assessments</w:t>
      </w:r>
    </w:p>
    <w:p>
      <w:pPr>
        <w:pStyle w:val="Heading3"/>
      </w:pPr>
      <w:r>
        <w:t xml:space="preserve">6.1 Tourism seasonality, cash flow and debt eligibility (i)</w:t>
      </w:r>
    </w:p>
    <w:p>
      <w:pPr/>
      <w:r>
        <w:t xml:space="preserve">Seasonality is the single largest reason viable tourism MSMEs fail lenders' affordability tests. KAZA's high season runs June–October (dry season, game viewing) with a shoulder in April–May and November. The green season (December–March) brings closures in the Okavango, Kafue and Hwange, as well as flooded roads.</w:t>
      </w:r>
    </w:p>
    <w:p>
      <w:pPr/>
      <w:r>
        <w:rPr>
          <w:b/>
        </w:rPr>
        <w:t xml:space="preserve">Effect on cash flow (</w:t>
      </w:r>
      <w:r>
        <w:rPr>
          <w:b/>
          <w:i/>
        </w:rPr>
        <w:t xml:space="preserve">indicative</w:t>
      </w:r>
      <w:r>
        <w:rPr>
          <w:b/>
        </w:rPr>
        <w:t xml:space="preserve">).</w:t>
      </w:r>
      <w:r>
        <w:t xml:space="preserve"> A small lodge, guiding outfit or transfer operator typically earns 60–75% of annual revenue in 5 months. Fixed costs keep running in the low season: staff, lease, vehicle insurance and loan instalments. Suppliers to lodges (food, laundry, crafts) see the same curve one step removed. They also face lodge closures in January–February, when demand falls to near zero.</w:t>
      </w:r>
    </w:p>
    <w:p>
      <w:pPr/>
      <w:r>
        <w:rPr>
          <w:b/>
        </w:rPr>
        <w:t xml:space="preserve">Effect on eligibility.</w:t>
      </w:r>
    </w:p>
    <w:p>
      <w:pPr>
        <w:pStyle w:val="ListParagraph"/>
        <w:numPr>
          <w:ilvl w:val="0"/>
          <w:numId w:val="7"/>
        </w:numPr>
      </w:pPr>
      <w:r>
        <w:rPr>
          <w:b/>
        </w:rPr>
        <w:t xml:space="preserve">Affordability tests</w:t>
      </w:r>
      <w:r>
        <w:t xml:space="preserve"> use average monthly income against a fixed instalment. Low-season months fail the debt-service ratio, even though the annual cash flow is sound.</w:t>
      </w:r>
    </w:p>
    <w:p>
      <w:pPr>
        <w:pStyle w:val="ListParagraph"/>
        <w:numPr>
          <w:ilvl w:val="0"/>
          <w:numId w:val="7"/>
        </w:numPr>
      </w:pPr>
      <w:r>
        <w:rPr>
          <w:b/>
        </w:rPr>
        <w:t xml:space="preserve">Arrears in February–March</w:t>
      </w:r>
      <w:r>
        <w:t xml:space="preserve"> trigger restructuring, credit-bureau flags and lost eligibility for the next loan. This hits women's micro-enterprises hardest, because they have the thinnest cash buffers.</w:t>
      </w:r>
    </w:p>
    <w:p>
      <w:pPr>
        <w:pStyle w:val="ListParagraph"/>
        <w:numPr>
          <w:ilvl w:val="0"/>
          <w:numId w:val="7"/>
        </w:numPr>
      </w:pPr>
      <w:r>
        <w:rPr>
          <w:b/>
        </w:rPr>
        <w:t xml:space="preserve">Tenor mismatch.</w:t>
      </w:r>
      <w:r>
        <w:t xml:space="preserve"> 12-month MFI loans (e.g. the Women's Microfinance Bank, Zimbabwe) force repayment through a full low season.</w:t>
      </w:r>
    </w:p>
    <w:p>
      <w:pPr>
        <w:pStyle w:val="ListParagraph"/>
        <w:numPr>
          <w:ilvl w:val="0"/>
          <w:numId w:val="7"/>
        </w:numPr>
      </w:pPr>
      <w:r>
        <w:rPr>
          <w:b/>
        </w:rPr>
        <w:t xml:space="preserve">Currency.</w:t>
      </w:r>
      <w:r>
        <w:t xml:space="preserve"> High-end lodges earn USD. Most MSMEs supplying them earn local currency. Kwacha, ZiG and kwanza swings add a second, unpredictable cycle on top of the seasonal one.</w:t>
      </w:r>
    </w:p>
    <w:p>
      <w:pPr/>
      <w:r>
        <w:rPr>
          <w:b/>
        </w:rPr>
        <w:t xml:space="preserve">Five ways existing debt products can be adapted to seasonality</w:t>
      </w:r>
      <w:r>
        <w:t xml:space="preserve"> (at least three requested):</w:t>
      </w:r>
    </w:p>
    <w:tbl>
      <w:tblPr>
        <w:tblStyle w:val="TableGrid"/>
        <w:tblW w:w="0" w:type="auto"/>
        <w:tblLayout w:type="fixed"/>
        <w:tblLook w:val="04A0" w:firstRow="1" w:lastRow="0" w:firstColumn="0" w:lastColumn="0" w:noHBand="0" w:noVBand="1"/>
        <w:tblLayout w:type="fixed"/>
      </w:tblPr>
      <w:tblGrid>
        <w:gridCol w:w="1758"/>
        <w:gridCol w:w="3515"/>
        <w:gridCol w:w="1935"/>
        <w:gridCol w:w="2150"/>
      </w:tblGrid>
      <w:tr>
        <w:trPr>
          <w:tblHeader/>
          <w:tblHeader w:val="true"/>
        </w:trPr>
        <w:tc>
          <w:tcPr>
            <w:tcW w:w="1758" w:type="dxa"/>
            <w:shd w:val="clear" w:color="auto" w:fill="F2F2F2"/>
          </w:tcPr>
          <w:p>
            <w:pPr/>
            <w:r>
              <w:rPr>
                <w:sz w:val="19"/>
              </w:rPr>
              <w:t xml:space="preserve">Adaptation</w:t>
            </w:r>
          </w:p>
        </w:tc>
        <w:tc>
          <w:tcPr>
            <w:tcW w:w="3515" w:type="dxa"/>
            <w:shd w:val="clear" w:color="auto" w:fill="F2F2F2"/>
          </w:tcPr>
          <w:p>
            <w:pPr/>
            <w:r>
              <w:rPr>
                <w:sz w:val="19"/>
              </w:rPr>
              <w:t xml:space="preserve">How it works</w:t>
            </w:r>
          </w:p>
        </w:tc>
        <w:tc>
          <w:tcPr>
            <w:tcW w:w="1936" w:type="dxa"/>
            <w:shd w:val="clear" w:color="auto" w:fill="F2F2F2"/>
          </w:tcPr>
          <w:p>
            <w:pPr/>
            <w:r>
              <w:rPr>
                <w:sz w:val="19"/>
              </w:rPr>
              <w:t xml:space="preserve">Best for</w:t>
            </w:r>
          </w:p>
        </w:tc>
        <w:tc>
          <w:tcPr>
            <w:tcW w:w="2150" w:type="dxa"/>
            <w:shd w:val="clear" w:color="auto" w:fill="F2F2F2"/>
          </w:tcPr>
          <w:p>
            <w:pPr/>
            <w:r>
              <w:rPr>
                <w:sz w:val="19"/>
              </w:rPr>
              <w:t xml:space="preserve">Lender safeguard</w:t>
            </w:r>
          </w:p>
        </w:tc>
      </w:tr>
      <w:tr>
        <w:tc>
          <w:tcPr>
            <w:tcW w:w="1758" w:type="dxa"/>
          </w:tcPr>
          <w:p>
            <w:pPr/>
            <w:r>
              <w:rPr>
                <w:sz w:val="19"/>
              </w:rPr>
              <w:t xml:space="preserve">1. Seasonal repayment schedule</w:t>
            </w:r>
          </w:p>
        </w:tc>
        <w:tc>
          <w:tcPr>
            <w:tcW w:w="3515" w:type="dxa"/>
          </w:tcPr>
          <w:p>
            <w:pPr/>
            <w:r>
              <w:rPr>
                <w:sz w:val="19"/>
              </w:rPr>
              <w:t xml:space="preserve">Larger instalments June–October, reduced or interest-only December–March. Annual debt service stays the same</w:t>
            </w:r>
          </w:p>
        </w:tc>
        <w:tc>
          <w:tcPr>
            <w:tcW w:w="1936" w:type="dxa"/>
          </w:tcPr>
          <w:p>
            <w:pPr/>
            <w:r>
              <w:rPr>
                <w:sz w:val="19"/>
              </w:rPr>
              <w:t xml:space="preserve">Lodges, guides, transfer operators</w:t>
            </w:r>
          </w:p>
        </w:tc>
        <w:tc>
          <w:tcPr>
            <w:tcW w:w="2150" w:type="dxa"/>
          </w:tcPr>
          <w:p>
            <w:pPr/>
            <w:r>
              <w:rPr>
                <w:sz w:val="19"/>
              </w:rPr>
              <w:t xml:space="preserve">Cash-flow based underwriting on 12-month projection</w:t>
            </w:r>
          </w:p>
        </w:tc>
      </w:tr>
      <w:tr>
        <w:tc>
          <w:tcPr>
            <w:tcW w:w="1758" w:type="dxa"/>
          </w:tcPr>
          <w:p>
            <w:pPr/>
            <w:r>
              <w:rPr>
                <w:sz w:val="19"/>
              </w:rPr>
              <w:t xml:space="preserve">2. Seasonal grace period</w:t>
            </w:r>
          </w:p>
        </w:tc>
        <w:tc>
          <w:tcPr>
            <w:tcW w:w="3515" w:type="dxa"/>
          </w:tcPr>
          <w:p>
            <w:pPr/>
            <w:r>
              <w:rPr>
                <w:sz w:val="19"/>
              </w:rPr>
              <w:t xml:space="preserve">3–4 month principal holiday aligned to the green season. Capex loans disbursed pre-season start repayment in July</w:t>
            </w:r>
          </w:p>
        </w:tc>
        <w:tc>
          <w:tcPr>
            <w:tcW w:w="1936" w:type="dxa"/>
          </w:tcPr>
          <w:p>
            <w:pPr/>
            <w:r>
              <w:rPr>
                <w:sz w:val="19"/>
              </w:rPr>
              <w:t xml:space="preserve">Facility upgrades, vehicles, boats</w:t>
            </w:r>
          </w:p>
        </w:tc>
        <w:tc>
          <w:tcPr>
            <w:tcW w:w="2150" w:type="dxa"/>
          </w:tcPr>
          <w:p>
            <w:pPr/>
            <w:r>
              <w:rPr>
                <w:sz w:val="19"/>
              </w:rPr>
              <w:t xml:space="preserve">Grace capitalised; guarantee covers the grace exposure</w:t>
            </w:r>
          </w:p>
        </w:tc>
      </w:tr>
      <w:tr>
        <w:tc>
          <w:tcPr>
            <w:tcW w:w="1758" w:type="dxa"/>
          </w:tcPr>
          <w:p>
            <w:pPr/>
            <w:r>
              <w:rPr>
                <w:sz w:val="19"/>
              </w:rPr>
              <w:t xml:space="preserve">3. Revenue-based repayment</w:t>
            </w:r>
          </w:p>
        </w:tc>
        <w:tc>
          <w:tcPr>
            <w:tcW w:w="3515" w:type="dxa"/>
          </w:tcPr>
          <w:p>
            <w:pPr/>
            <w:r>
              <w:rPr>
                <w:sz w:val="19"/>
              </w:rPr>
              <w:t xml:space="preserve">A fixed share (e.g. 8–15%) of card, mobile-money or OTA receipts is swept to the lender until a capped multiple is repaid</w:t>
            </w:r>
          </w:p>
        </w:tc>
        <w:tc>
          <w:tcPr>
            <w:tcW w:w="1936" w:type="dxa"/>
          </w:tcPr>
          <w:p>
            <w:pPr/>
            <w:r>
              <w:rPr>
                <w:sz w:val="19"/>
              </w:rPr>
              <w:t xml:space="preserve">Digitally paid firms: activities, guesthouses, online craft sales</w:t>
            </w:r>
          </w:p>
        </w:tc>
        <w:tc>
          <w:tcPr>
            <w:tcW w:w="2150" w:type="dxa"/>
          </w:tcPr>
          <w:p>
            <w:pPr/>
            <w:r>
              <w:rPr>
                <w:sz w:val="19"/>
              </w:rPr>
              <w:t xml:space="preserve">Collection account or payment-processor sweep</w:t>
            </w:r>
          </w:p>
        </w:tc>
      </w:tr>
      <w:tr>
        <w:tc>
          <w:tcPr>
            <w:tcW w:w="1758" w:type="dxa"/>
          </w:tcPr>
          <w:p>
            <w:pPr/>
            <w:r>
              <w:rPr>
                <w:sz w:val="19"/>
              </w:rPr>
              <w:t xml:space="preserve">4. Forward-booking-linked finance</w:t>
            </w:r>
          </w:p>
        </w:tc>
        <w:tc>
          <w:tcPr>
            <w:tcW w:w="3515" w:type="dxa"/>
          </w:tcPr>
          <w:p>
            <w:pPr/>
            <w:r>
              <w:rPr>
                <w:sz w:val="19"/>
              </w:rPr>
              <w:t xml:space="preserve">Pre-season working capital advanced against confirmed bookings or deposits held by DMCs and OTAs, repaid as guests arrive</w:t>
            </w:r>
          </w:p>
        </w:tc>
        <w:tc>
          <w:tcPr>
            <w:tcW w:w="1936" w:type="dxa"/>
          </w:tcPr>
          <w:p>
            <w:pPr/>
            <w:r>
              <w:rPr>
                <w:sz w:val="19"/>
              </w:rPr>
              <w:t xml:space="preserve">Lodges, activity operators, DMC-linked suppliers</w:t>
            </w:r>
          </w:p>
        </w:tc>
        <w:tc>
          <w:tcPr>
            <w:tcW w:w="2150" w:type="dxa"/>
          </w:tcPr>
          <w:p>
            <w:pPr/>
            <w:r>
              <w:rPr>
                <w:sz w:val="19"/>
              </w:rPr>
              <w:t xml:space="preserve">Assignment of booking proceeds; DMC confirmation</w:t>
            </w:r>
          </w:p>
        </w:tc>
      </w:tr>
      <w:tr>
        <w:tc>
          <w:tcPr>
            <w:tcW w:w="1758" w:type="dxa"/>
          </w:tcPr>
          <w:p>
            <w:pPr/>
            <w:r>
              <w:rPr>
                <w:sz w:val="19"/>
              </w:rPr>
              <w:t xml:space="preserve">5. Seasonal revolving credit line</w:t>
            </w:r>
          </w:p>
        </w:tc>
        <w:tc>
          <w:tcPr>
            <w:tcW w:w="3515" w:type="dxa"/>
          </w:tcPr>
          <w:p>
            <w:pPr/>
            <w:r>
              <w:rPr>
                <w:sz w:val="19"/>
              </w:rPr>
              <w:t xml:space="preserve">Line drawn in the low season for pre-season stock-up and maintenance, cleared by October</w:t>
            </w:r>
          </w:p>
        </w:tc>
        <w:tc>
          <w:tcPr>
            <w:tcW w:w="1936" w:type="dxa"/>
          </w:tcPr>
          <w:p>
            <w:pPr/>
            <w:r>
              <w:rPr>
                <w:sz w:val="19"/>
              </w:rPr>
              <w:t xml:space="preserve">Food suppliers, laundries, craft co-ops</w:t>
            </w:r>
          </w:p>
        </w:tc>
        <w:tc>
          <w:tcPr>
            <w:tcW w:w="2150" w:type="dxa"/>
          </w:tcPr>
          <w:p>
            <w:pPr/>
            <w:r>
              <w:rPr>
                <w:sz w:val="19"/>
              </w:rPr>
              <w:t xml:space="preserve">Annual clean-up requirement; anchor contract</w:t>
            </w:r>
          </w:p>
        </w:tc>
      </w:tr>
    </w:tbl>
    <w:p>
      <w:pPr/>
      <w:r>
        <w:t xml:space="preserve">A </w:t>
      </w:r>
      <w:r>
        <w:rPr>
          <w:i/>
        </w:rPr>
        <w:t xml:space="preserve">shock clause</w:t>
      </w:r>
      <w:r>
        <w:t xml:space="preserve"> adds to all five. It is a pre-agreed 3–6 month moratorium triggered by an objective event: a border closure, drought declaration, pandemic or park closure. This replaces ad-hoc restructuring, which is how COVID-19 and the 2024 drought were handled.</w:t>
      </w:r>
    </w:p>
    <w:p>
      <w:pPr>
        <w:pStyle w:val="Heading3"/>
      </w:pPr>
      <w:r>
        <w:t xml:space="preserve">6.2 Land tenure, asset ownership and alternative collateral (ii)</w:t>
      </w:r>
    </w:p>
    <w:p>
      <w:pPr/>
      <w:r>
        <w:t xml:space="preserve">Women- and youth-led MSMEs are excluded from collateral because the land system and inheritance rules route land to men, chiefs or the state. Most KAZA enterprises sit on land of four kinds, and none of it can be mortgaged:</w:t>
      </w:r>
    </w:p>
    <w:p>
      <w:pPr>
        <w:pStyle w:val="ListParagraph"/>
        <w:numPr>
          <w:ilvl w:val="0"/>
          <w:numId w:val="8"/>
        </w:numPr>
      </w:pPr>
      <w:r>
        <w:t xml:space="preserve">communal land under traditional authorities (Barotse Royal Establishment, Zambian chiefs, Namibian traditional authorities)</w:t>
      </w:r>
    </w:p>
    <w:p>
      <w:pPr>
        <w:pStyle w:val="ListParagraph"/>
        <w:numPr>
          <w:ilvl w:val="0"/>
          <w:numId w:val="8"/>
        </w:numPr>
      </w:pPr>
      <w:r>
        <w:t xml:space="preserve">tribal land under land boards (Botswana)</w:t>
      </w:r>
    </w:p>
    <w:p>
      <w:pPr>
        <w:pStyle w:val="ListParagraph"/>
        <w:numPr>
          <w:ilvl w:val="0"/>
          <w:numId w:val="8"/>
        </w:numPr>
      </w:pPr>
      <w:r>
        <w:t xml:space="preserve">RDC-administered communal land (Zimbabwe)</w:t>
      </w:r>
    </w:p>
    <w:p>
      <w:pPr>
        <w:pStyle w:val="ListParagraph"/>
        <w:numPr>
          <w:ilvl w:val="0"/>
          <w:numId w:val="8"/>
        </w:numPr>
      </w:pPr>
      <w:r>
        <w:t xml:space="preserve">state-held land (Angola)</w:t>
      </w:r>
    </w:p>
    <w:p>
      <w:pPr/>
      <w:r>
        <w:t xml:space="preserve">On top of that:</w:t>
      </w:r>
    </w:p>
    <w:p>
      <w:pPr>
        <w:pStyle w:val="ListParagraph"/>
        <w:numPr>
          <w:ilvl w:val="0"/>
          <w:numId w:val="9"/>
        </w:numPr>
      </w:pPr>
      <w:r>
        <w:rPr>
          <w:b/>
        </w:rPr>
        <w:t xml:space="preserve">Women</w:t>
      </w:r>
      <w:r>
        <w:t xml:space="preserve"> typically gain land access through husbands or male relatives. In Zimbabwe, women held land in their own name in under 5% of cases before land reform and about 20% after, and communal land is largely unchanged. In Zambia, policy targets moved from 30% (2000) to 50% (2017) allocation to women, but administration lags.</w:t>
      </w:r>
    </w:p>
    <w:p>
      <w:pPr>
        <w:pStyle w:val="ListParagraph"/>
        <w:numPr>
          <w:ilvl w:val="0"/>
          <w:numId w:val="9"/>
        </w:numPr>
      </w:pPr>
      <w:r>
        <w:rPr>
          <w:b/>
        </w:rPr>
        <w:t xml:space="preserve">Youth</w:t>
      </w:r>
      <w:r>
        <w:t xml:space="preserve"> rarely hold land, vehicles or a credit file. Family assets stay in elders' names, and spousal or parental consent rules for pledging assets add a second barrier.</w:t>
      </w:r>
    </w:p>
    <w:p>
      <w:pPr>
        <w:pStyle w:val="ListParagraph"/>
        <w:numPr>
          <w:ilvl w:val="0"/>
          <w:numId w:val="9"/>
        </w:numPr>
      </w:pPr>
      <w:r>
        <w:rPr>
          <w:b/>
        </w:rPr>
        <w:t xml:space="preserve">Community enterprises</w:t>
      </w:r>
      <w:r>
        <w:t xml:space="preserve"> hold leases or JV rights. Their terms (often 10–15 years, with renewal uncertain) are shorter than lenders want for capex loans.</w:t>
      </w:r>
    </w:p>
    <w:p>
      <w:pPr/>
      <w:r>
        <w:rPr>
          <w:b/>
        </w:rPr>
        <w:t xml:space="preserve">Alternative forms of collateral that lenders could accept:</w:t>
      </w:r>
    </w:p>
    <w:tbl>
      <w:tblPr>
        <w:tblStyle w:val="TableGrid"/>
        <w:tblW w:w="0" w:type="auto"/>
        <w:tblLayout w:type="fixed"/>
        <w:tblLook w:val="04A0" w:firstRow="1" w:lastRow="0" w:firstColumn="0" w:lastColumn="0" w:noHBand="0" w:noVBand="1"/>
        <w:tblLayout w:type="fixed"/>
      </w:tblPr>
      <w:tblGrid>
        <w:gridCol w:w="1849"/>
        <w:gridCol w:w="2589"/>
        <w:gridCol w:w="1680"/>
        <w:gridCol w:w="1518"/>
        <w:gridCol w:w="1722"/>
      </w:tblGrid>
      <w:tr>
        <w:trPr>
          <w:tblHeader/>
          <w:tblHeader w:val="true"/>
        </w:trPr>
        <w:tc>
          <w:tcPr>
            <w:tcW w:w="1850" w:type="dxa"/>
            <w:shd w:val="clear" w:color="auto" w:fill="F2F2F2"/>
          </w:tcPr>
          <w:p>
            <w:pPr/>
            <w:r>
              <w:rPr>
                <w:sz w:val="19"/>
              </w:rPr>
              <w:t xml:space="preserve">Collateral type</w:t>
            </w:r>
          </w:p>
        </w:tc>
        <w:tc>
          <w:tcPr>
            <w:tcW w:w="2589" w:type="dxa"/>
            <w:shd w:val="clear" w:color="auto" w:fill="F2F2F2"/>
          </w:tcPr>
          <w:p>
            <w:pPr/>
            <w:r>
              <w:rPr>
                <w:sz w:val="19"/>
              </w:rPr>
              <w:t xml:space="preserve">Example in KAZA</w:t>
            </w:r>
          </w:p>
        </w:tc>
        <w:tc>
          <w:tcPr>
            <w:tcW w:w="1680" w:type="dxa"/>
            <w:shd w:val="clear" w:color="auto" w:fill="F2F2F2"/>
          </w:tcPr>
          <w:p>
            <w:pPr/>
            <w:r>
              <w:rPr>
                <w:sz w:val="19"/>
              </w:rPr>
              <w:t xml:space="preserve">Legal basis</w:t>
            </w:r>
          </w:p>
        </w:tc>
        <w:tc>
          <w:tcPr>
            <w:tcW w:w="1518" w:type="dxa"/>
            <w:shd w:val="clear" w:color="auto" w:fill="F2F2F2"/>
          </w:tcPr>
          <w:p>
            <w:pPr/>
            <w:r>
              <w:rPr>
                <w:sz w:val="19"/>
              </w:rPr>
              <w:t xml:space="preserve">Readiness by country</w:t>
            </w:r>
          </w:p>
        </w:tc>
        <w:tc>
          <w:tcPr>
            <w:tcW w:w="1722" w:type="dxa"/>
            <w:shd w:val="clear" w:color="auto" w:fill="F2F2F2"/>
          </w:tcPr>
          <w:p>
            <w:pPr/>
            <w:r>
              <w:rPr>
                <w:sz w:val="19"/>
              </w:rPr>
              <w:t xml:space="preserve">Women and youth fit</w:t>
            </w:r>
          </w:p>
        </w:tc>
      </w:tr>
      <w:tr>
        <w:tc>
          <w:tcPr>
            <w:tcW w:w="1850" w:type="dxa"/>
          </w:tcPr>
          <w:p>
            <w:pPr/>
            <w:r>
              <w:rPr>
                <w:sz w:val="19"/>
              </w:rPr>
              <w:t xml:space="preserve">Movable assets: vehicles, boats, engines, equipment</w:t>
            </w:r>
          </w:p>
        </w:tc>
        <w:tc>
          <w:tcPr>
            <w:tcW w:w="2589" w:type="dxa"/>
          </w:tcPr>
          <w:p>
            <w:pPr/>
            <w:r>
              <w:rPr>
                <w:sz w:val="19"/>
              </w:rPr>
              <w:t xml:space="preserve">Game-drive vehicles, mokoro fleets, laundry machines, solar systems</w:t>
            </w:r>
          </w:p>
        </w:tc>
        <w:tc>
          <w:tcPr>
            <w:tcW w:w="1680" w:type="dxa"/>
          </w:tcPr>
          <w:p>
            <w:pPr/>
            <w:r>
              <w:rPr>
                <w:sz w:val="19"/>
              </w:rPr>
              <w:t xml:space="preserve">Movable property security laws and registries</w:t>
            </w:r>
          </w:p>
        </w:tc>
        <w:tc>
          <w:tcPr>
            <w:tcW w:w="1518" w:type="dxa"/>
          </w:tcPr>
          <w:p>
            <w:pPr/>
            <w:r>
              <w:rPr>
                <w:sz w:val="19"/>
              </w:rPr>
              <w:t xml:space="preserve">ZM, ZW operational; BW law passed, commencement pending; NA, AO unclear, to verify</w:t>
            </w:r>
          </w:p>
        </w:tc>
        <w:tc>
          <w:tcPr>
            <w:tcW w:w="1722" w:type="dxa"/>
          </w:tcPr>
          <w:p>
            <w:pPr/>
            <w:r>
              <w:rPr>
                <w:sz w:val="19"/>
              </w:rPr>
              <w:t xml:space="preserve">Medium: assets bought with the loan itself (purchase-money security)</w:t>
            </w:r>
          </w:p>
        </w:tc>
      </w:tr>
      <w:tr>
        <w:tc>
          <w:tcPr>
            <w:tcW w:w="1850" w:type="dxa"/>
          </w:tcPr>
          <w:p>
            <w:pPr/>
            <w:r>
              <w:rPr>
                <w:sz w:val="19"/>
              </w:rPr>
              <w:t xml:space="preserve">Future receivables and contracts</w:t>
            </w:r>
          </w:p>
        </w:tc>
        <w:tc>
          <w:tcPr>
            <w:tcW w:w="2589" w:type="dxa"/>
          </w:tcPr>
          <w:p>
            <w:pPr/>
            <w:r>
              <w:rPr>
                <w:sz w:val="19"/>
              </w:rPr>
              <w:t xml:space="preserve">Lodge supply contracts, DMC booking proceeds, Wildlife Credits payments</w:t>
            </w:r>
          </w:p>
        </w:tc>
        <w:tc>
          <w:tcPr>
            <w:tcW w:w="1680" w:type="dxa"/>
          </w:tcPr>
          <w:p>
            <w:pPr/>
            <w:r>
              <w:rPr>
                <w:sz w:val="19"/>
              </w:rPr>
              <w:t xml:space="preserve">Assignment of receivables; registry filing where available</w:t>
            </w:r>
          </w:p>
        </w:tc>
        <w:tc>
          <w:tcPr>
            <w:tcW w:w="1518" w:type="dxa"/>
          </w:tcPr>
          <w:p>
            <w:pPr/>
            <w:r>
              <w:rPr>
                <w:sz w:val="19"/>
              </w:rPr>
              <w:t xml:space="preserve">High where anchor signs a tripartite agreement (Stanbic BW model)</w:t>
            </w:r>
          </w:p>
        </w:tc>
        <w:tc>
          <w:tcPr>
            <w:tcW w:w="1722" w:type="dxa"/>
          </w:tcPr>
          <w:p>
            <w:pPr/>
            <w:r>
              <w:rPr>
                <w:sz w:val="19"/>
              </w:rPr>
              <w:t xml:space="preserve">High: women suppliers hold contracts more often than land</w:t>
            </w:r>
          </w:p>
        </w:tc>
      </w:tr>
      <w:tr>
        <w:tc>
          <w:tcPr>
            <w:tcW w:w="1850" w:type="dxa"/>
          </w:tcPr>
          <w:p>
            <w:pPr/>
            <w:r>
              <w:rPr>
                <w:sz w:val="19"/>
              </w:rPr>
              <w:t xml:space="preserve">Group guarantees</w:t>
            </w:r>
          </w:p>
        </w:tc>
        <w:tc>
          <w:tcPr>
            <w:tcW w:w="2589" w:type="dxa"/>
          </w:tcPr>
          <w:p>
            <w:pPr/>
            <w:r>
              <w:rPr>
                <w:sz w:val="19"/>
              </w:rPr>
              <w:t xml:space="preserve">VSLA or co-op joint liability</w:t>
            </w:r>
          </w:p>
        </w:tc>
        <w:tc>
          <w:tcPr>
            <w:tcW w:w="1680" w:type="dxa"/>
          </w:tcPr>
          <w:p>
            <w:pPr/>
            <w:r>
              <w:rPr>
                <w:sz w:val="19"/>
              </w:rPr>
              <w:t xml:space="preserve">Contract law</w:t>
            </w:r>
          </w:p>
        </w:tc>
        <w:tc>
          <w:tcPr>
            <w:tcW w:w="1518" w:type="dxa"/>
          </w:tcPr>
          <w:p>
            <w:pPr/>
            <w:r>
              <w:rPr>
                <w:sz w:val="19"/>
              </w:rPr>
              <w:t xml:space="preserve">High everywhere</w:t>
            </w:r>
          </w:p>
        </w:tc>
        <w:tc>
          <w:tcPr>
            <w:tcW w:w="1722" w:type="dxa"/>
          </w:tcPr>
          <w:p>
            <w:pPr/>
            <w:r>
              <w:rPr>
                <w:sz w:val="19"/>
              </w:rPr>
              <w:t xml:space="preserve">High: built on women's groups</w:t>
            </w:r>
          </w:p>
        </w:tc>
      </w:tr>
      <w:tr>
        <w:tc>
          <w:tcPr>
            <w:tcW w:w="1850" w:type="dxa"/>
          </w:tcPr>
          <w:p>
            <w:pPr/>
            <w:r>
              <w:rPr>
                <w:sz w:val="19"/>
              </w:rPr>
              <w:t xml:space="preserve">Community-based guarantees</w:t>
            </w:r>
          </w:p>
        </w:tc>
        <w:tc>
          <w:tcPr>
            <w:tcW w:w="2589" w:type="dxa"/>
          </w:tcPr>
          <w:p>
            <w:pPr/>
            <w:r>
              <w:rPr>
                <w:sz w:val="19"/>
              </w:rPr>
              <w:t xml:space="preserve">Conservancy, trust or CAMPFIRE deposit backing members' loans</w:t>
            </w:r>
          </w:p>
        </w:tc>
        <w:tc>
          <w:tcPr>
            <w:tcW w:w="1680" w:type="dxa"/>
          </w:tcPr>
          <w:p>
            <w:pPr/>
            <w:r>
              <w:rPr>
                <w:sz w:val="19"/>
              </w:rPr>
              <w:t xml:space="preserve">Trust or association constitution; cash collateral</w:t>
            </w:r>
          </w:p>
        </w:tc>
        <w:tc>
          <w:tcPr>
            <w:tcW w:w="1518" w:type="dxa"/>
          </w:tcPr>
          <w:p>
            <w:pPr/>
            <w:r>
              <w:rPr>
                <w:sz w:val="19"/>
              </w:rPr>
              <w:t xml:space="preserve">Medium: needs governance rules</w:t>
            </w:r>
          </w:p>
        </w:tc>
        <w:tc>
          <w:tcPr>
            <w:tcW w:w="1722" w:type="dxa"/>
          </w:tcPr>
          <w:p>
            <w:pPr/>
            <w:r>
              <w:rPr>
                <w:sz w:val="19"/>
              </w:rPr>
              <w:t xml:space="preserve">High if allocation rules reserve a share for women and youth</w:t>
            </w:r>
          </w:p>
        </w:tc>
      </w:tr>
      <w:tr>
        <w:tc>
          <w:tcPr>
            <w:tcW w:w="1850" w:type="dxa"/>
          </w:tcPr>
          <w:p>
            <w:pPr/>
            <w:r>
              <w:rPr>
                <w:sz w:val="19"/>
              </w:rPr>
              <w:t xml:space="preserve">Conservation-linked assets</w:t>
            </w:r>
          </w:p>
        </w:tc>
        <w:tc>
          <w:tcPr>
            <w:tcW w:w="2589" w:type="dxa"/>
          </w:tcPr>
          <w:p>
            <w:pPr/>
            <w:r>
              <w:rPr>
                <w:sz w:val="19"/>
              </w:rPr>
              <w:t xml:space="preserve">Wildlife Credits receivables, carbon or biodiversity credit revenues, conservation-performance contracts</w:t>
            </w:r>
          </w:p>
        </w:tc>
        <w:tc>
          <w:tcPr>
            <w:tcW w:w="1680" w:type="dxa"/>
          </w:tcPr>
          <w:p>
            <w:pPr/>
            <w:r>
              <w:rPr>
                <w:sz w:val="19"/>
              </w:rPr>
              <w:t xml:space="preserve">Contract; emerging regulation</w:t>
            </w:r>
          </w:p>
        </w:tc>
        <w:tc>
          <w:tcPr>
            <w:tcW w:w="1518" w:type="dxa"/>
          </w:tcPr>
          <w:p>
            <w:pPr/>
            <w:r>
              <w:rPr>
                <w:sz w:val="19"/>
              </w:rPr>
              <w:t xml:space="preserve">Low–medium: NA furthest advanced</w:t>
            </w:r>
          </w:p>
        </w:tc>
        <w:tc>
          <w:tcPr>
            <w:tcW w:w="1722" w:type="dxa"/>
          </w:tcPr>
          <w:p>
            <w:pPr/>
            <w:r>
              <w:rPr>
                <w:sz w:val="19"/>
              </w:rPr>
              <w:t xml:space="preserve">Medium</w:t>
            </w:r>
          </w:p>
        </w:tc>
      </w:tr>
      <w:tr>
        <w:tc>
          <w:tcPr>
            <w:tcW w:w="1850" w:type="dxa"/>
          </w:tcPr>
          <w:p>
            <w:pPr/>
            <w:r>
              <w:rPr>
                <w:sz w:val="19"/>
              </w:rPr>
              <w:t xml:space="preserve">Lease and concession rights</w:t>
            </w:r>
          </w:p>
        </w:tc>
        <w:tc>
          <w:tcPr>
            <w:tcW w:w="2589" w:type="dxa"/>
          </w:tcPr>
          <w:p>
            <w:pPr/>
            <w:r>
              <w:rPr>
                <w:sz w:val="19"/>
              </w:rPr>
              <w:t xml:space="preserve">Registered leasehold, PTO, JV lease assignment</w:t>
            </w:r>
          </w:p>
        </w:tc>
        <w:tc>
          <w:tcPr>
            <w:tcW w:w="1680" w:type="dxa"/>
          </w:tcPr>
          <w:p>
            <w:pPr/>
            <w:r>
              <w:rPr>
                <w:sz w:val="19"/>
              </w:rPr>
              <w:t xml:space="preserve">Land and lease law; landlord consent</w:t>
            </w:r>
          </w:p>
        </w:tc>
        <w:tc>
          <w:tcPr>
            <w:tcW w:w="1518" w:type="dxa"/>
          </w:tcPr>
          <w:p>
            <w:pPr/>
            <w:r>
              <w:rPr>
                <w:sz w:val="19"/>
              </w:rPr>
              <w:t xml:space="preserve">Low–medium</w:t>
            </w:r>
          </w:p>
        </w:tc>
        <w:tc>
          <w:tcPr>
            <w:tcW w:w="1722" w:type="dxa"/>
          </w:tcPr>
          <w:p>
            <w:pPr/>
            <w:r>
              <w:rPr>
                <w:sz w:val="19"/>
              </w:rPr>
              <w:t xml:space="preserve">Low unless leases are registered in women's names</w:t>
            </w:r>
          </w:p>
        </w:tc>
      </w:tr>
      <w:tr>
        <w:tc>
          <w:tcPr>
            <w:tcW w:w="1850" w:type="dxa"/>
          </w:tcPr>
          <w:p>
            <w:pPr/>
            <w:r>
              <w:rPr>
                <w:sz w:val="19"/>
              </w:rPr>
              <w:t xml:space="preserve">Cash-flow and digital data</w:t>
            </w:r>
          </w:p>
        </w:tc>
        <w:tc>
          <w:tcPr>
            <w:tcW w:w="2589" w:type="dxa"/>
          </w:tcPr>
          <w:p>
            <w:pPr/>
            <w:r>
              <w:rPr>
                <w:sz w:val="19"/>
              </w:rPr>
              <w:t xml:space="preserve">Mobile-money and POS histories as underwriting input</w:t>
            </w:r>
          </w:p>
        </w:tc>
        <w:tc>
          <w:tcPr>
            <w:tcW w:w="1680" w:type="dxa"/>
          </w:tcPr>
          <w:p>
            <w:pPr/>
            <w:r>
              <w:rPr>
                <w:sz w:val="19"/>
              </w:rPr>
              <w:t xml:space="preserve">Credit reporting acts</w:t>
            </w:r>
          </w:p>
        </w:tc>
        <w:tc>
          <w:tcPr>
            <w:tcW w:w="1518" w:type="dxa"/>
          </w:tcPr>
          <w:p>
            <w:pPr/>
            <w:r>
              <w:rPr>
                <w:sz w:val="19"/>
              </w:rPr>
              <w:t xml:space="preserve">Medium</w:t>
            </w:r>
          </w:p>
        </w:tc>
        <w:tc>
          <w:tcPr>
            <w:tcW w:w="1722" w:type="dxa"/>
          </w:tcPr>
          <w:p>
            <w:pPr/>
            <w:r>
              <w:rPr>
                <w:sz w:val="19"/>
              </w:rPr>
              <w:t xml:space="preserve">High for youth</w:t>
            </w:r>
          </w:p>
        </w:tc>
      </w:tr>
      <w:tr>
        <w:tc>
          <w:tcPr>
            <w:tcW w:w="1850" w:type="dxa"/>
          </w:tcPr>
          <w:p>
            <w:pPr/>
            <w:r>
              <w:rPr>
                <w:sz w:val="19"/>
              </w:rPr>
              <w:t xml:space="preserve">Warehouse receipts and inventory</w:t>
            </w:r>
          </w:p>
        </w:tc>
        <w:tc>
          <w:tcPr>
            <w:tcW w:w="2589" w:type="dxa"/>
          </w:tcPr>
          <w:p>
            <w:pPr/>
            <w:r>
              <w:rPr>
                <w:sz w:val="19"/>
              </w:rPr>
              <w:t xml:space="preserve">Craft stock, produce</w:t>
            </w:r>
          </w:p>
        </w:tc>
        <w:tc>
          <w:tcPr>
            <w:tcW w:w="1680" w:type="dxa"/>
          </w:tcPr>
          <w:p>
            <w:pPr/>
            <w:r>
              <w:rPr>
                <w:sz w:val="19"/>
              </w:rPr>
              <w:t xml:space="preserve">Warehouse receipts and pledge law</w:t>
            </w:r>
          </w:p>
        </w:tc>
        <w:tc>
          <w:tcPr>
            <w:tcW w:w="1518" w:type="dxa"/>
          </w:tcPr>
          <w:p>
            <w:pPr/>
            <w:r>
              <w:rPr>
                <w:sz w:val="19"/>
              </w:rPr>
              <w:t xml:space="preserve">Low</w:t>
            </w:r>
          </w:p>
        </w:tc>
        <w:tc>
          <w:tcPr>
            <w:tcW w:w="1722" w:type="dxa"/>
          </w:tcPr>
          <w:p>
            <w:pPr/>
            <w:r>
              <w:rPr>
                <w:sz w:val="19"/>
              </w:rPr>
              <w:t xml:space="preserve">Medium</w:t>
            </w:r>
          </w:p>
        </w:tc>
      </w:tr>
      <w:tr>
        <w:tc>
          <w:tcPr>
            <w:tcW w:w="1850" w:type="dxa"/>
          </w:tcPr>
          <w:p>
            <w:pPr/>
            <w:r>
              <w:rPr>
                <w:sz w:val="19"/>
              </w:rPr>
              <w:t xml:space="preserve">Personal and third-party guarantees from anchors</w:t>
            </w:r>
          </w:p>
        </w:tc>
        <w:tc>
          <w:tcPr>
            <w:tcW w:w="2589" w:type="dxa"/>
          </w:tcPr>
          <w:p>
            <w:pPr/>
            <w:r>
              <w:rPr>
                <w:sz w:val="19"/>
              </w:rPr>
              <w:t xml:space="preserve">Lodge operator guarantees a supplier's equipment loan</w:t>
            </w:r>
          </w:p>
        </w:tc>
        <w:tc>
          <w:tcPr>
            <w:tcW w:w="1680" w:type="dxa"/>
          </w:tcPr>
          <w:p>
            <w:pPr/>
            <w:r>
              <w:rPr>
                <w:sz w:val="19"/>
              </w:rPr>
              <w:t xml:space="preserve">Contract</w:t>
            </w:r>
          </w:p>
        </w:tc>
        <w:tc>
          <w:tcPr>
            <w:tcW w:w="1518" w:type="dxa"/>
          </w:tcPr>
          <w:p>
            <w:pPr/>
            <w:r>
              <w:rPr>
                <w:sz w:val="19"/>
              </w:rPr>
              <w:t xml:space="preserve">Medium</w:t>
            </w:r>
          </w:p>
        </w:tc>
        <w:tc>
          <w:tcPr>
            <w:tcW w:w="1722" w:type="dxa"/>
          </w:tcPr>
          <w:p>
            <w:pPr/>
            <w:r>
              <w:rPr>
                <w:sz w:val="19"/>
              </w:rPr>
              <w:t xml:space="preserve">High</w:t>
            </w:r>
          </w:p>
        </w:tc>
      </w:tr>
    </w:tbl>
    <w:p>
      <w:pPr/>
      <w:r>
        <w:rPr>
          <w:b/>
        </w:rPr>
        <w:t xml:space="preserve">Priority actions:</w:t>
      </w:r>
    </w:p>
    <w:p>
      <w:pPr>
        <w:pStyle w:val="ListParagraph"/>
        <w:numPr>
          <w:ilvl w:val="0"/>
          <w:numId w:val="10"/>
        </w:numPr>
      </w:pPr>
      <w:r>
        <w:t xml:space="preserve">Require partner lenders to register grant- and loan-financed movable assets in the borrower's name. Register them in the woman's or youth's name where she or he runs the enterprise.</w:t>
      </w:r>
    </w:p>
    <w:p>
      <w:pPr>
        <w:pStyle w:val="ListParagraph"/>
        <w:numPr>
          <w:ilvl w:val="0"/>
          <w:numId w:val="10"/>
        </w:numPr>
      </w:pPr>
      <w:r>
        <w:t xml:space="preserve">Remove spousal co-signature requirements for women's business loans where the law doesn't require them.</w:t>
      </w:r>
    </w:p>
    <w:p>
      <w:pPr>
        <w:pStyle w:val="ListParagraph"/>
        <w:numPr>
          <w:ilvl w:val="0"/>
          <w:numId w:val="10"/>
        </w:numPr>
      </w:pPr>
      <w:r>
        <w:t xml:space="preserve">Advocate for commencement of Botswana's Movable Property (Security Interests) Act (</w:t>
      </w:r>
      <w:hyperlink r:id="rId14" w:history="1">
        <w:r>
          <w:rPr>
            <w:rStyle w:val="Hyperlink"/>
          </w:rPr>
          <w:t xml:space="preserve">Botswana Laws</w:t>
        </w:r>
      </w:hyperlink>
      <w:r>
        <w:t xml:space="preserve">).</w:t>
      </w:r>
    </w:p>
    <w:p>
      <w:pPr>
        <w:pStyle w:val="Heading3"/>
      </w:pPr>
      <w:r>
        <w:t xml:space="preserve">6.3 Power imbalances between large operators and MSMEs (iii)</w:t>
      </w:r>
    </w:p>
    <w:p>
      <w:pPr/>
      <w:r>
        <w:t xml:space="preserve">A few large lodge groups, DMCs and hotel chains control most guest flows, procurement and pricing. Small suppliers and community partners negotiate from weakness. The anchors include Wilderness, &amp;Beyond, Great Plains, Desert &amp; Delta, Natural Selection, Gondwana, Wild Horizons, Africa Albida, Sun International and Chiawa. This affects working capital, contract quality and, as a result, bankability.</w:t>
      </w:r>
    </w:p>
    <w:p>
      <w:pPr/>
      <w:r>
        <w:rPr>
          <w:b/>
        </w:rPr>
        <w:t xml:space="preserve">(a) Payment cycles and working capital.</w:t>
      </w:r>
      <w:r>
        <w:t xml:space="preserve"> Large operators commonly pay suppliers 30–60 days after invoice, and sometimes 90–120 days. Guests, meanwhile, pre-pay lodges 50% about 90 days before arrival (</w:t>
      </w:r>
      <w:hyperlink r:id="rId15" w:history="1">
        <w:r>
          <w:rPr>
            <w:rStyle w:val="Hyperlink"/>
          </w:rPr>
          <w:t xml:space="preserve">SME South Africa</w:t>
        </w:r>
      </w:hyperlink>
      <w:r>
        <w:t xml:space="preserve">). The supplier thus lends to the buyer, a pattern documented across Southern Africa (</w:t>
      </w:r>
      <w:hyperlink r:id="rId16" w:history="1">
        <w:r>
          <w:rPr>
            <w:rStyle w:val="Hyperlink"/>
          </w:rPr>
          <w:t xml:space="preserve">Mining Weekly, Oct 2026</w:t>
        </w:r>
      </w:hyperlink>
      <w:r>
        <w:t xml:space="preserve">). For a woman-run vegetable or laundry business turning over USD 2,000 a month, a 60-day cycle locks up about USD 4,000. That is often more than her whole working capital. She can't fill a larger order without credit, and she can't get credit without a track record of larger orders.</w:t>
      </w:r>
    </w:p>
    <w:p>
      <w:pPr/>
      <w:r>
        <w:rPr>
          <w:b/>
        </w:rPr>
        <w:t xml:space="preserve">(b) Contract terms that disadvantage MSMEs</w:t>
      </w:r>
      <w:r>
        <w:t xml:space="preserve"> (</w:t>
      </w:r>
      <w:r>
        <w:rPr>
          <w:i/>
        </w:rPr>
        <w:t xml:space="preserve">indicative</w:t>
      </w:r>
      <w:r>
        <w:t xml:space="preserve">, from operator and CBNRM literature; to verify in interviews):</w:t>
      </w:r>
    </w:p>
    <w:p>
      <w:pPr>
        <w:pStyle w:val="ListParagraph"/>
        <w:numPr>
          <w:ilvl w:val="0"/>
          <w:numId w:val="11"/>
        </w:numPr>
      </w:pPr>
      <w:r>
        <w:rPr>
          <w:b/>
        </w:rPr>
        <w:t xml:space="preserve">No written contract at all.</w:t>
      </w:r>
      <w:r>
        <w:t xml:space="preserve"> Purchase orders are issued week to week, so there is nothing to assign to a lender.</w:t>
      </w:r>
    </w:p>
    <w:p>
      <w:pPr>
        <w:pStyle w:val="ListParagraph"/>
        <w:numPr>
          <w:ilvl w:val="0"/>
          <w:numId w:val="11"/>
        </w:numPr>
      </w:pPr>
      <w:r>
        <w:rPr>
          <w:b/>
        </w:rPr>
        <w:t xml:space="preserve">Unilateral cancellation and volume changes.</w:t>
      </w:r>
      <w:r>
        <w:t xml:space="preserve"> Orders are cut in the low season, or during COVID-style shocks, with no notice.</w:t>
      </w:r>
    </w:p>
    <w:p>
      <w:pPr>
        <w:pStyle w:val="ListParagraph"/>
        <w:numPr>
          <w:ilvl w:val="0"/>
          <w:numId w:val="11"/>
        </w:numPr>
      </w:pPr>
      <w:r>
        <w:rPr>
          <w:b/>
        </w:rPr>
        <w:t xml:space="preserve">Quality rejection without appeal.</w:t>
      </w:r>
      <w:r>
        <w:t xml:space="preserve"> The supplier bears the full loss.</w:t>
      </w:r>
    </w:p>
    <w:p>
      <w:pPr>
        <w:pStyle w:val="ListParagraph"/>
        <w:numPr>
          <w:ilvl w:val="0"/>
          <w:numId w:val="11"/>
        </w:numPr>
      </w:pPr>
      <w:r>
        <w:rPr>
          <w:b/>
        </w:rPr>
        <w:t xml:space="preserve">Exclusivity clauses</w:t>
      </w:r>
      <w:r>
        <w:t xml:space="preserve"> for activity operators and guides, with commission rates set by the operator (often 20–30% for DMCs and OTAs).</w:t>
      </w:r>
    </w:p>
    <w:p>
      <w:pPr>
        <w:pStyle w:val="ListParagraph"/>
        <w:numPr>
          <w:ilvl w:val="0"/>
          <w:numId w:val="11"/>
        </w:numPr>
      </w:pPr>
      <w:r>
        <w:rPr>
          <w:b/>
        </w:rPr>
        <w:t xml:space="preserve">JV and lease agreements.</w:t>
      </w:r>
      <w:r>
        <w:t xml:space="preserve"> Community partners often receive fixed fees or a revenue share calculated on operator-reported figures, with weak audit rights. Long tenures carry few performance-review clauses, and assets revert to the operator rather than the community.</w:t>
      </w:r>
    </w:p>
    <w:p>
      <w:pPr>
        <w:pStyle w:val="ListParagraph"/>
        <w:numPr>
          <w:ilvl w:val="0"/>
          <w:numId w:val="11"/>
        </w:numPr>
      </w:pPr>
      <w:r>
        <w:rPr>
          <w:b/>
        </w:rPr>
        <w:t xml:space="preserve">Payment currency mismatch.</w:t>
      </w:r>
      <w:r>
        <w:t xml:space="preserve"> Operators earn USD but pay suppliers in local currency at their own conversion rate.</w:t>
      </w:r>
    </w:p>
    <w:p>
      <w:pPr/>
      <w:r>
        <w:rPr>
          <w:b/>
        </w:rPr>
        <w:t xml:space="preserve">(c) Supply chain finance that could rebalance power:</w:t>
      </w:r>
    </w:p>
    <w:tbl>
      <w:tblPr>
        <w:tblStyle w:val="TableGrid"/>
        <w:tblW w:w="0" w:type="auto"/>
        <w:tblLayout w:type="fixed"/>
        <w:tblLook w:val="04A0" w:firstRow="1" w:lastRow="0" w:firstColumn="0" w:lastColumn="0" w:noHBand="0" w:noVBand="1"/>
      </w:tblPr>
      <w:tblGrid>
        <w:gridCol w:w="3120"/>
        <w:gridCol w:w="3120"/>
        <w:gridCol w:w="3120"/>
      </w:tblGrid>
      <w:tr>
        <w:trPr>
          <w:tblHeader/>
          <w:tblHeader w:val="true"/>
        </w:trPr>
        <w:tc>
          <w:tcPr>
            <w:tcW w:w="3120" w:type="dxa"/>
            <w:shd w:val="clear" w:color="auto" w:fill="F2F2F2"/>
          </w:tcPr>
          <w:p>
            <w:pPr/>
            <w:r>
              <w:t xml:space="preserve">Instrument</w:t>
            </w:r>
          </w:p>
        </w:tc>
        <w:tc>
          <w:tcPr>
            <w:tcW w:w="3120" w:type="dxa"/>
            <w:shd w:val="clear" w:color="auto" w:fill="F2F2F2"/>
          </w:tcPr>
          <w:p>
            <w:pPr/>
            <w:r>
              <w:t xml:space="preserve">Mechanism</w:t>
            </w:r>
          </w:p>
        </w:tc>
        <w:tc>
          <w:tcPr>
            <w:tcW w:w="3120" w:type="dxa"/>
            <w:shd w:val="clear" w:color="auto" w:fill="F2F2F2"/>
          </w:tcPr>
          <w:p>
            <w:pPr/>
            <w:r>
              <w:t xml:space="preserve">Precedent</w:t>
            </w:r>
          </w:p>
        </w:tc>
      </w:tr>
      <w:tr>
        <w:tc>
          <w:tcPr>
            <w:tcW w:w="3120" w:type="dxa"/>
          </w:tcPr>
          <w:p>
            <w:pPr/>
            <w:r>
              <w:t xml:space="preserve">Reverse factoring</w:t>
            </w:r>
          </w:p>
        </w:tc>
        <w:tc>
          <w:tcPr>
            <w:tcW w:w="3120" w:type="dxa"/>
          </w:tcPr>
          <w:p>
            <w:pPr/>
            <w:r>
              <w:t xml:space="preserve">The bank pays the MSME's approved invoice in 2–5 days at a discount priced on the </w:t>
            </w:r>
            <w:r>
              <w:rPr>
                <w:i/>
              </w:rPr>
              <w:t xml:space="preserve">anchor's</w:t>
            </w:r>
            <w:r>
              <w:t xml:space="preserve"> credit risk. The anchor pays the bank at 60 days</w:t>
            </w:r>
          </w:p>
        </w:tc>
        <w:tc>
          <w:tcPr>
            <w:tcW w:w="3120" w:type="dxa"/>
          </w:tcPr>
          <w:p>
            <w:pPr/>
            <w:r>
              <w:t xml:space="preserve">Common in corporate banking; adapt via Stanbic, FNB, Absa</w:t>
            </w:r>
          </w:p>
        </w:tc>
      </w:tr>
      <w:tr>
        <w:tc>
          <w:tcPr>
            <w:tcW w:w="3120" w:type="dxa"/>
          </w:tcPr>
          <w:p>
            <w:pPr/>
            <w:r>
              <w:t xml:space="preserve">Contract-backed supplier loans</w:t>
            </w:r>
          </w:p>
        </w:tc>
        <w:tc>
          <w:tcPr>
            <w:tcW w:w="3120" w:type="dxa"/>
          </w:tcPr>
          <w:p>
            <w:pPr/>
            <w:r>
              <w:t xml:space="preserve">A tripartite agreement in which the operator nominates the supplier, the bank lends against the contract, and the operator pays into a collection account</w:t>
            </w:r>
          </w:p>
        </w:tc>
        <w:tc>
          <w:tcPr>
            <w:tcW w:w="3120" w:type="dxa"/>
          </w:tcPr>
          <w:p>
            <w:pPr/>
            <w:r>
              <w:t xml:space="preserve">Wilderness–Stanbic Botswana, 2025 (</w:t>
            </w:r>
            <w:hyperlink r:id="rId17" w:history="1">
              <w:r>
                <w:rPr>
                  <w:rStyle w:val="Hyperlink"/>
                </w:rPr>
                <w:t xml:space="preserve">Daily News</w:t>
              </w:r>
            </w:hyperlink>
            <w:r>
              <w:t xml:space="preserve">)</w:t>
            </w:r>
          </w:p>
        </w:tc>
      </w:tr>
      <w:tr>
        <w:tc>
          <w:tcPr>
            <w:tcW w:w="3120" w:type="dxa"/>
          </w:tcPr>
          <w:p>
            <w:pPr/>
            <w:r>
              <w:t xml:space="preserve">Purchase-order finance</w:t>
            </w:r>
          </w:p>
        </w:tc>
        <w:tc>
          <w:tcPr>
            <w:tcW w:w="3120" w:type="dxa"/>
          </w:tcPr>
          <w:p>
            <w:pPr/>
            <w:r>
              <w:t xml:space="preserve">Advance of 50–70% of a confirmed order for inputs</w:t>
            </w:r>
          </w:p>
        </w:tc>
        <w:tc>
          <w:tcPr>
            <w:tcW w:w="3120" w:type="dxa"/>
          </w:tcPr>
          <w:p>
            <w:pPr/>
            <w:r>
              <w:t xml:space="preserve">Food and craft suppliers</w:t>
            </w:r>
          </w:p>
        </w:tc>
      </w:tr>
      <w:tr>
        <w:tc>
          <w:tcPr>
            <w:tcW w:w="3120" w:type="dxa"/>
          </w:tcPr>
          <w:p>
            <w:pPr/>
            <w:r>
              <w:t xml:space="preserve">Anchor-sponsored equipment leasing</w:t>
            </w:r>
          </w:p>
        </w:tc>
        <w:tc>
          <w:tcPr>
            <w:tcW w:w="3120" w:type="dxa"/>
          </w:tcPr>
          <w:p>
            <w:pPr/>
            <w:r>
              <w:t xml:space="preserve">The operator guarantees or co-signs leases for laundry, solar or cold-chain equipment used to serve it</w:t>
            </w:r>
          </w:p>
        </w:tc>
        <w:tc>
          <w:tcPr>
            <w:tcW w:w="3120" w:type="dxa"/>
          </w:tcPr>
          <w:p>
            <w:pPr/>
            <w:r>
              <w:t xml:space="preserve">Supplier-development programmes</w:t>
            </w:r>
          </w:p>
        </w:tc>
      </w:tr>
      <w:tr>
        <w:tc>
          <w:tcPr>
            <w:tcW w:w="3120" w:type="dxa"/>
          </w:tcPr>
          <w:p>
            <w:pPr/>
            <w:r>
              <w:t xml:space="preserve">Dynamic discounting</w:t>
            </w:r>
          </w:p>
        </w:tc>
        <w:tc>
          <w:tcPr>
            <w:tcW w:w="3120" w:type="dxa"/>
          </w:tcPr>
          <w:p>
            <w:pPr/>
            <w:r>
              <w:t xml:space="preserve">The operator pays early from its own cash in exchange for a small discount</w:t>
            </w:r>
          </w:p>
        </w:tc>
        <w:tc>
          <w:tcPr>
            <w:tcW w:w="3120" w:type="dxa"/>
          </w:tcPr>
          <w:p>
            <w:pPr/>
            <w:r>
              <w:t xml:space="preserve">Requires operator treasury willingness</w:t>
            </w:r>
          </w:p>
        </w:tc>
      </w:tr>
    </w:tbl>
    <w:p>
      <w:pPr/>
      <w:r>
        <w:t xml:space="preserve">The grant facility can fund three things here: the platform and onboarding costs, a first-loss on the MSME pool, and TA to help suppliers meet quality standards.</w:t>
      </w:r>
    </w:p>
    <w:p>
      <w:pPr/>
      <w:r>
        <w:rPr>
          <w:b/>
        </w:rPr>
        <w:t xml:space="preserve">(d) Dialogue platforms to address these imbalances:</w:t>
      </w:r>
    </w:p>
    <w:p>
      <w:pPr>
        <w:pStyle w:val="ListParagraph"/>
        <w:numPr>
          <w:ilvl w:val="0"/>
          <w:numId w:val="12"/>
        </w:numPr>
      </w:pPr>
      <w:r>
        <w:rPr>
          <w:b/>
        </w:rPr>
        <w:t xml:space="preserve">KAZA Tourism Supply Chain Compact.</w:t>
      </w:r>
      <w:r>
        <w:t xml:space="preserve"> Operators sign voluntary pledges: payment within 15 days for micro suppliers, written contracts, a local-procurement share, and women and youth supplier targets. A dashboard reports progress yearly to the KAZA Secretariat.</w:t>
      </w:r>
    </w:p>
    <w:p>
      <w:pPr>
        <w:pStyle w:val="ListParagraph"/>
        <w:numPr>
          <w:ilvl w:val="0"/>
          <w:numId w:val="12"/>
        </w:numPr>
      </w:pPr>
      <w:r>
        <w:rPr>
          <w:b/>
        </w:rPr>
        <w:t xml:space="preserve">National hub roundtables</w:t>
      </w:r>
      <w:r>
        <w:t xml:space="preserve">, quarterly, in Kasane/Maun, Katima Mulilo/Rundu, Livingstone and Victoria Falls. These are chaired by tourism boards (BTO, NTB, ZTA (Zambia), ZTA (Zimbabwe)) and LEA, CEEC or SMEDCO, with operator associations, MSME associations, women's and youth groups, and banks.</w:t>
      </w:r>
    </w:p>
    <w:p>
      <w:pPr>
        <w:pStyle w:val="ListParagraph"/>
        <w:numPr>
          <w:ilvl w:val="0"/>
          <w:numId w:val="12"/>
        </w:numPr>
      </w:pPr>
      <w:r>
        <w:rPr>
          <w:b/>
        </w:rPr>
        <w:t xml:space="preserve">Model contract working group.</w:t>
      </w:r>
      <w:r>
        <w:t xml:space="preserve"> HATAB, FENATA, TCZ, TBCSA-type bodies, CBNRM associations (NACSO, BOCOBONET) and lawyers develop standard supply contracts and JV clauses: audit rights, performance review, women's and youth employment.</w:t>
      </w:r>
    </w:p>
    <w:p>
      <w:pPr>
        <w:pStyle w:val="ListParagraph"/>
        <w:numPr>
          <w:ilvl w:val="0"/>
          <w:numId w:val="12"/>
        </w:numPr>
      </w:pPr>
      <w:r>
        <w:rPr>
          <w:b/>
        </w:rPr>
        <w:t xml:space="preserve">Grievance and mediation channel</w:t>
      </w:r>
      <w:r>
        <w:t xml:space="preserve"> for suppliers and community partners, hosted by a neutral body such as a chamber of commerce or the CBNRM association.</w:t>
      </w:r>
    </w:p>
    <w:p>
      <w:pPr>
        <w:pStyle w:val="ListParagraph"/>
        <w:numPr>
          <w:ilvl w:val="0"/>
          <w:numId w:val="12"/>
        </w:numPr>
      </w:pPr>
      <w:r>
        <w:rPr>
          <w:b/>
        </w:rPr>
        <w:t xml:space="preserve">Annual KAZA R-NBT Finance Forum</w:t>
      </w:r>
      <w:r>
        <w:t xml:space="preserve"> where operators, lenders and MSMEs review supply-chain finance performance.</w:t>
      </w:r>
    </w:p>
    <w:p>
      <w:pPr>
        <w:pStyle w:val="Heading3"/>
      </w:pPr>
      <w:r>
        <w:t xml:space="preserve">6.4 Root causes (iv)</w:t>
      </w:r>
    </w:p>
    <w:p>
      <w:pPr/>
      <w:r>
        <w:t xml:space="preserve">The visible barriers (no collateral, high rates, rejection) trace back to three root causes. Each one reinforces the other two.</w:t>
      </w:r>
    </w:p>
    <w:tbl>
      <w:tblPr>
        <w:tblStyle w:val="TableGrid"/>
        <w:tblW w:w="0" w:type="auto"/>
        <w:tblLayout w:type="fixed"/>
        <w:tblLook w:val="04A0" w:firstRow="1" w:lastRow="0" w:firstColumn="0" w:lastColumn="0" w:noHBand="0" w:noVBand="1"/>
        <w:tblLayout w:type="fixed"/>
      </w:tblPr>
      <w:tblGrid>
        <w:gridCol w:w="1115"/>
        <w:gridCol w:w="2705"/>
        <w:gridCol w:w="2669"/>
        <w:gridCol w:w="2868"/>
      </w:tblGrid>
      <w:tr>
        <w:trPr>
          <w:tblHeader/>
          <w:tblHeader w:val="true"/>
        </w:trPr>
        <w:tc>
          <w:tcPr>
            <w:tcW w:w="1116" w:type="dxa"/>
            <w:shd w:val="clear" w:color="auto" w:fill="F2F2F2"/>
          </w:tcPr>
          <w:p>
            <w:pPr/>
            <w:r>
              <w:rPr>
                <w:sz w:val="19"/>
              </w:rPr>
              <w:t xml:space="preserve">Root cause</w:t>
            </w:r>
          </w:p>
        </w:tc>
        <w:tc>
          <w:tcPr>
            <w:tcW w:w="2706" w:type="dxa"/>
            <w:shd w:val="clear" w:color="auto" w:fill="F2F2F2"/>
          </w:tcPr>
          <w:p>
            <w:pPr/>
            <w:r>
              <w:rPr>
                <w:sz w:val="19"/>
              </w:rPr>
              <w:t xml:space="preserve">How it shows up</w:t>
            </w:r>
          </w:p>
        </w:tc>
        <w:tc>
          <w:tcPr>
            <w:tcW w:w="2670" w:type="dxa"/>
            <w:shd w:val="clear" w:color="auto" w:fill="F2F2F2"/>
          </w:tcPr>
          <w:p>
            <w:pPr/>
            <w:r>
              <w:rPr>
                <w:sz w:val="19"/>
              </w:rPr>
              <w:t xml:space="preserve">Gendered and youth effect</w:t>
            </w:r>
          </w:p>
        </w:tc>
        <w:tc>
          <w:tcPr>
            <w:tcW w:w="2869" w:type="dxa"/>
            <w:shd w:val="clear" w:color="auto" w:fill="F2F2F2"/>
          </w:tcPr>
          <w:p>
            <w:pPr/>
            <w:r>
              <w:rPr>
                <w:sz w:val="19"/>
              </w:rPr>
              <w:t xml:space="preserve">Fix that addresses the cause</w:t>
            </w:r>
          </w:p>
        </w:tc>
      </w:tr>
      <w:tr>
        <w:tc>
          <w:tcPr>
            <w:tcW w:w="1116" w:type="dxa"/>
          </w:tcPr>
          <w:p>
            <w:pPr/>
            <w:r>
              <w:rPr>
                <w:sz w:val="19"/>
              </w:rPr>
              <w:t xml:space="preserve">Information asymmetries</w:t>
            </w:r>
          </w:p>
        </w:tc>
        <w:tc>
          <w:tcPr>
            <w:tcW w:w="2706" w:type="dxa"/>
          </w:tcPr>
          <w:p>
            <w:pPr/>
            <w:r>
              <w:rPr>
                <w:sz w:val="19"/>
              </w:rPr>
              <w:t xml:space="preserve">MSMEs lack records, audited accounts and credit files. Lenders lack sector data on seasonality, default rates and R-NBT business models. MSMEs don't know what products exist</w:t>
            </w:r>
          </w:p>
        </w:tc>
        <w:tc>
          <w:tcPr>
            <w:tcW w:w="2670" w:type="dxa"/>
          </w:tcPr>
          <w:p>
            <w:pPr/>
            <w:r>
              <w:rPr>
                <w:sz w:val="19"/>
              </w:rPr>
              <w:t xml:space="preserve">Women's businesses are mixed with household cash; youth have no credit file. Fewer women hear of products (about 60% of women consulted in Zimbabwe didn't know the Women's Microfinance Bank)</w:t>
            </w:r>
          </w:p>
        </w:tc>
        <w:tc>
          <w:tcPr>
            <w:tcW w:w="2869" w:type="dxa"/>
          </w:tcPr>
          <w:p>
            <w:pPr/>
            <w:r>
              <w:rPr>
                <w:sz w:val="19"/>
              </w:rPr>
              <w:t xml:space="preserve">Digital bookkeeping and payment trails, shared KAZA sector data, product fairs through VSLAs and conservancies</w:t>
            </w:r>
          </w:p>
        </w:tc>
      </w:tr>
      <w:tr>
        <w:tc>
          <w:tcPr>
            <w:tcW w:w="1116" w:type="dxa"/>
          </w:tcPr>
          <w:p>
            <w:pPr/>
            <w:r>
              <w:rPr>
                <w:sz w:val="19"/>
              </w:rPr>
              <w:t xml:space="preserve">High transaction costs</w:t>
            </w:r>
          </w:p>
        </w:tc>
        <w:tc>
          <w:tcPr>
            <w:tcW w:w="2706" w:type="dxa"/>
          </w:tcPr>
          <w:p>
            <w:pPr/>
            <w:r>
              <w:rPr>
                <w:sz w:val="19"/>
              </w:rPr>
              <w:t xml:space="preserve">Distances of 300–1,000 km to credit decision centres (Windhoek, Gaborone, Lusaka, Harare, Luanda). Small tickets make fixed appraisal costs prohibitive</w:t>
            </w:r>
          </w:p>
        </w:tc>
        <w:tc>
          <w:tcPr>
            <w:tcW w:w="2670" w:type="dxa"/>
          </w:tcPr>
          <w:p>
            <w:pPr/>
            <w:r>
              <w:rPr>
                <w:sz w:val="19"/>
              </w:rPr>
              <w:t xml:space="preserve">Women face time and mobility constraints. Youth applications are small and numerous</w:t>
            </w:r>
          </w:p>
        </w:tc>
        <w:tc>
          <w:tcPr>
            <w:tcW w:w="2869" w:type="dxa"/>
          </w:tcPr>
          <w:p>
            <w:pPr/>
            <w:r>
              <w:rPr>
                <w:sz w:val="19"/>
              </w:rPr>
              <w:t xml:space="preserve">Portfolio approaches, digital origination, BSO pre-screening, field agents in hubs</w:t>
            </w:r>
          </w:p>
        </w:tc>
      </w:tr>
      <w:tr>
        <w:tc>
          <w:tcPr>
            <w:tcW w:w="1116" w:type="dxa"/>
          </w:tcPr>
          <w:p>
            <w:pPr/>
            <w:r>
              <w:rPr>
                <w:sz w:val="19"/>
              </w:rPr>
              <w:t xml:space="preserve">Collateral requirements</w:t>
            </w:r>
          </w:p>
        </w:tc>
        <w:tc>
          <w:tcPr>
            <w:tcW w:w="2706" w:type="dxa"/>
          </w:tcPr>
          <w:p>
            <w:pPr/>
            <w:r>
              <w:rPr>
                <w:sz w:val="19"/>
              </w:rPr>
              <w:t xml:space="preserve">Banks ask for 100–150% of the loan in immovable collateral</w:t>
            </w:r>
          </w:p>
        </w:tc>
        <w:tc>
          <w:tcPr>
            <w:tcW w:w="2670" w:type="dxa"/>
          </w:tcPr>
          <w:p>
            <w:pPr/>
            <w:r>
              <w:rPr>
                <w:sz w:val="19"/>
              </w:rPr>
              <w:t xml:space="preserve">Women and youth rarely hold titled land or vehicles</w:t>
            </w:r>
          </w:p>
        </w:tc>
        <w:tc>
          <w:tcPr>
            <w:tcW w:w="2869" w:type="dxa"/>
          </w:tcPr>
          <w:p>
            <w:pPr/>
            <w:r>
              <w:rPr>
                <w:sz w:val="19"/>
              </w:rPr>
              <w:t xml:space="preserve">Guarantees, movable and receivables collateral, cash-flow lending (6.2)</w:t>
            </w:r>
          </w:p>
        </w:tc>
      </w:tr>
    </w:tbl>
    <w:p>
      <w:pPr/>
      <w:r>
        <w:t xml:space="preserve">Underneath all three sits </w:t>
      </w:r>
      <w:r>
        <w:rPr>
          <w:i/>
        </w:rPr>
        <w:t xml:space="preserve">perceived</w:t>
      </w:r>
      <w:r>
        <w:t xml:space="preserve"> rather than </w:t>
      </w:r>
      <w:r>
        <w:rPr>
          <w:i/>
        </w:rPr>
        <w:t xml:space="preserve">measured</w:t>
      </w:r>
      <w:r>
        <w:t xml:space="preserve"> risk. Lenders have almost no repayment data on tourism MSMEs in KAZA, so they price for the worst case. The facility should therefore publish anonymised portfolio performance by gender, age, segment and season.</w:t>
      </w:r>
    </w:p>
    <w:p>
      <w:pPr>
        <w:pStyle w:val="Heading3"/>
      </w:pPr>
      <w:r>
        <w:t xml:space="preserve">6.5 How financial institutions view risk across MSME categories (v)</w:t>
      </w:r>
    </w:p>
    <w:p>
      <w:pPr/>
      <w:r>
        <w:t xml:space="preserve">Section 3.1 rates perceived risk by category. Three patterns matter for design:</w:t>
      </w:r>
    </w:p>
    <w:p>
      <w:pPr>
        <w:pStyle w:val="ListParagraph"/>
        <w:numPr>
          <w:ilvl w:val="0"/>
          <w:numId w:val="13"/>
        </w:numPr>
      </w:pPr>
      <w:r>
        <w:rPr>
          <w:b/>
        </w:rPr>
        <w:t xml:space="preserve">Risk ranking follows assets, not viability.</w:t>
      </w:r>
      <w:r>
        <w:t xml:space="preserve"> Asset-heavy, male-dominated transport is rated lower risk than women's food supply, even though food supply may have steadier cash flow.</w:t>
      </w:r>
    </w:p>
    <w:p>
      <w:pPr>
        <w:pStyle w:val="ListParagraph"/>
        <w:numPr>
          <w:ilvl w:val="0"/>
          <w:numId w:val="13"/>
        </w:numPr>
      </w:pPr>
      <w:r>
        <w:rPr>
          <w:b/>
        </w:rPr>
        <w:t xml:space="preserve">Community ownership is penalised for governance, not for business risk.</w:t>
      </w:r>
      <w:r>
        <w:t xml:space="preserve"> Lenders cite elite capture, disputes and committee turnover.</w:t>
      </w:r>
    </w:p>
    <w:p>
      <w:pPr>
        <w:pStyle w:val="ListParagraph"/>
        <w:numPr>
          <w:ilvl w:val="0"/>
          <w:numId w:val="13"/>
        </w:numPr>
      </w:pPr>
      <w:r>
        <w:rPr>
          <w:b/>
        </w:rPr>
        <w:t xml:space="preserve">Youth risk is about the absence of history.</w:t>
      </w:r>
      <w:r>
        <w:t xml:space="preserve"> A guarantee plus 2–3 seasons of repayment data could move youth-led firms into standard credit.</w:t>
      </w:r>
    </w:p>
    <w:p>
      <w:pPr>
        <w:pStyle w:val="Heading3"/>
      </w:pPr>
      <w:r>
        <w:t xml:space="preserve">6.6 Lender expectations, gaps and regenerative NBT knowledge (vi)</w:t>
      </w:r>
    </w:p>
    <w:tbl>
      <w:tblPr>
        <w:tblStyle w:val="TableGrid"/>
        <w:tblW w:w="0" w:type="auto"/>
        <w:tblLayout w:type="fixed"/>
        <w:tblLook w:val="04A0" w:firstRow="1" w:lastRow="0" w:firstColumn="0" w:lastColumn="0" w:noHBand="0" w:noVBand="1"/>
        <w:tblLayout w:type="fixed"/>
      </w:tblPr>
      <w:tblGrid>
        <w:gridCol w:w="2496"/>
        <w:gridCol w:w="2326"/>
        <w:gridCol w:w="1467"/>
        <w:gridCol w:w="3069"/>
      </w:tblGrid>
      <w:tr>
        <w:trPr>
          <w:tblHeader/>
          <w:tblHeader w:val="true"/>
        </w:trPr>
        <w:tc>
          <w:tcPr>
            <w:tcW w:w="2497" w:type="dxa"/>
            <w:shd w:val="clear" w:color="auto" w:fill="F2F2F2"/>
          </w:tcPr>
          <w:p>
            <w:pPr/>
            <w:r>
              <w:rPr>
                <w:sz w:val="19"/>
              </w:rPr>
              <w:t xml:space="preserve">Lender expectation</w:t>
            </w:r>
          </w:p>
        </w:tc>
        <w:tc>
          <w:tcPr>
            <w:tcW w:w="2327" w:type="dxa"/>
            <w:shd w:val="clear" w:color="auto" w:fill="F2F2F2"/>
          </w:tcPr>
          <w:p>
            <w:pPr/>
            <w:r>
              <w:rPr>
                <w:sz w:val="19"/>
              </w:rPr>
              <w:t xml:space="preserve">Typical MSME reality</w:t>
            </w:r>
          </w:p>
        </w:tc>
        <w:tc>
          <w:tcPr>
            <w:tcW w:w="1468" w:type="dxa"/>
            <w:shd w:val="clear" w:color="auto" w:fill="F2F2F2"/>
          </w:tcPr>
          <w:p>
            <w:pPr/>
            <w:r>
              <w:rPr>
                <w:sz w:val="19"/>
              </w:rPr>
              <w:t xml:space="preserve">Gap</w:t>
            </w:r>
          </w:p>
        </w:tc>
        <w:tc>
          <w:tcPr>
            <w:tcW w:w="3069" w:type="dxa"/>
            <w:shd w:val="clear" w:color="auto" w:fill="F2F2F2"/>
          </w:tcPr>
          <w:p>
            <w:pPr/>
            <w:r>
              <w:rPr>
                <w:sz w:val="19"/>
              </w:rPr>
              <w:t xml:space="preserve">Bridge</w:t>
            </w:r>
          </w:p>
        </w:tc>
      </w:tr>
      <w:tr>
        <w:tc>
          <w:tcPr>
            <w:tcW w:w="2497" w:type="dxa"/>
          </w:tcPr>
          <w:p>
            <w:pPr/>
            <w:r>
              <w:rPr>
                <w:sz w:val="19"/>
              </w:rPr>
              <w:t xml:space="preserve">12–36 months of financial records, bank statements</w:t>
            </w:r>
          </w:p>
        </w:tc>
        <w:tc>
          <w:tcPr>
            <w:tcW w:w="2327" w:type="dxa"/>
          </w:tcPr>
          <w:p>
            <w:pPr/>
            <w:r>
              <w:rPr>
                <w:sz w:val="19"/>
              </w:rPr>
              <w:t xml:space="preserve">Cash, mobile money, exercise-book records</w:t>
            </w:r>
          </w:p>
        </w:tc>
        <w:tc>
          <w:tcPr>
            <w:tcW w:w="1468" w:type="dxa"/>
          </w:tcPr>
          <w:p>
            <w:pPr/>
            <w:r>
              <w:rPr>
                <w:sz w:val="19"/>
              </w:rPr>
              <w:t xml:space="preserve">Large</w:t>
            </w:r>
          </w:p>
        </w:tc>
        <w:tc>
          <w:tcPr>
            <w:tcW w:w="3069" w:type="dxa"/>
          </w:tcPr>
          <w:p>
            <w:pPr/>
            <w:r>
              <w:rPr>
                <w:sz w:val="19"/>
              </w:rPr>
              <w:t xml:space="preserve">Simple digital bookkeeping app, 6 months of mobile-money statements accepted</w:t>
            </w:r>
          </w:p>
        </w:tc>
      </w:tr>
      <w:tr>
        <w:tc>
          <w:tcPr>
            <w:tcW w:w="2497" w:type="dxa"/>
          </w:tcPr>
          <w:p>
            <w:pPr/>
            <w:r>
              <w:rPr>
                <w:sz w:val="19"/>
              </w:rPr>
              <w:t xml:space="preserve">Business plan with cash-flow projections</w:t>
            </w:r>
          </w:p>
        </w:tc>
        <w:tc>
          <w:tcPr>
            <w:tcW w:w="2327" w:type="dxa"/>
          </w:tcPr>
          <w:p>
            <w:pPr/>
            <w:r>
              <w:rPr>
                <w:sz w:val="19"/>
              </w:rPr>
              <w:t xml:space="preserve">No plan, or plans written for grant applications</w:t>
            </w:r>
          </w:p>
        </w:tc>
        <w:tc>
          <w:tcPr>
            <w:tcW w:w="1468" w:type="dxa"/>
          </w:tcPr>
          <w:p>
            <w:pPr/>
            <w:r>
              <w:rPr>
                <w:sz w:val="19"/>
              </w:rPr>
              <w:t xml:space="preserve">Large</w:t>
            </w:r>
          </w:p>
        </w:tc>
        <w:tc>
          <w:tcPr>
            <w:tcW w:w="3069" w:type="dxa"/>
          </w:tcPr>
          <w:p>
            <w:pPr/>
            <w:r>
              <w:rPr>
                <w:sz w:val="19"/>
              </w:rPr>
              <w:t xml:space="preserve">Standard one-page plan plus a 12-month seasonal cash-flow template</w:t>
            </w:r>
          </w:p>
        </w:tc>
      </w:tr>
      <w:tr>
        <w:tc>
          <w:tcPr>
            <w:tcW w:w="2497" w:type="dxa"/>
          </w:tcPr>
          <w:p>
            <w:pPr/>
            <w:r>
              <w:rPr>
                <w:sz w:val="19"/>
              </w:rPr>
              <w:t xml:space="preserve">Registration, tax clearance, tourism licence</w:t>
            </w:r>
          </w:p>
        </w:tc>
        <w:tc>
          <w:tcPr>
            <w:tcW w:w="2327" w:type="dxa"/>
          </w:tcPr>
          <w:p>
            <w:pPr/>
            <w:r>
              <w:rPr>
                <w:sz w:val="19"/>
              </w:rPr>
              <w:t xml:space="preserve">Many operate unlicensed or with expired licences</w:t>
            </w:r>
          </w:p>
        </w:tc>
        <w:tc>
          <w:tcPr>
            <w:tcW w:w="1468" w:type="dxa"/>
          </w:tcPr>
          <w:p>
            <w:pPr/>
            <w:r>
              <w:rPr>
                <w:sz w:val="19"/>
              </w:rPr>
              <w:t xml:space="preserve">Medium</w:t>
            </w:r>
          </w:p>
        </w:tc>
        <w:tc>
          <w:tcPr>
            <w:tcW w:w="3069" w:type="dxa"/>
          </w:tcPr>
          <w:p>
            <w:pPr/>
            <w:r>
              <w:rPr>
                <w:sz w:val="19"/>
              </w:rPr>
              <w:t xml:space="preserve">Licensing support funded as an eligible grant cost</w:t>
            </w:r>
          </w:p>
        </w:tc>
      </w:tr>
      <w:tr>
        <w:tc>
          <w:tcPr>
            <w:tcW w:w="2497" w:type="dxa"/>
          </w:tcPr>
          <w:p>
            <w:pPr/>
            <w:r>
              <w:rPr>
                <w:sz w:val="19"/>
              </w:rPr>
              <w:t xml:space="preserve">Collateral of 100–150%</w:t>
            </w:r>
          </w:p>
        </w:tc>
        <w:tc>
          <w:tcPr>
            <w:tcW w:w="2327" w:type="dxa"/>
          </w:tcPr>
          <w:p>
            <w:pPr/>
            <w:r>
              <w:rPr>
                <w:sz w:val="19"/>
              </w:rPr>
              <w:t xml:space="preserve">Communal land</w:t>
            </w:r>
          </w:p>
        </w:tc>
        <w:tc>
          <w:tcPr>
            <w:tcW w:w="1468" w:type="dxa"/>
          </w:tcPr>
          <w:p>
            <w:pPr/>
            <w:r>
              <w:rPr>
                <w:sz w:val="19"/>
              </w:rPr>
              <w:t xml:space="preserve">Very large</w:t>
            </w:r>
          </w:p>
        </w:tc>
        <w:tc>
          <w:tcPr>
            <w:tcW w:w="3069" w:type="dxa"/>
          </w:tcPr>
          <w:p>
            <w:pPr/>
            <w:r>
              <w:rPr>
                <w:sz w:val="19"/>
              </w:rPr>
              <w:t xml:space="preserve">See 6.2</w:t>
            </w:r>
          </w:p>
        </w:tc>
      </w:tr>
      <w:tr>
        <w:tc>
          <w:tcPr>
            <w:tcW w:w="2497" w:type="dxa"/>
          </w:tcPr>
          <w:p>
            <w:pPr/>
            <w:r>
              <w:rPr>
                <w:sz w:val="19"/>
              </w:rPr>
              <w:t xml:space="preserve">Own contribution of 20–30%</w:t>
            </w:r>
          </w:p>
        </w:tc>
        <w:tc>
          <w:tcPr>
            <w:tcW w:w="2327" w:type="dxa"/>
          </w:tcPr>
          <w:p>
            <w:pPr/>
            <w:r>
              <w:rPr>
                <w:sz w:val="19"/>
              </w:rPr>
              <w:t xml:space="preserve">Little cash equity</w:t>
            </w:r>
          </w:p>
        </w:tc>
        <w:tc>
          <w:tcPr>
            <w:tcW w:w="1468" w:type="dxa"/>
          </w:tcPr>
          <w:p>
            <w:pPr/>
            <w:r>
              <w:rPr>
                <w:sz w:val="19"/>
              </w:rPr>
              <w:t xml:space="preserve">Large for start-ups</w:t>
            </w:r>
          </w:p>
        </w:tc>
        <w:tc>
          <w:tcPr>
            <w:tcW w:w="3069" w:type="dxa"/>
          </w:tcPr>
          <w:p>
            <w:pPr/>
            <w:r>
              <w:rPr>
                <w:sz w:val="19"/>
              </w:rPr>
              <w:t xml:space="preserve">Counted in kind; grants as quasi-equity</w:t>
            </w:r>
          </w:p>
        </w:tc>
      </w:tr>
      <w:tr>
        <w:tc>
          <w:tcPr>
            <w:tcW w:w="2497" w:type="dxa"/>
          </w:tcPr>
          <w:p>
            <w:pPr/>
            <w:r>
              <w:rPr>
                <w:sz w:val="19"/>
              </w:rPr>
              <w:t xml:space="preserve">Market evidence (contracts, bookings)</w:t>
            </w:r>
          </w:p>
        </w:tc>
        <w:tc>
          <w:tcPr>
            <w:tcW w:w="2327" w:type="dxa"/>
          </w:tcPr>
          <w:p>
            <w:pPr/>
            <w:r>
              <w:rPr>
                <w:sz w:val="19"/>
              </w:rPr>
              <w:t xml:space="preserve">Verbal agreements with lodges</w:t>
            </w:r>
          </w:p>
        </w:tc>
        <w:tc>
          <w:tcPr>
            <w:tcW w:w="1468" w:type="dxa"/>
          </w:tcPr>
          <w:p>
            <w:pPr/>
            <w:r>
              <w:rPr>
                <w:sz w:val="19"/>
              </w:rPr>
              <w:t xml:space="preserve">Medium</w:t>
            </w:r>
          </w:p>
        </w:tc>
        <w:tc>
          <w:tcPr>
            <w:tcW w:w="3069" w:type="dxa"/>
          </w:tcPr>
          <w:p>
            <w:pPr/>
            <w:r>
              <w:rPr>
                <w:sz w:val="19"/>
              </w:rPr>
              <w:t xml:space="preserve">Written contracts via the Supply Chain Compact</w:t>
            </w:r>
          </w:p>
        </w:tc>
      </w:tr>
      <w:tr>
        <w:tc>
          <w:tcPr>
            <w:tcW w:w="2497" w:type="dxa"/>
          </w:tcPr>
          <w:p>
            <w:pPr/>
            <w:r>
              <w:rPr>
                <w:sz w:val="19"/>
              </w:rPr>
              <w:t xml:space="preserve">E&amp;S compliance</w:t>
            </w:r>
          </w:p>
        </w:tc>
        <w:tc>
          <w:tcPr>
            <w:tcW w:w="2327" w:type="dxa"/>
          </w:tcPr>
          <w:p>
            <w:pPr/>
            <w:r>
              <w:rPr>
                <w:sz w:val="19"/>
              </w:rPr>
              <w:t xml:space="preserve">Not documented</w:t>
            </w:r>
          </w:p>
        </w:tc>
        <w:tc>
          <w:tcPr>
            <w:tcW w:w="1468" w:type="dxa"/>
          </w:tcPr>
          <w:p>
            <w:pPr/>
            <w:r>
              <w:rPr>
                <w:sz w:val="19"/>
              </w:rPr>
              <w:t xml:space="preserve">Medium</w:t>
            </w:r>
          </w:p>
        </w:tc>
        <w:tc>
          <w:tcPr>
            <w:tcW w:w="3069" w:type="dxa"/>
          </w:tcPr>
          <w:p>
            <w:pPr/>
            <w:r>
              <w:rPr>
                <w:sz w:val="19"/>
              </w:rPr>
              <w:t xml:space="preserve">Simple R-NBT checklist (below)</w:t>
            </w:r>
          </w:p>
        </w:tc>
      </w:tr>
    </w:tbl>
    <w:p>
      <w:pPr/>
      <w:r>
        <w:rPr>
          <w:b/>
        </w:rPr>
        <w:t xml:space="preserve">Knowledge gaps on regenerative NBT principles:</w:t>
      </w:r>
    </w:p>
    <w:p>
      <w:pPr>
        <w:pStyle w:val="ListParagraph"/>
        <w:numPr>
          <w:ilvl w:val="0"/>
          <w:numId w:val="14"/>
        </w:numPr>
      </w:pPr>
      <w:r>
        <w:rPr>
          <w:b/>
        </w:rPr>
        <w:t xml:space="preserve">MSMEs</w:t>
      </w:r>
      <w:r>
        <w:t xml:space="preserve"> often don't know how to show regenerative practice in terms lenders value. Examples are lower energy and water costs from solar and boreholes, premium pricing from certification (Fair Trade Tourism, Eco Awards Namibia, Botswana Ecotourism Certification), access to Wildlife Credits and conservation-linked revenues, or operator preference for verified local suppliers.</w:t>
      </w:r>
    </w:p>
    <w:p>
      <w:pPr>
        <w:pStyle w:val="ListParagraph"/>
        <w:numPr>
          <w:ilvl w:val="0"/>
          <w:numId w:val="14"/>
        </w:numPr>
      </w:pPr>
      <w:r>
        <w:rPr>
          <w:b/>
        </w:rPr>
        <w:t xml:space="preserve">Lenders</w:t>
      </w:r>
      <w:r>
        <w:t xml:space="preserve"> rarely understand regenerative criteria. They see conservation features as cost rather than resilience. They don't price the lower climate and shock risk of diversified, community-anchored businesses, and they lack a taxonomy to tag loans as green or nature-positive for their own ESG and DFI reporting.</w:t>
      </w:r>
    </w:p>
    <w:p>
      <w:pPr>
        <w:pStyle w:val="ListParagraph"/>
        <w:numPr>
          <w:ilvl w:val="0"/>
          <w:numId w:val="14"/>
        </w:numPr>
      </w:pPr>
      <w:r>
        <w:rPr>
          <w:b/>
        </w:rPr>
        <w:t xml:space="preserve">Shared gap:</w:t>
      </w:r>
      <w:r>
        <w:t xml:space="preserve"> no common, simple R-NBT definition. The facility should adopt a 10-point </w:t>
      </w:r>
      <w:r>
        <w:rPr>
          <w:i/>
        </w:rPr>
        <w:t xml:space="preserve">KAZA R-NBT checklist</w:t>
      </w:r>
      <w:r>
        <w:t xml:space="preserve"> covering energy, water, waste, biodiversity contribution, community benefit, women's and youth employment, local procurement, cultural integrity, wildlife-conflict mitigation and climate resilience. It should be usable by MSMEs for self-assessment and by lenders for tagging.</w:t>
      </w:r>
    </w:p>
    <w:p>
      <w:pPr>
        <w:pStyle w:val="Heading3"/>
      </w:pPr>
      <w:r>
        <w:t xml:space="preserve">6.7 Trust-building dialogue topics (vii)</w:t>
      </w:r>
    </w:p>
    <w:p>
      <w:pPr/>
      <w:r>
        <w:t xml:space="preserve">These topics are for MSME–lender–operator dialogues, ranked by expected effect on trust:</w:t>
      </w:r>
    </w:p>
    <w:p>
      <w:pPr>
        <w:pStyle w:val="ListParagraph"/>
        <w:numPr>
          <w:ilvl w:val="0"/>
          <w:numId w:val="15"/>
        </w:numPr>
      </w:pPr>
      <w:r>
        <w:rPr>
          <w:b/>
        </w:rPr>
        <w:t xml:space="preserve">What lenders actually need.</w:t>
      </w:r>
      <w:r>
        <w:t xml:space="preserve"> A walk-through of credit assessment, why loans are rejected, and what an acceptable record looks like. Run it in local languages through VSLAs and conservancies.</w:t>
      </w:r>
    </w:p>
    <w:p>
      <w:pPr>
        <w:pStyle w:val="ListParagraph"/>
        <w:numPr>
          <w:ilvl w:val="0"/>
          <w:numId w:val="15"/>
        </w:numPr>
      </w:pPr>
      <w:r>
        <w:rPr>
          <w:b/>
        </w:rPr>
        <w:t xml:space="preserve">Seasonality in practice.</w:t>
      </w:r>
      <w:r>
        <w:t xml:space="preserve"> MSMEs show real cash-flow calendars, and lenders present seasonal products. Together they co-design repayment schedules.</w:t>
      </w:r>
    </w:p>
    <w:p>
      <w:pPr>
        <w:pStyle w:val="ListParagraph"/>
        <w:numPr>
          <w:ilvl w:val="0"/>
          <w:numId w:val="15"/>
        </w:numPr>
      </w:pPr>
      <w:r>
        <w:rPr>
          <w:b/>
        </w:rPr>
        <w:t xml:space="preserve">Collateral alternatives.</w:t>
      </w:r>
      <w:r>
        <w:t xml:space="preserve"> How registries work and what movable assets and contracts can secure, with a myth-busting session on land.</w:t>
      </w:r>
    </w:p>
    <w:p>
      <w:pPr>
        <w:pStyle w:val="ListParagraph"/>
        <w:numPr>
          <w:ilvl w:val="0"/>
          <w:numId w:val="15"/>
        </w:numPr>
      </w:pPr>
      <w:r>
        <w:rPr>
          <w:b/>
        </w:rPr>
        <w:t xml:space="preserve">Payment terms and contracts.</w:t>
      </w:r>
      <w:r>
        <w:t xml:space="preserve"> Operators and suppliers negotiate the Compact's terms.</w:t>
      </w:r>
    </w:p>
    <w:p>
      <w:pPr>
        <w:pStyle w:val="ListParagraph"/>
        <w:numPr>
          <w:ilvl w:val="0"/>
          <w:numId w:val="15"/>
        </w:numPr>
      </w:pPr>
      <w:r>
        <w:rPr>
          <w:b/>
        </w:rPr>
        <w:t xml:space="preserve">Pricing transparency.</w:t>
      </w:r>
      <w:r>
        <w:t xml:space="preserve"> The effective interest rate, fees and the real cost of moneylenders compared with formal credit.</w:t>
      </w:r>
    </w:p>
    <w:p>
      <w:pPr>
        <w:pStyle w:val="ListParagraph"/>
        <w:numPr>
          <w:ilvl w:val="0"/>
          <w:numId w:val="15"/>
        </w:numPr>
      </w:pPr>
      <w:r>
        <w:rPr>
          <w:b/>
        </w:rPr>
        <w:t xml:space="preserve">Default and shock handling.</w:t>
      </w:r>
      <w:r>
        <w:t xml:space="preserve"> What happens in a drought or a closure, and pre-agreed shock clauses.</w:t>
      </w:r>
    </w:p>
    <w:p>
      <w:pPr>
        <w:pStyle w:val="ListParagraph"/>
        <w:numPr>
          <w:ilvl w:val="0"/>
          <w:numId w:val="15"/>
        </w:numPr>
      </w:pPr>
      <w:r>
        <w:rPr>
          <w:b/>
        </w:rPr>
        <w:t xml:space="preserve">Women- and youth-specific barriers.</w:t>
      </w:r>
      <w:r>
        <w:t xml:space="preserve"> Spousal consent, mobility, childcare and harassment risks. These are run as safe, women-only and youth-only sessions.</w:t>
      </w:r>
    </w:p>
    <w:p>
      <w:pPr>
        <w:pStyle w:val="ListParagraph"/>
        <w:numPr>
          <w:ilvl w:val="0"/>
          <w:numId w:val="15"/>
        </w:numPr>
      </w:pPr>
      <w:r>
        <w:rPr>
          <w:b/>
        </w:rPr>
        <w:t xml:space="preserve">Regenerative value.</w:t>
      </w:r>
      <w:r>
        <w:t xml:space="preserve"> How conservation and community features reduce risk, and how lenders can tag and report them.</w:t>
      </w:r>
    </w:p>
    <w:p>
      <w:pPr>
        <w:pStyle w:val="ListParagraph"/>
        <w:numPr>
          <w:ilvl w:val="0"/>
          <w:numId w:val="15"/>
        </w:numPr>
      </w:pPr>
      <w:r>
        <w:rPr>
          <w:b/>
        </w:rPr>
        <w:t xml:space="preserve">Data sharing and consent.</w:t>
      </w:r>
      <w:r>
        <w:t xml:space="preserve"> How mobile-money and VSLA data can be used for credit without loss of privacy.</w:t>
      </w:r>
    </w:p>
    <w:p>
      <w:pPr>
        <w:pStyle w:val="ListParagraph"/>
        <w:numPr>
          <w:ilvl w:val="0"/>
          <w:numId w:val="15"/>
        </w:numPr>
      </w:pPr>
      <w:r>
        <w:rPr>
          <w:b/>
        </w:rPr>
        <w:t xml:space="preserve">Community governance.</w:t>
      </w:r>
      <w:r>
        <w:t xml:space="preserve"> How trusts and conservancies can make their funds credible to banks.</w:t>
      </w:r>
    </w:p>
    <w:p>
      <w:pPr>
        <w:pStyle w:val="Heading3"/>
      </w:pPr>
      <w:r>
        <w:t xml:space="preserve">6.8 Barriers and opportunities for connecting MSMEs and capital providers (viii)</w:t>
      </w:r>
    </w:p>
    <w:tbl>
      <w:tblPr>
        <w:tblStyle w:val="TableGrid"/>
        <w:tblW w:w="0" w:type="auto"/>
        <w:tblLayout w:type="fixed"/>
        <w:tblLook w:val="04A0" w:firstRow="1" w:lastRow="0" w:firstColumn="0" w:lastColumn="0" w:noHBand="0" w:noVBand="1"/>
      </w:tblPr>
      <w:tblGrid>
        <w:gridCol w:w="4680"/>
        <w:gridCol w:w="4680"/>
      </w:tblGrid>
      <w:tr>
        <w:trPr>
          <w:tblHeader/>
          <w:tblHeader w:val="true"/>
        </w:trPr>
        <w:tc>
          <w:tcPr>
            <w:tcW w:w="4680" w:type="dxa"/>
            <w:shd w:val="clear" w:color="auto" w:fill="F2F2F2"/>
          </w:tcPr>
          <w:p>
            <w:pPr/>
            <w:r>
              <w:t xml:space="preserve">Barrier</w:t>
            </w:r>
          </w:p>
        </w:tc>
        <w:tc>
          <w:tcPr>
            <w:tcW w:w="4680" w:type="dxa"/>
            <w:shd w:val="clear" w:color="auto" w:fill="F2F2F2"/>
          </w:tcPr>
          <w:p>
            <w:pPr/>
            <w:r>
              <w:t xml:space="preserve">Opportunity</w:t>
            </w:r>
          </w:p>
        </w:tc>
      </w:tr>
      <w:tr>
        <w:tc>
          <w:tcPr>
            <w:tcW w:w="4680" w:type="dxa"/>
          </w:tcPr>
          <w:p>
            <w:pPr/>
            <w:r>
              <w:t xml:space="preserve">Credit decisions sit in capitals; hub branches have low approval limits</w:t>
            </w:r>
          </w:p>
        </w:tc>
        <w:tc>
          <w:tcPr>
            <w:tcW w:w="4680" w:type="dxa"/>
          </w:tcPr>
          <w:p>
            <w:pPr/>
            <w:r>
              <w:t xml:space="preserve">Delegated authority for guaranteed tourism portfolios; mobile loan officers on hub rotations</w:t>
            </w:r>
          </w:p>
        </w:tc>
      </w:tr>
      <w:tr>
        <w:tc>
          <w:tcPr>
            <w:tcW w:w="4680" w:type="dxa"/>
          </w:tcPr>
          <w:p>
            <w:pPr/>
            <w:r>
              <w:t xml:space="preserve">No investment-ready pipeline; BSOs and NGOs work in silos</w:t>
            </w:r>
          </w:p>
        </w:tc>
        <w:tc>
          <w:tcPr>
            <w:tcW w:w="4680" w:type="dxa"/>
          </w:tcPr>
          <w:p>
            <w:pPr/>
            <w:r>
              <w:t xml:space="preserve">One KAZA MSME pipeline with a shared diagnostic, run by BSOs (LEA, NTB/SME units, CEEC, SMEDCO, INAPEM) and NGOs</w:t>
            </w:r>
          </w:p>
        </w:tc>
      </w:tr>
      <w:tr>
        <w:tc>
          <w:tcPr>
            <w:tcW w:w="4680" w:type="dxa"/>
          </w:tcPr>
          <w:p>
            <w:pPr/>
            <w:r>
              <w:t xml:space="preserve">Grant programmes don't hand MSMEs on to lenders</w:t>
            </w:r>
          </w:p>
        </w:tc>
        <w:tc>
          <w:tcPr>
            <w:tcW w:w="4680" w:type="dxa"/>
          </w:tcPr>
          <w:p>
            <w:pPr/>
            <w:r>
              <w:t xml:space="preserve">Grant-to-loan graduation built into the facility (Window C requires a lender)</w:t>
            </w:r>
          </w:p>
        </w:tc>
      </w:tr>
      <w:tr>
        <w:tc>
          <w:tcPr>
            <w:tcW w:w="4680" w:type="dxa"/>
          </w:tcPr>
          <w:p>
            <w:pPr/>
            <w:r>
              <w:t xml:space="preserve">MSMEs distrust banks after rejections and high fees</w:t>
            </w:r>
          </w:p>
        </w:tc>
        <w:tc>
          <w:tcPr>
            <w:tcW w:w="4680" w:type="dxa"/>
          </w:tcPr>
          <w:p>
            <w:pPr/>
            <w:r>
              <w:t xml:space="preserve">Trust-building dialogues (6.7); lender clinics at VSLA and conservancy meetings</w:t>
            </w:r>
          </w:p>
        </w:tc>
      </w:tr>
      <w:tr>
        <w:tc>
          <w:tcPr>
            <w:tcW w:w="4680" w:type="dxa"/>
          </w:tcPr>
          <w:p>
            <w:pPr/>
            <w:r>
              <w:t xml:space="preserve">Language barriers: Portuguese in Angola; Silozi, Setswana, Ndebele, Tonga and others</w:t>
            </w:r>
          </w:p>
        </w:tc>
        <w:tc>
          <w:tcPr>
            <w:tcW w:w="4680" w:type="dxa"/>
          </w:tcPr>
          <w:p>
            <w:pPr/>
            <w:r>
              <w:t xml:space="preserve">Materials translated, local facilitators</w:t>
            </w:r>
          </w:p>
        </w:tc>
      </w:tr>
      <w:tr>
        <w:tc>
          <w:tcPr>
            <w:tcW w:w="4680" w:type="dxa"/>
          </w:tcPr>
          <w:p>
            <w:pPr/>
            <w:r>
              <w:t xml:space="preserve">Cross-border firms (Kazungula, Victoria Falls–Livingstone, Ngoma) can't use one lender</w:t>
            </w:r>
          </w:p>
        </w:tc>
        <w:tc>
          <w:tcPr>
            <w:tcW w:w="4680" w:type="dxa"/>
          </w:tcPr>
          <w:p>
            <w:pPr/>
            <w:r>
              <w:t xml:space="preserve">Aligned guarantee terms across CGS, ZCGS and ECGC; regional counter-guarantee</w:t>
            </w:r>
          </w:p>
        </w:tc>
      </w:tr>
      <w:tr>
        <w:tc>
          <w:tcPr>
            <w:tcW w:w="4680" w:type="dxa"/>
          </w:tcPr>
          <w:p>
            <w:pPr/>
            <w:r>
              <w:t xml:space="preserve">Digital exclusion of older women; data costs for youth</w:t>
            </w:r>
          </w:p>
        </w:tc>
        <w:tc>
          <w:tcPr>
            <w:tcW w:w="4680" w:type="dxa"/>
          </w:tcPr>
          <w:p>
            <w:pPr/>
            <w:r>
              <w:t xml:space="preserve">Agent-assisted digital onboarding; zero-rated booking and finance apps</w:t>
            </w:r>
          </w:p>
        </w:tc>
      </w:tr>
      <w:tr>
        <w:tc>
          <w:tcPr>
            <w:tcW w:w="4680" w:type="dxa"/>
          </w:tcPr>
          <w:p>
            <w:pPr/>
            <w:r>
              <w:t xml:space="preserve">USAID withdrawal in 2025 removed key TA providers</w:t>
            </w:r>
          </w:p>
        </w:tc>
        <w:tc>
          <w:tcPr>
            <w:tcW w:w="4680" w:type="dxa"/>
          </w:tcPr>
          <w:p>
            <w:pPr/>
            <w:r>
              <w:t xml:space="preserve">EU–German R-NBT action and foundations fill the TA gap; co-funding with the World Bank Zambia tourism project</w:t>
            </w:r>
          </w:p>
        </w:tc>
      </w:tr>
    </w:tbl>
    <w:p>
      <w:pPr/>
      <w:r>
        <w:t xml:space="preserve">The project could act as a </w:t>
      </w:r>
      <w:r>
        <w:rPr>
          <w:b/>
        </w:rPr>
        <w:t xml:space="preserve">matchmaking function</w:t>
      </w:r>
      <w:r>
        <w:t xml:space="preserve"> with four parts: a pipeline platform, quarterly deal days in each hub, a lender-of-record roster in each country, and a dashboard tracking applications, approvals and rejection reasons by gender and age.</w:t>
      </w:r>
    </w:p>
    <w:p>
      <w:pPr>
        <w:pStyle w:val="Heading3"/>
      </w:pPr>
      <w:r>
        <w:t xml:space="preserve">6.9 Preferences: seed funding vs growth grants (ix)</w:t>
      </w:r>
    </w:p>
    <w:p>
      <w:pPr/>
      <w:r>
        <w:t xml:space="preserve">Preferences vary by stage and by who leads the firm. These are </w:t>
      </w:r>
      <w:r>
        <w:rPr>
          <w:i/>
        </w:rPr>
        <w:t xml:space="preserve">indicative</w:t>
      </w:r>
      <w:r>
        <w:t xml:space="preserve">, from programme experience, and to be tested in the baseline survey.</w:t>
      </w:r>
    </w:p>
    <w:tbl>
      <w:tblPr>
        <w:tblStyle w:val="TableGrid"/>
        <w:tblW w:w="0" w:type="auto"/>
        <w:tblLayout w:type="fixed"/>
        <w:tblLook w:val="04A0" w:firstRow="1" w:lastRow="0" w:firstColumn="0" w:lastColumn="0" w:noHBand="0" w:noVBand="1"/>
        <w:tblLayout w:type="fixed"/>
      </w:tblPr>
      <w:tblGrid>
        <w:gridCol w:w="1442"/>
        <w:gridCol w:w="2952"/>
        <w:gridCol w:w="2632"/>
        <w:gridCol w:w="2332"/>
      </w:tblGrid>
      <w:tr>
        <w:trPr>
          <w:tblHeader/>
          <w:tblHeader w:val="true"/>
        </w:trPr>
        <w:tc>
          <w:tcPr>
            <w:tcW w:w="1442" w:type="dxa"/>
            <w:shd w:val="clear" w:color="auto" w:fill="F2F2F2"/>
          </w:tcPr>
          <w:p>
            <w:pPr/>
            <w:r>
              <w:rPr>
                <w:sz w:val="19"/>
              </w:rPr>
              <w:t xml:space="preserve">Group</w:t>
            </w:r>
          </w:p>
        </w:tc>
        <w:tc>
          <w:tcPr>
            <w:tcW w:w="2953" w:type="dxa"/>
            <w:shd w:val="clear" w:color="auto" w:fill="F2F2F2"/>
          </w:tcPr>
          <w:p>
            <w:pPr/>
            <w:r>
              <w:rPr>
                <w:sz w:val="19"/>
              </w:rPr>
              <w:t xml:space="preserve">Likely preference</w:t>
            </w:r>
          </w:p>
        </w:tc>
        <w:tc>
          <w:tcPr>
            <w:tcW w:w="2632" w:type="dxa"/>
            <w:shd w:val="clear" w:color="auto" w:fill="F2F2F2"/>
          </w:tcPr>
          <w:p>
            <w:pPr/>
            <w:r>
              <w:rPr>
                <w:sz w:val="19"/>
              </w:rPr>
              <w:t xml:space="preserve">Why</w:t>
            </w:r>
          </w:p>
        </w:tc>
        <w:tc>
          <w:tcPr>
            <w:tcW w:w="2333" w:type="dxa"/>
            <w:shd w:val="clear" w:color="auto" w:fill="F2F2F2"/>
          </w:tcPr>
          <w:p>
            <w:pPr/>
            <w:r>
              <w:rPr>
                <w:sz w:val="19"/>
              </w:rPr>
              <w:t xml:space="preserve">Design implication</w:t>
            </w:r>
          </w:p>
        </w:tc>
      </w:tr>
      <w:tr>
        <w:tc>
          <w:tcPr>
            <w:tcW w:w="1442" w:type="dxa"/>
          </w:tcPr>
          <w:p>
            <w:pPr/>
            <w:r>
              <w:rPr>
                <w:sz w:val="19"/>
              </w:rPr>
              <w:t xml:space="preserve">Youth-led start-ups</w:t>
            </w:r>
          </w:p>
        </w:tc>
        <w:tc>
          <w:tcPr>
            <w:tcW w:w="2953" w:type="dxa"/>
          </w:tcPr>
          <w:p>
            <w:pPr/>
            <w:r>
              <w:rPr>
                <w:sz w:val="19"/>
              </w:rPr>
              <w:t xml:space="preserve">Seed grants (in-kind assets plus mentoring)</w:t>
            </w:r>
          </w:p>
        </w:tc>
        <w:tc>
          <w:tcPr>
            <w:tcW w:w="2632" w:type="dxa"/>
          </w:tcPr>
          <w:p>
            <w:pPr/>
            <w:r>
              <w:rPr>
                <w:sz w:val="19"/>
              </w:rPr>
              <w:t xml:space="preserve">No capital or credit history; need first asset and market entry</w:t>
            </w:r>
          </w:p>
        </w:tc>
        <w:tc>
          <w:tcPr>
            <w:tcW w:w="2333" w:type="dxa"/>
          </w:tcPr>
          <w:p>
            <w:pPr/>
            <w:r>
              <w:rPr>
                <w:sz w:val="19"/>
              </w:rPr>
              <w:t xml:space="preserve">Window A, quick decisions, cohort mentoring</w:t>
            </w:r>
          </w:p>
        </w:tc>
      </w:tr>
      <w:tr>
        <w:tc>
          <w:tcPr>
            <w:tcW w:w="1442" w:type="dxa"/>
          </w:tcPr>
          <w:p>
            <w:pPr/>
            <w:r>
              <w:rPr>
                <w:sz w:val="19"/>
              </w:rPr>
              <w:t xml:space="preserve">Women-led micro enterprises</w:t>
            </w:r>
          </w:p>
        </w:tc>
        <w:tc>
          <w:tcPr>
            <w:tcW w:w="2953" w:type="dxa"/>
          </w:tcPr>
          <w:p>
            <w:pPr/>
            <w:r>
              <w:rPr>
                <w:sz w:val="19"/>
              </w:rPr>
              <w:t xml:space="preserve">Small seed or growth grants, paid in tranches, combined with VSLA or group credit</w:t>
            </w:r>
          </w:p>
        </w:tc>
        <w:tc>
          <w:tcPr>
            <w:tcW w:w="2632" w:type="dxa"/>
          </w:tcPr>
          <w:p>
            <w:pPr/>
            <w:r>
              <w:rPr>
                <w:sz w:val="19"/>
              </w:rPr>
              <w:t xml:space="preserve">Debt aversion after past over-indebtedness; working-capital needs</w:t>
            </w:r>
          </w:p>
        </w:tc>
        <w:tc>
          <w:tcPr>
            <w:tcW w:w="2333" w:type="dxa"/>
          </w:tcPr>
          <w:p>
            <w:pPr/>
            <w:r>
              <w:rPr>
                <w:sz w:val="19"/>
              </w:rPr>
              <w:t xml:space="preserve">Windows A and B; tranches tied to milestones; no land collateral</w:t>
            </w:r>
          </w:p>
        </w:tc>
      </w:tr>
      <w:tr>
        <w:tc>
          <w:tcPr>
            <w:tcW w:w="1442" w:type="dxa"/>
          </w:tcPr>
          <w:p>
            <w:pPr/>
            <w:r>
              <w:rPr>
                <w:sz w:val="19"/>
              </w:rPr>
              <w:t xml:space="preserve">Community enterprises</w:t>
            </w:r>
          </w:p>
        </w:tc>
        <w:tc>
          <w:tcPr>
            <w:tcW w:w="2953" w:type="dxa"/>
          </w:tcPr>
          <w:p>
            <w:pPr/>
            <w:r>
              <w:rPr>
                <w:sz w:val="19"/>
              </w:rPr>
              <w:t xml:space="preserve">Growth grants for facilities, matched by community funds</w:t>
            </w:r>
          </w:p>
        </w:tc>
        <w:tc>
          <w:tcPr>
            <w:tcW w:w="2632" w:type="dxa"/>
          </w:tcPr>
          <w:p>
            <w:pPr/>
            <w:r>
              <w:rPr>
                <w:sz w:val="19"/>
              </w:rPr>
              <w:t xml:space="preserve">Collective assets, governance processes</w:t>
            </w:r>
          </w:p>
        </w:tc>
        <w:tc>
          <w:tcPr>
            <w:tcW w:w="2333" w:type="dxa"/>
          </w:tcPr>
          <w:p>
            <w:pPr/>
            <w:r>
              <w:rPr>
                <w:sz w:val="19"/>
              </w:rPr>
              <w:t xml:space="preserve">Window B with governance conditions</w:t>
            </w:r>
          </w:p>
        </w:tc>
      </w:tr>
      <w:tr>
        <w:tc>
          <w:tcPr>
            <w:tcW w:w="1442" w:type="dxa"/>
          </w:tcPr>
          <w:p>
            <w:pPr/>
            <w:r>
              <w:rPr>
                <w:sz w:val="19"/>
              </w:rPr>
              <w:t xml:space="preserve">Emerging formal MSMEs</w:t>
            </w:r>
          </w:p>
        </w:tc>
        <w:tc>
          <w:tcPr>
            <w:tcW w:w="2953" w:type="dxa"/>
          </w:tcPr>
          <w:p>
            <w:pPr/>
            <w:r>
              <w:rPr>
                <w:sz w:val="19"/>
              </w:rPr>
              <w:t xml:space="preserve">Growth grants that unlock loans</w:t>
            </w:r>
          </w:p>
        </w:tc>
        <w:tc>
          <w:tcPr>
            <w:tcW w:w="2632" w:type="dxa"/>
          </w:tcPr>
          <w:p>
            <w:pPr/>
            <w:r>
              <w:rPr>
                <w:sz w:val="19"/>
              </w:rPr>
              <w:t xml:space="preserve">Have some capacity to borrow; grant lowers risk</w:t>
            </w:r>
          </w:p>
        </w:tc>
        <w:tc>
          <w:tcPr>
            <w:tcW w:w="2333" w:type="dxa"/>
          </w:tcPr>
          <w:p>
            <w:pPr/>
            <w:r>
              <w:rPr>
                <w:sz w:val="19"/>
              </w:rPr>
              <w:t xml:space="preserve">Window B or C</w:t>
            </w:r>
          </w:p>
        </w:tc>
      </w:tr>
      <w:tr>
        <w:tc>
          <w:tcPr>
            <w:tcW w:w="1442" w:type="dxa"/>
          </w:tcPr>
          <w:p>
            <w:pPr/>
            <w:r>
              <w:rPr>
                <w:sz w:val="19"/>
              </w:rPr>
              <w:t xml:space="preserve">Scaling MSMEs</w:t>
            </w:r>
          </w:p>
        </w:tc>
        <w:tc>
          <w:tcPr>
            <w:tcW w:w="2953" w:type="dxa"/>
          </w:tcPr>
          <w:p>
            <w:pPr/>
            <w:r>
              <w:rPr>
                <w:sz w:val="19"/>
              </w:rPr>
              <w:t xml:space="preserve">Leverage grants or first-loss rather than outright grants</w:t>
            </w:r>
          </w:p>
        </w:tc>
        <w:tc>
          <w:tcPr>
            <w:tcW w:w="2632" w:type="dxa"/>
          </w:tcPr>
          <w:p>
            <w:pPr/>
            <w:r>
              <w:rPr>
                <w:sz w:val="19"/>
              </w:rPr>
              <w:t xml:space="preserve">Capital needs exceed grant sizes</w:t>
            </w:r>
          </w:p>
        </w:tc>
        <w:tc>
          <w:tcPr>
            <w:tcW w:w="2333" w:type="dxa"/>
          </w:tcPr>
          <w:p>
            <w:pPr/>
            <w:r>
              <w:rPr>
                <w:sz w:val="19"/>
              </w:rPr>
              <w:t xml:space="preserve">Window C, with a lender term sheet required</w:t>
            </w:r>
          </w:p>
        </w:tc>
      </w:tr>
    </w:tbl>
    <w:p>
      <w:pPr/>
      <w:r>
        <w:t xml:space="preserve">The split should be about </w:t>
      </w:r>
      <w:r>
        <w:rPr>
          <w:b/>
        </w:rPr>
        <w:t xml:space="preserve">35% seed and 65% growth or scale by value</w:t>
      </w:r>
      <w:r>
        <w:t xml:space="preserve">, but 60% seed by number of grants. This lets the facility reach many women and youth while placing most money where it leverages debt.</w:t>
      </w:r>
    </w:p>
    <w:p>
      <w:pPr>
        <w:pStyle w:val="Heading3"/>
      </w:pPr>
      <w:r>
        <w:t xml:space="preserve">6.10 Realistic matching contribution capacity (x)</w:t>
      </w:r>
    </w:p>
    <w:p>
      <w:pPr/>
      <w:r>
        <w:t xml:space="preserve">A flat 20% or 50% match would select for already-advantaged applicants. Matching should rise with stage and be adjusted for women, youth and community applicants.</w:t>
      </w:r>
    </w:p>
    <w:tbl>
      <w:tblPr>
        <w:tblStyle w:val="TableGrid"/>
        <w:tblW w:w="0" w:type="auto"/>
        <w:tblLayout w:type="fixed"/>
        <w:tblLook w:val="04A0" w:firstRow="1" w:lastRow="0" w:firstColumn="0" w:lastColumn="0" w:noHBand="0" w:noVBand="1"/>
        <w:tblLayout w:type="fixed"/>
      </w:tblPr>
      <w:tblGrid>
        <w:gridCol w:w="1807"/>
        <w:gridCol w:w="1615"/>
        <w:gridCol w:w="1908"/>
        <w:gridCol w:w="1321"/>
        <w:gridCol w:w="2707"/>
      </w:tblGrid>
      <w:tr>
        <w:trPr>
          <w:tblHeader/>
          <w:tblHeader w:val="true"/>
        </w:trPr>
        <w:tc>
          <w:tcPr>
            <w:tcW w:w="1807" w:type="dxa"/>
            <w:shd w:val="clear" w:color="auto" w:fill="F2F2F2"/>
          </w:tcPr>
          <w:p>
            <w:pPr/>
            <w:r>
              <w:rPr>
                <w:sz w:val="19"/>
              </w:rPr>
              <w:t xml:space="preserve">Applicant</w:t>
            </w:r>
          </w:p>
        </w:tc>
        <w:tc>
          <w:tcPr>
            <w:tcW w:w="1615" w:type="dxa"/>
            <w:shd w:val="clear" w:color="auto" w:fill="F2F2F2"/>
          </w:tcPr>
          <w:p>
            <w:pPr/>
            <w:r>
              <w:rPr>
                <w:sz w:val="19"/>
              </w:rPr>
              <w:t xml:space="preserve">Realistic cash capacity</w:t>
            </w:r>
          </w:p>
        </w:tc>
        <w:tc>
          <w:tcPr>
            <w:tcW w:w="1909" w:type="dxa"/>
            <w:shd w:val="clear" w:color="auto" w:fill="F2F2F2"/>
          </w:tcPr>
          <w:p>
            <w:pPr/>
            <w:r>
              <w:rPr>
                <w:sz w:val="19"/>
              </w:rPr>
              <w:t xml:space="preserve">Recommended match</w:t>
            </w:r>
          </w:p>
        </w:tc>
        <w:tc>
          <w:tcPr>
            <w:tcW w:w="1322" w:type="dxa"/>
            <w:shd w:val="clear" w:color="auto" w:fill="F2F2F2"/>
          </w:tcPr>
          <w:p>
            <w:pPr/>
            <w:r>
              <w:rPr>
                <w:sz w:val="19"/>
              </w:rPr>
              <w:t xml:space="preserve">Of which in kind allowed</w:t>
            </w:r>
          </w:p>
        </w:tc>
        <w:tc>
          <w:tcPr>
            <w:tcW w:w="2707" w:type="dxa"/>
            <w:shd w:val="clear" w:color="auto" w:fill="F2F2F2"/>
          </w:tcPr>
          <w:p>
            <w:pPr/>
            <w:r>
              <w:rPr>
                <w:sz w:val="19"/>
              </w:rPr>
              <w:t xml:space="preserve">Comment</w:t>
            </w:r>
          </w:p>
        </w:tc>
      </w:tr>
      <w:tr>
        <w:tc>
          <w:tcPr>
            <w:tcW w:w="1807" w:type="dxa"/>
          </w:tcPr>
          <w:p>
            <w:pPr/>
            <w:r>
              <w:rPr>
                <w:sz w:val="19"/>
              </w:rPr>
              <w:t xml:space="preserve">Youth-led start-up</w:t>
            </w:r>
          </w:p>
        </w:tc>
        <w:tc>
          <w:tcPr>
            <w:tcW w:w="1615" w:type="dxa"/>
          </w:tcPr>
          <w:p>
            <w:pPr/>
            <w:r>
              <w:rPr>
                <w:sz w:val="19"/>
              </w:rPr>
              <w:t xml:space="preserve">0–5%</w:t>
            </w:r>
          </w:p>
        </w:tc>
        <w:tc>
          <w:tcPr>
            <w:tcW w:w="1909" w:type="dxa"/>
          </w:tcPr>
          <w:p>
            <w:pPr/>
            <w:r>
              <w:rPr>
                <w:b/>
                <w:sz w:val="19"/>
              </w:rPr>
              <w:t xml:space="preserve">10%</w:t>
            </w:r>
          </w:p>
        </w:tc>
        <w:tc>
          <w:tcPr>
            <w:tcW w:w="1322" w:type="dxa"/>
          </w:tcPr>
          <w:p>
            <w:pPr/>
            <w:r>
              <w:rPr>
                <w:sz w:val="19"/>
              </w:rPr>
              <w:t xml:space="preserve">Up to 100%</w:t>
            </w:r>
          </w:p>
        </w:tc>
        <w:tc>
          <w:tcPr>
            <w:tcW w:w="2707" w:type="dxa"/>
          </w:tcPr>
          <w:p>
            <w:pPr/>
            <w:r>
              <w:rPr>
                <w:sz w:val="19"/>
              </w:rPr>
              <w:t xml:space="preserve">Labour, materials, VSLA savings count</w:t>
            </w:r>
          </w:p>
        </w:tc>
      </w:tr>
      <w:tr>
        <w:tc>
          <w:tcPr>
            <w:tcW w:w="1807" w:type="dxa"/>
          </w:tcPr>
          <w:p>
            <w:pPr/>
            <w:r>
              <w:rPr>
                <w:sz w:val="19"/>
              </w:rPr>
              <w:t xml:space="preserve">Women-led micro, start-up or emerging</w:t>
            </w:r>
          </w:p>
        </w:tc>
        <w:tc>
          <w:tcPr>
            <w:tcW w:w="1615" w:type="dxa"/>
          </w:tcPr>
          <w:p>
            <w:pPr/>
            <w:r>
              <w:rPr>
                <w:sz w:val="19"/>
              </w:rPr>
              <w:t xml:space="preserve">5–15%</w:t>
            </w:r>
          </w:p>
        </w:tc>
        <w:tc>
          <w:tcPr>
            <w:tcW w:w="1909" w:type="dxa"/>
          </w:tcPr>
          <w:p>
            <w:pPr/>
            <w:r>
              <w:rPr>
                <w:b/>
                <w:sz w:val="19"/>
              </w:rPr>
              <w:t xml:space="preserve">10–15%</w:t>
            </w:r>
          </w:p>
        </w:tc>
        <w:tc>
          <w:tcPr>
            <w:tcW w:w="1322" w:type="dxa"/>
          </w:tcPr>
          <w:p>
            <w:pPr/>
            <w:r>
              <w:rPr>
                <w:sz w:val="19"/>
              </w:rPr>
              <w:t xml:space="preserve">Up to 75%</w:t>
            </w:r>
          </w:p>
        </w:tc>
        <w:tc>
          <w:tcPr>
            <w:tcW w:w="2707" w:type="dxa"/>
          </w:tcPr>
          <w:p>
            <w:pPr/>
            <w:r>
              <w:rPr>
                <w:sz w:val="19"/>
              </w:rPr>
              <w:t xml:space="preserve">VSLA savings and group contributions count</w:t>
            </w:r>
          </w:p>
        </w:tc>
      </w:tr>
      <w:tr>
        <w:tc>
          <w:tcPr>
            <w:tcW w:w="1807" w:type="dxa"/>
          </w:tcPr>
          <w:p>
            <w:pPr/>
            <w:r>
              <w:rPr>
                <w:sz w:val="19"/>
              </w:rPr>
              <w:t xml:space="preserve">Community enterprise</w:t>
            </w:r>
          </w:p>
        </w:tc>
        <w:tc>
          <w:tcPr>
            <w:tcW w:w="1615" w:type="dxa"/>
          </w:tcPr>
          <w:p>
            <w:pPr/>
            <w:r>
              <w:rPr>
                <w:sz w:val="19"/>
              </w:rPr>
              <w:t xml:space="preserve">10–20% (from JV or CAMPFIRE income)</w:t>
            </w:r>
          </w:p>
        </w:tc>
        <w:tc>
          <w:tcPr>
            <w:tcW w:w="1909" w:type="dxa"/>
          </w:tcPr>
          <w:p>
            <w:pPr/>
            <w:r>
              <w:rPr>
                <w:b/>
                <w:sz w:val="19"/>
              </w:rPr>
              <w:t xml:space="preserve">20%</w:t>
            </w:r>
          </w:p>
        </w:tc>
        <w:tc>
          <w:tcPr>
            <w:tcW w:w="1322" w:type="dxa"/>
          </w:tcPr>
          <w:p>
            <w:pPr/>
            <w:r>
              <w:rPr>
                <w:sz w:val="19"/>
              </w:rPr>
              <w:t xml:space="preserve">Up to 50%</w:t>
            </w:r>
          </w:p>
        </w:tc>
        <w:tc>
          <w:tcPr>
            <w:tcW w:w="2707" w:type="dxa"/>
          </w:tcPr>
          <w:p>
            <w:pPr/>
            <w:r>
              <w:rPr>
                <w:sz w:val="19"/>
              </w:rPr>
              <w:t xml:space="preserve">Community fund deposit counts</w:t>
            </w:r>
          </w:p>
        </w:tc>
      </w:tr>
      <w:tr>
        <w:tc>
          <w:tcPr>
            <w:tcW w:w="1807" w:type="dxa"/>
          </w:tcPr>
          <w:p>
            <w:pPr/>
            <w:r>
              <w:rPr>
                <w:sz w:val="19"/>
              </w:rPr>
              <w:t xml:space="preserve">Emerging MSME (any)</w:t>
            </w:r>
          </w:p>
        </w:tc>
        <w:tc>
          <w:tcPr>
            <w:tcW w:w="1615" w:type="dxa"/>
          </w:tcPr>
          <w:p>
            <w:pPr/>
            <w:r>
              <w:rPr>
                <w:sz w:val="19"/>
              </w:rPr>
              <w:t xml:space="preserve">15–25%</w:t>
            </w:r>
          </w:p>
        </w:tc>
        <w:tc>
          <w:tcPr>
            <w:tcW w:w="1909" w:type="dxa"/>
          </w:tcPr>
          <w:p>
            <w:pPr/>
            <w:r>
              <w:rPr>
                <w:b/>
                <w:sz w:val="19"/>
              </w:rPr>
              <w:t xml:space="preserve">25–30%</w:t>
            </w:r>
          </w:p>
        </w:tc>
        <w:tc>
          <w:tcPr>
            <w:tcW w:w="1322" w:type="dxa"/>
          </w:tcPr>
          <w:p>
            <w:pPr/>
            <w:r>
              <w:rPr>
                <w:sz w:val="19"/>
              </w:rPr>
              <w:t xml:space="preserve">Up to 50%</w:t>
            </w:r>
          </w:p>
        </w:tc>
        <w:tc>
          <w:tcPr>
            <w:tcW w:w="2707" w:type="dxa"/>
          </w:tcPr>
          <w:p>
            <w:pPr/>
            <w:r>
              <w:rPr>
                <w:sz w:val="19"/>
              </w:rPr>
              <w:t xml:space="preserve">20% feasible; above 30% excludes</w:t>
            </w:r>
          </w:p>
        </w:tc>
      </w:tr>
      <w:tr>
        <w:tc>
          <w:tcPr>
            <w:tcW w:w="1807" w:type="dxa"/>
          </w:tcPr>
          <w:p>
            <w:pPr/>
            <w:r>
              <w:rPr>
                <w:sz w:val="19"/>
              </w:rPr>
              <w:t xml:space="preserve">Scaling MSME</w:t>
            </w:r>
          </w:p>
        </w:tc>
        <w:tc>
          <w:tcPr>
            <w:tcW w:w="1615" w:type="dxa"/>
          </w:tcPr>
          <w:p>
            <w:pPr/>
            <w:r>
              <w:rPr>
                <w:sz w:val="19"/>
              </w:rPr>
              <w:t xml:space="preserve">30–50% (incl. loans)</w:t>
            </w:r>
          </w:p>
        </w:tc>
        <w:tc>
          <w:tcPr>
            <w:tcW w:w="1909" w:type="dxa"/>
          </w:tcPr>
          <w:p>
            <w:pPr/>
            <w:r>
              <w:rPr>
                <w:b/>
                <w:sz w:val="19"/>
              </w:rPr>
              <w:t xml:space="preserve">50%</w:t>
            </w:r>
          </w:p>
        </w:tc>
        <w:tc>
          <w:tcPr>
            <w:tcW w:w="1322" w:type="dxa"/>
          </w:tcPr>
          <w:p>
            <w:pPr/>
            <w:r>
              <w:rPr>
                <w:sz w:val="19"/>
              </w:rPr>
              <w:t xml:space="preserve">Up to 20%</w:t>
            </w:r>
          </w:p>
        </w:tc>
        <w:tc>
          <w:tcPr>
            <w:tcW w:w="2707" w:type="dxa"/>
          </w:tcPr>
          <w:p>
            <w:pPr/>
            <w:r>
              <w:rPr>
                <w:sz w:val="19"/>
              </w:rPr>
              <w:t xml:space="preserve">At least half of the match from a loan</w:t>
            </w:r>
          </w:p>
        </w:tc>
      </w:tr>
    </w:tbl>
    <w:p>
      <w:pPr/>
      <w:r>
        <w:t xml:space="preserve">The recommended adjustments are:</w:t>
      </w:r>
    </w:p>
    <w:p>
      <w:pPr>
        <w:pStyle w:val="ListParagraph"/>
        <w:numPr>
          <w:ilvl w:val="0"/>
          <w:numId w:val="16"/>
        </w:numPr>
      </w:pPr>
      <w:r>
        <w:t xml:space="preserve">Cut the standard 20% to 10% for youth and for women-led micro firms.</w:t>
      </w:r>
    </w:p>
    <w:p>
      <w:pPr>
        <w:pStyle w:val="ListParagraph"/>
        <w:numPr>
          <w:ilvl w:val="0"/>
          <w:numId w:val="16"/>
        </w:numPr>
      </w:pPr>
      <w:r>
        <w:t xml:space="preserve">Keep 20% for community enterprises, but count the community guarantee-fund deposit as match.</w:t>
      </w:r>
    </w:p>
    <w:p>
      <w:pPr>
        <w:pStyle w:val="ListParagraph"/>
        <w:numPr>
          <w:ilvl w:val="0"/>
          <w:numId w:val="16"/>
        </w:numPr>
      </w:pPr>
      <w:r>
        <w:t xml:space="preserve">Reserve 50% for scaling firms, with loans counting as match.</w:t>
      </w:r>
    </w:p>
    <w:p>
      <w:pPr>
        <w:pStyle w:val="ListParagraph"/>
        <w:numPr>
          <w:ilvl w:val="0"/>
          <w:numId w:val="16"/>
        </w:numPr>
      </w:pPr>
      <w:r>
        <w:t xml:space="preserve">Allow the match to be paid in tranches over the grant period, not upfront.</w:t>
      </w:r>
    </w:p>
    <w:p>
      <w:pPr>
        <w:pStyle w:val="Heading3"/>
      </w:pPr>
      <w:r>
        <w:t xml:space="preserve">6.11 Funding needs by type (xi)</w:t>
      </w:r>
    </w:p>
    <w:p>
      <w:pPr/>
      <w:r>
        <w:t xml:space="preserve">The categories follow the request. Priority and gender-age fit are </w:t>
      </w:r>
      <w:r>
        <w:rPr>
          <w:i/>
        </w:rPr>
        <w:t xml:space="preserve">indicative</w:t>
      </w:r>
      <w:r>
        <w:t xml:space="preserve">.</w:t>
      </w:r>
    </w:p>
    <w:tbl>
      <w:tblPr>
        <w:tblStyle w:val="TableGrid"/>
        <w:tblW w:w="0" w:type="auto"/>
        <w:tblLayout w:type="fixed"/>
        <w:tblLook w:val="04A0" w:firstRow="1" w:lastRow="0" w:firstColumn="0" w:lastColumn="0" w:noHBand="0" w:noVBand="1"/>
        <w:tblLayout w:type="fixed"/>
      </w:tblPr>
      <w:tblGrid>
        <w:gridCol w:w="1211"/>
        <w:gridCol w:w="3002"/>
        <w:gridCol w:w="1298"/>
        <w:gridCol w:w="1384"/>
        <w:gridCol w:w="692"/>
        <w:gridCol w:w="1771"/>
      </w:tblGrid>
      <w:tr>
        <w:trPr>
          <w:tblHeader/>
          <w:tblHeader w:val="true"/>
        </w:trPr>
        <w:tc>
          <w:tcPr>
            <w:tcW w:w="1211" w:type="dxa"/>
            <w:shd w:val="clear" w:color="auto" w:fill="F2F2F2"/>
          </w:tcPr>
          <w:p>
            <w:pPr/>
            <w:r>
              <w:rPr>
                <w:sz w:val="17"/>
              </w:rPr>
              <w:t xml:space="preserve">Category</w:t>
            </w:r>
          </w:p>
        </w:tc>
        <w:tc>
          <w:tcPr>
            <w:tcW w:w="3002" w:type="dxa"/>
            <w:shd w:val="clear" w:color="auto" w:fill="F2F2F2"/>
          </w:tcPr>
          <w:p>
            <w:pPr/>
            <w:r>
              <w:rPr>
                <w:sz w:val="17"/>
              </w:rPr>
              <w:t xml:space="preserve">Examples</w:t>
            </w:r>
          </w:p>
        </w:tc>
        <w:tc>
          <w:tcPr>
            <w:tcW w:w="1298" w:type="dxa"/>
            <w:shd w:val="clear" w:color="auto" w:fill="F2F2F2"/>
          </w:tcPr>
          <w:p>
            <w:pPr/>
            <w:r>
              <w:rPr>
                <w:sz w:val="17"/>
              </w:rPr>
              <w:t xml:space="preserve">Typical ticket (USD)</w:t>
            </w:r>
          </w:p>
        </w:tc>
        <w:tc>
          <w:tcPr>
            <w:tcW w:w="1385" w:type="dxa"/>
            <w:shd w:val="clear" w:color="auto" w:fill="F2F2F2"/>
          </w:tcPr>
          <w:p>
            <w:pPr/>
            <w:r>
              <w:rPr>
                <w:sz w:val="17"/>
              </w:rPr>
              <w:t xml:space="preserve">Main users</w:t>
            </w:r>
          </w:p>
        </w:tc>
        <w:tc>
          <w:tcPr>
            <w:tcW w:w="692" w:type="dxa"/>
            <w:shd w:val="clear" w:color="auto" w:fill="F2F2F2"/>
          </w:tcPr>
          <w:p>
            <w:pPr/>
            <w:r>
              <w:rPr>
                <w:sz w:val="17"/>
              </w:rPr>
              <w:t xml:space="preserve">Fit with women and youth</w:t>
            </w:r>
          </w:p>
        </w:tc>
        <w:tc>
          <w:tcPr>
            <w:tcW w:w="1771" w:type="dxa"/>
            <w:shd w:val="clear" w:color="auto" w:fill="F2F2F2"/>
          </w:tcPr>
          <w:p>
            <w:pPr/>
            <w:r>
              <w:rPr>
                <w:sz w:val="17"/>
              </w:rPr>
              <w:t xml:space="preserve">Best instrument</w:t>
            </w:r>
          </w:p>
        </w:tc>
      </w:tr>
      <w:tr>
        <w:tc>
          <w:tcPr>
            <w:tcW w:w="1211" w:type="dxa"/>
          </w:tcPr>
          <w:p>
            <w:pPr/>
            <w:r>
              <w:rPr>
                <w:sz w:val="17"/>
              </w:rPr>
              <w:t xml:space="preserve">Equipment</w:t>
            </w:r>
          </w:p>
        </w:tc>
        <w:tc>
          <w:tcPr>
            <w:tcW w:w="3002" w:type="dxa"/>
          </w:tcPr>
          <w:p>
            <w:pPr/>
            <w:r>
              <w:rPr>
                <w:sz w:val="17"/>
              </w:rPr>
              <w:t xml:space="preserve">Mokoros, boats, bikes, laundry machines, kitchen, craft tools</w:t>
            </w:r>
          </w:p>
        </w:tc>
        <w:tc>
          <w:tcPr>
            <w:tcW w:w="1298" w:type="dxa"/>
          </w:tcPr>
          <w:p>
            <w:pPr/>
            <w:r>
              <w:rPr>
                <w:sz w:val="17"/>
              </w:rPr>
              <w:t xml:space="preserve">500–60,000</w:t>
            </w:r>
          </w:p>
        </w:tc>
        <w:tc>
          <w:tcPr>
            <w:tcW w:w="1385" w:type="dxa"/>
          </w:tcPr>
          <w:p>
            <w:pPr/>
            <w:r>
              <w:rPr>
                <w:sz w:val="17"/>
              </w:rPr>
              <w:t xml:space="preserve">Guides, suppliers, crafters</w:t>
            </w:r>
          </w:p>
        </w:tc>
        <w:tc>
          <w:tcPr>
            <w:tcW w:w="692" w:type="dxa"/>
          </w:tcPr>
          <w:p>
            <w:pPr/>
            <w:r>
              <w:rPr>
                <w:sz w:val="17"/>
              </w:rPr>
              <w:t xml:space="preserve">High</w:t>
            </w:r>
          </w:p>
        </w:tc>
        <w:tc>
          <w:tcPr>
            <w:tcW w:w="1771" w:type="dxa"/>
          </w:tcPr>
          <w:p>
            <w:pPr/>
            <w:r>
              <w:rPr>
                <w:sz w:val="17"/>
              </w:rPr>
              <w:t xml:space="preserve">Seed grant (small), leasing or asset finance (large)</w:t>
            </w:r>
          </w:p>
        </w:tc>
      </w:tr>
      <w:tr>
        <w:tc>
          <w:tcPr>
            <w:tcW w:w="1211" w:type="dxa"/>
          </w:tcPr>
          <w:p>
            <w:pPr/>
            <w:r>
              <w:rPr>
                <w:sz w:val="17"/>
              </w:rPr>
              <w:t xml:space="preserve">Facility upgrades</w:t>
            </w:r>
          </w:p>
        </w:tc>
        <w:tc>
          <w:tcPr>
            <w:tcW w:w="3002" w:type="dxa"/>
          </w:tcPr>
          <w:p>
            <w:pPr/>
            <w:r>
              <w:rPr>
                <w:sz w:val="17"/>
              </w:rPr>
              <w:t xml:space="preserve">Rooms, ablutions, campsites, workshops, showrooms</w:t>
            </w:r>
          </w:p>
        </w:tc>
        <w:tc>
          <w:tcPr>
            <w:tcW w:w="1298" w:type="dxa"/>
          </w:tcPr>
          <w:p>
            <w:pPr/>
            <w:r>
              <w:rPr>
                <w:sz w:val="17"/>
              </w:rPr>
              <w:t xml:space="preserve">5,000–150,000</w:t>
            </w:r>
          </w:p>
        </w:tc>
        <w:tc>
          <w:tcPr>
            <w:tcW w:w="1385" w:type="dxa"/>
          </w:tcPr>
          <w:p>
            <w:pPr/>
            <w:r>
              <w:rPr>
                <w:sz w:val="17"/>
              </w:rPr>
              <w:t xml:space="preserve">Accommodation, community enterprises</w:t>
            </w:r>
          </w:p>
        </w:tc>
        <w:tc>
          <w:tcPr>
            <w:tcW w:w="692" w:type="dxa"/>
          </w:tcPr>
          <w:p>
            <w:pPr/>
            <w:r>
              <w:rPr>
                <w:sz w:val="17"/>
              </w:rPr>
              <w:t xml:space="preserve">Medium</w:t>
            </w:r>
          </w:p>
        </w:tc>
        <w:tc>
          <w:tcPr>
            <w:tcW w:w="1771" w:type="dxa"/>
          </w:tcPr>
          <w:p>
            <w:pPr/>
            <w:r>
              <w:rPr>
                <w:sz w:val="17"/>
              </w:rPr>
              <w:t xml:space="preserve">Growth grant plus guaranteed loan</w:t>
            </w:r>
          </w:p>
        </w:tc>
      </w:tr>
      <w:tr>
        <w:tc>
          <w:tcPr>
            <w:tcW w:w="1211" w:type="dxa"/>
          </w:tcPr>
          <w:p>
            <w:pPr/>
            <w:r>
              <w:rPr>
                <w:sz w:val="17"/>
              </w:rPr>
              <w:t xml:space="preserve">Digital platforms</w:t>
            </w:r>
          </w:p>
        </w:tc>
        <w:tc>
          <w:tcPr>
            <w:tcW w:w="3002" w:type="dxa"/>
          </w:tcPr>
          <w:p>
            <w:pPr/>
            <w:r>
              <w:rPr>
                <w:sz w:val="17"/>
              </w:rPr>
              <w:t xml:space="preserve">Websites, OTA listings, booking engines, POS, mobile money, bookkeeping apps</w:t>
            </w:r>
          </w:p>
        </w:tc>
        <w:tc>
          <w:tcPr>
            <w:tcW w:w="1298" w:type="dxa"/>
          </w:tcPr>
          <w:p>
            <w:pPr/>
            <w:r>
              <w:rPr>
                <w:sz w:val="17"/>
              </w:rPr>
              <w:t xml:space="preserve">300–5,000</w:t>
            </w:r>
          </w:p>
        </w:tc>
        <w:tc>
          <w:tcPr>
            <w:tcW w:w="1385" w:type="dxa"/>
          </w:tcPr>
          <w:p>
            <w:pPr/>
            <w:r>
              <w:rPr>
                <w:sz w:val="17"/>
              </w:rPr>
              <w:t xml:space="preserve">All, especially youth</w:t>
            </w:r>
          </w:p>
        </w:tc>
        <w:tc>
          <w:tcPr>
            <w:tcW w:w="692" w:type="dxa"/>
          </w:tcPr>
          <w:p>
            <w:pPr/>
            <w:r>
              <w:rPr>
                <w:sz w:val="17"/>
              </w:rPr>
              <w:t xml:space="preserve">Very high</w:t>
            </w:r>
          </w:p>
        </w:tc>
        <w:tc>
          <w:tcPr>
            <w:tcW w:w="1771" w:type="dxa"/>
          </w:tcPr>
          <w:p>
            <w:pPr/>
            <w:r>
              <w:rPr>
                <w:sz w:val="17"/>
              </w:rPr>
              <w:t xml:space="preserve">Seed grant (in kind), bundled</w:t>
            </w:r>
          </w:p>
        </w:tc>
      </w:tr>
      <w:tr>
        <w:tc>
          <w:tcPr>
            <w:tcW w:w="1211" w:type="dxa"/>
          </w:tcPr>
          <w:p>
            <w:pPr/>
            <w:r>
              <w:rPr>
                <w:sz w:val="17"/>
              </w:rPr>
              <w:t xml:space="preserve">New products</w:t>
            </w:r>
          </w:p>
        </w:tc>
        <w:tc>
          <w:tcPr>
            <w:tcW w:w="3002" w:type="dxa"/>
          </w:tcPr>
          <w:p>
            <w:pPr/>
            <w:r>
              <w:rPr>
                <w:sz w:val="17"/>
              </w:rPr>
              <w:t xml:space="preserve">Cultural tours, birding, river trips, food experiences, women-guided walks</w:t>
            </w:r>
          </w:p>
        </w:tc>
        <w:tc>
          <w:tcPr>
            <w:tcW w:w="1298" w:type="dxa"/>
          </w:tcPr>
          <w:p>
            <w:pPr/>
            <w:r>
              <w:rPr>
                <w:sz w:val="17"/>
              </w:rPr>
              <w:t xml:space="preserve">2,000–30,000</w:t>
            </w:r>
          </w:p>
        </w:tc>
        <w:tc>
          <w:tcPr>
            <w:tcW w:w="1385" w:type="dxa"/>
          </w:tcPr>
          <w:p>
            <w:pPr/>
            <w:r>
              <w:rPr>
                <w:sz w:val="17"/>
              </w:rPr>
              <w:t xml:space="preserve">Activities, community enterprises</w:t>
            </w:r>
          </w:p>
        </w:tc>
        <w:tc>
          <w:tcPr>
            <w:tcW w:w="692" w:type="dxa"/>
          </w:tcPr>
          <w:p>
            <w:pPr/>
            <w:r>
              <w:rPr>
                <w:sz w:val="17"/>
              </w:rPr>
              <w:t xml:space="preserve">High</w:t>
            </w:r>
          </w:p>
        </w:tc>
        <w:tc>
          <w:tcPr>
            <w:tcW w:w="1771" w:type="dxa"/>
          </w:tcPr>
          <w:p>
            <w:pPr/>
            <w:r>
              <w:rPr>
                <w:sz w:val="17"/>
              </w:rPr>
              <w:t xml:space="preserve">Seed or growth grant</w:t>
            </w:r>
          </w:p>
        </w:tc>
      </w:tr>
      <w:tr>
        <w:tc>
          <w:tcPr>
            <w:tcW w:w="1211" w:type="dxa"/>
          </w:tcPr>
          <w:p>
            <w:pPr/>
            <w:r>
              <w:rPr>
                <w:sz w:val="17"/>
              </w:rPr>
              <w:t xml:space="preserve">Conservation</w:t>
            </w:r>
          </w:p>
        </w:tc>
        <w:tc>
          <w:tcPr>
            <w:tcW w:w="3002" w:type="dxa"/>
          </w:tcPr>
          <w:p>
            <w:pPr/>
            <w:r>
              <w:rPr>
                <w:sz w:val="17"/>
              </w:rPr>
              <w:t xml:space="preserve">HWC mitigation, restoration, monitoring, anti-poaching support, wildlife-friendly fencing</w:t>
            </w:r>
          </w:p>
        </w:tc>
        <w:tc>
          <w:tcPr>
            <w:tcW w:w="1298" w:type="dxa"/>
          </w:tcPr>
          <w:p>
            <w:pPr/>
            <w:r>
              <w:rPr>
                <w:sz w:val="17"/>
              </w:rPr>
              <w:t xml:space="preserve">2,000–50,000</w:t>
            </w:r>
          </w:p>
        </w:tc>
        <w:tc>
          <w:tcPr>
            <w:tcW w:w="1385" w:type="dxa"/>
          </w:tcPr>
          <w:p>
            <w:pPr/>
            <w:r>
              <w:rPr>
                <w:sz w:val="17"/>
              </w:rPr>
              <w:t xml:space="preserve">Community enterprises, conservancies</w:t>
            </w:r>
          </w:p>
        </w:tc>
        <w:tc>
          <w:tcPr>
            <w:tcW w:w="692" w:type="dxa"/>
          </w:tcPr>
          <w:p>
            <w:pPr/>
            <w:r>
              <w:rPr>
                <w:sz w:val="17"/>
              </w:rPr>
              <w:t xml:space="preserve">Medium</w:t>
            </w:r>
          </w:p>
        </w:tc>
        <w:tc>
          <w:tcPr>
            <w:tcW w:w="1771" w:type="dxa"/>
          </w:tcPr>
          <w:p>
            <w:pPr/>
            <w:r>
              <w:rPr>
                <w:sz w:val="17"/>
              </w:rPr>
              <w:t xml:space="preserve">Grant; results-based payments (Wildlife Credits)</w:t>
            </w:r>
          </w:p>
        </w:tc>
      </w:tr>
      <w:tr>
        <w:tc>
          <w:tcPr>
            <w:tcW w:w="1211" w:type="dxa"/>
          </w:tcPr>
          <w:p>
            <w:pPr/>
            <w:r>
              <w:rPr>
                <w:sz w:val="17"/>
              </w:rPr>
              <w:t xml:space="preserve">Circular economy</w:t>
            </w:r>
          </w:p>
        </w:tc>
        <w:tc>
          <w:tcPr>
            <w:tcW w:w="3002" w:type="dxa"/>
          </w:tcPr>
          <w:p>
            <w:pPr/>
            <w:r>
              <w:rPr>
                <w:sz w:val="17"/>
              </w:rPr>
              <w:t xml:space="preserve">Recycling, composting, upcycled crafts, greywater, solar and energy efficiency</w:t>
            </w:r>
          </w:p>
        </w:tc>
        <w:tc>
          <w:tcPr>
            <w:tcW w:w="1298" w:type="dxa"/>
          </w:tcPr>
          <w:p>
            <w:pPr/>
            <w:r>
              <w:rPr>
                <w:sz w:val="17"/>
              </w:rPr>
              <w:t xml:space="preserve">1,000–80,000</w:t>
            </w:r>
          </w:p>
        </w:tc>
        <w:tc>
          <w:tcPr>
            <w:tcW w:w="1385" w:type="dxa"/>
          </w:tcPr>
          <w:p>
            <w:pPr/>
            <w:r>
              <w:rPr>
                <w:sz w:val="17"/>
              </w:rPr>
              <w:t xml:space="preserve">Youth enterprises, lodges' suppliers</w:t>
            </w:r>
          </w:p>
        </w:tc>
        <w:tc>
          <w:tcPr>
            <w:tcW w:w="692" w:type="dxa"/>
          </w:tcPr>
          <w:p>
            <w:pPr/>
            <w:r>
              <w:rPr>
                <w:sz w:val="17"/>
              </w:rPr>
              <w:t xml:space="preserve">High for youth</w:t>
            </w:r>
          </w:p>
        </w:tc>
        <w:tc>
          <w:tcPr>
            <w:tcW w:w="1771" w:type="dxa"/>
          </w:tcPr>
          <w:p>
            <w:pPr/>
            <w:r>
              <w:rPr>
                <w:sz w:val="17"/>
              </w:rPr>
              <w:t xml:space="preserve">Grant (start-up), green asset finance (scale)</w:t>
            </w:r>
          </w:p>
        </w:tc>
      </w:tr>
      <w:tr>
        <w:tc>
          <w:tcPr>
            <w:tcW w:w="1211" w:type="dxa"/>
          </w:tcPr>
          <w:p>
            <w:pPr/>
            <w:r>
              <w:rPr>
                <w:sz w:val="17"/>
              </w:rPr>
              <w:t xml:space="preserve">Marketing</w:t>
            </w:r>
          </w:p>
        </w:tc>
        <w:tc>
          <w:tcPr>
            <w:tcW w:w="3002" w:type="dxa"/>
          </w:tcPr>
          <w:p>
            <w:pPr/>
            <w:r>
              <w:rPr>
                <w:sz w:val="17"/>
              </w:rPr>
              <w:t xml:space="preserve">Branding, trade fairs (e.g. Our Heritage, Sanganai), photography, certification fees</w:t>
            </w:r>
          </w:p>
        </w:tc>
        <w:tc>
          <w:tcPr>
            <w:tcW w:w="1298" w:type="dxa"/>
          </w:tcPr>
          <w:p>
            <w:pPr/>
            <w:r>
              <w:rPr>
                <w:sz w:val="17"/>
              </w:rPr>
              <w:t xml:space="preserve">500–10,000</w:t>
            </w:r>
          </w:p>
        </w:tc>
        <w:tc>
          <w:tcPr>
            <w:tcW w:w="1385" w:type="dxa"/>
          </w:tcPr>
          <w:p>
            <w:pPr/>
            <w:r>
              <w:rPr>
                <w:sz w:val="17"/>
              </w:rPr>
              <w:t xml:space="preserve">All</w:t>
            </w:r>
          </w:p>
        </w:tc>
        <w:tc>
          <w:tcPr>
            <w:tcW w:w="692" w:type="dxa"/>
          </w:tcPr>
          <w:p>
            <w:pPr/>
            <w:r>
              <w:rPr>
                <w:sz w:val="17"/>
              </w:rPr>
              <w:t xml:space="preserve">High</w:t>
            </w:r>
          </w:p>
        </w:tc>
        <w:tc>
          <w:tcPr>
            <w:tcW w:w="1771" w:type="dxa"/>
          </w:tcPr>
          <w:p>
            <w:pPr/>
            <w:r>
              <w:rPr>
                <w:sz w:val="17"/>
              </w:rPr>
              <w:t xml:space="preserve">Seed grant; co-marketing with anchors</w:t>
            </w:r>
          </w:p>
        </w:tc>
      </w:tr>
    </w:tbl>
    <w:p>
      <w:pPr>
        <w:pStyle w:val="Heading2"/>
      </w:pPr>
      <w:r>
        <w:t xml:space="preserve">7. Recommendations</w:t>
      </w:r>
    </w:p>
    <w:p>
      <w:pPr/>
      <w:r>
        <w:t xml:space="preserve">Each actor has a distinct part to play. The facility in Section 8 is the instrument that ties them together.</w:t>
      </w:r>
    </w:p>
    <w:p>
      <w:pPr/>
      <w:r>
        <w:rPr>
          <w:b/>
        </w:rPr>
        <w:t xml:space="preserve">Financial institutions (banks, MFIs, development financiers)</w:t>
      </w:r>
    </w:p>
    <w:p>
      <w:pPr>
        <w:pStyle w:val="ListParagraph"/>
        <w:numPr>
          <w:ilvl w:val="0"/>
          <w:numId w:val="17"/>
        </w:numPr>
      </w:pPr>
      <w:r>
        <w:t xml:space="preserve">Launch seasonal tourism products with the five adaptations in 6.1, starting with seasonal schedules and green-season grace.</w:t>
      </w:r>
    </w:p>
    <w:p>
      <w:pPr>
        <w:pStyle w:val="ListParagraph"/>
        <w:numPr>
          <w:ilvl w:val="0"/>
          <w:numId w:val="17"/>
        </w:numPr>
      </w:pPr>
      <w:r>
        <w:t xml:space="preserve">Accept movable assets, receivables, group guarantees and community deposits as collateral. Register assets in the name of the woman or youth who runs the business.</w:t>
      </w:r>
    </w:p>
    <w:p>
      <w:pPr>
        <w:pStyle w:val="ListParagraph"/>
        <w:numPr>
          <w:ilvl w:val="0"/>
          <w:numId w:val="17"/>
        </w:numPr>
      </w:pPr>
      <w:r>
        <w:t xml:space="preserve">Drop spousal or parental co-signature requirements not required by law. Accept 6 months of mobile-money statements in place of bank statements.</w:t>
      </w:r>
    </w:p>
    <w:p>
      <w:pPr>
        <w:pStyle w:val="ListParagraph"/>
        <w:numPr>
          <w:ilvl w:val="0"/>
          <w:numId w:val="17"/>
        </w:numPr>
      </w:pPr>
      <w:r>
        <w:t xml:space="preserve">Delegate approval authority for guaranteed portfolios to hub branches in Kasane, Maun, Katima Mulilo, Livingstone and Victoria Falls.</w:t>
      </w:r>
    </w:p>
    <w:p>
      <w:pPr>
        <w:pStyle w:val="ListParagraph"/>
        <w:numPr>
          <w:ilvl w:val="0"/>
          <w:numId w:val="17"/>
        </w:numPr>
      </w:pPr>
      <w:r>
        <w:t xml:space="preserve">Report tourism MSME lending by sex and age of owner and by season. Share anonymised data with the facility.</w:t>
      </w:r>
    </w:p>
    <w:p>
      <w:pPr/>
      <w:r>
        <w:rPr>
          <w:b/>
        </w:rPr>
        <w:t xml:space="preserve">Credit guarantee schemes and DFIs (CGS, ZCGS, ECGC, FGC, AGF, AFAWA, KfW, EIB, IFC, AfDB)</w:t>
      </w:r>
    </w:p>
    <w:p>
      <w:pPr>
        <w:pStyle w:val="ListParagraph"/>
        <w:numPr>
          <w:ilvl w:val="0"/>
          <w:numId w:val="18"/>
        </w:numPr>
      </w:pPr>
      <w:r>
        <w:t xml:space="preserve">Open KAZA tourism windows with a cover uplift for women and youth: 70% compared with 50–60% standard.</w:t>
      </w:r>
    </w:p>
    <w:p>
      <w:pPr>
        <w:pStyle w:val="ListParagraph"/>
        <w:numPr>
          <w:ilvl w:val="0"/>
          <w:numId w:val="18"/>
        </w:numPr>
      </w:pPr>
      <w:r>
        <w:t xml:space="preserve">Provide counter-guarantees and wholesale lines in local currency.</w:t>
      </w:r>
    </w:p>
    <w:p>
      <w:pPr>
        <w:pStyle w:val="ListParagraph"/>
        <w:numPr>
          <w:ilvl w:val="0"/>
          <w:numId w:val="18"/>
        </w:numPr>
      </w:pPr>
      <w:r>
        <w:t xml:space="preserve">Support design of a Botswana guarantee facility, which could be hosted by CEDA, NDB or BDC with AGF.</w:t>
      </w:r>
    </w:p>
    <w:p>
      <w:pPr/>
      <w:r>
        <w:rPr>
          <w:b/>
        </w:rPr>
        <w:t xml:space="preserve">Governments and the KAZA Secretariat</w:t>
      </w:r>
    </w:p>
    <w:p>
      <w:pPr>
        <w:pStyle w:val="ListParagraph"/>
        <w:numPr>
          <w:ilvl w:val="0"/>
          <w:numId w:val="19"/>
        </w:numPr>
      </w:pPr>
      <w:r>
        <w:t xml:space="preserve">Commence and operationalise movable collateral registries, Botswana first. Verify Namibia's and Angola's frameworks.</w:t>
      </w:r>
    </w:p>
    <w:p>
      <w:pPr>
        <w:pStyle w:val="ListParagraph"/>
        <w:numPr>
          <w:ilvl w:val="0"/>
          <w:numId w:val="19"/>
        </w:numPr>
      </w:pPr>
      <w:r>
        <w:t xml:space="preserve">Simplify tourism licensing for micro operators: tiered licences, one-stop windows in hubs, and licence fees counted as grant-eligible costs.</w:t>
      </w:r>
    </w:p>
    <w:p>
      <w:pPr>
        <w:pStyle w:val="ListParagraph"/>
        <w:numPr>
          <w:ilvl w:val="0"/>
          <w:numId w:val="19"/>
        </w:numPr>
      </w:pPr>
      <w:r>
        <w:t xml:space="preserve">Adopt the KAZA R-NBT checklist as a common eligibility and tagging standard.</w:t>
      </w:r>
    </w:p>
    <w:p>
      <w:pPr>
        <w:pStyle w:val="ListParagraph"/>
        <w:numPr>
          <w:ilvl w:val="0"/>
          <w:numId w:val="19"/>
        </w:numPr>
      </w:pPr>
      <w:r>
        <w:t xml:space="preserve">Host the Supply Chain Compact and the annual R-NBT Finance Forum.</w:t>
      </w:r>
    </w:p>
    <w:p>
      <w:pPr>
        <w:pStyle w:val="ListParagraph"/>
        <w:numPr>
          <w:ilvl w:val="0"/>
          <w:numId w:val="19"/>
        </w:numPr>
      </w:pPr>
      <w:r>
        <w:t xml:space="preserve">Enforce women's land and lease registration targets, and support joint titling and registered leases for women on communal land.</w:t>
      </w:r>
    </w:p>
    <w:p>
      <w:pPr/>
      <w:r>
        <w:rPr>
          <w:b/>
        </w:rPr>
        <w:t xml:space="preserve">Large tourism operators and DMCs</w:t>
      </w:r>
    </w:p>
    <w:p>
      <w:pPr>
        <w:pStyle w:val="ListParagraph"/>
        <w:numPr>
          <w:ilvl w:val="0"/>
          <w:numId w:val="20"/>
        </w:numPr>
      </w:pPr>
      <w:r>
        <w:t xml:space="preserve">Sign the Supply Chain Compact. It commits operators to written contracts, payment within 15 days to micro suppliers, and local, women and youth procurement targets.</w:t>
      </w:r>
    </w:p>
    <w:p>
      <w:pPr>
        <w:pStyle w:val="ListParagraph"/>
        <w:numPr>
          <w:ilvl w:val="0"/>
          <w:numId w:val="20"/>
        </w:numPr>
      </w:pPr>
      <w:r>
        <w:t xml:space="preserve">Join tripartite supply-chain finance (Wilderness–Stanbic model) and sponsor equipment leases for suppliers.</w:t>
      </w:r>
    </w:p>
    <w:p>
      <w:pPr>
        <w:pStyle w:val="ListParagraph"/>
        <w:numPr>
          <w:ilvl w:val="0"/>
          <w:numId w:val="20"/>
        </w:numPr>
      </w:pPr>
      <w:r>
        <w:t xml:space="preserve">Add audit rights and women's and youth employment clauses to JV agreements at renewal.</w:t>
      </w:r>
    </w:p>
    <w:p>
      <w:pPr/>
      <w:r>
        <w:rPr>
          <w:b/>
        </w:rPr>
        <w:t xml:space="preserve">MSME associations, BSOs, CBNRM bodies and NGOs</w:t>
      </w:r>
    </w:p>
    <w:p>
      <w:pPr>
        <w:pStyle w:val="ListParagraph"/>
        <w:numPr>
          <w:ilvl w:val="0"/>
          <w:numId w:val="21"/>
        </w:numPr>
      </w:pPr>
      <w:r>
        <w:t xml:space="preserve">Run the shared pipeline diagnostic and investment-readiness coaching.</w:t>
      </w:r>
    </w:p>
    <w:p>
      <w:pPr>
        <w:pStyle w:val="ListParagraph"/>
        <w:numPr>
          <w:ilvl w:val="0"/>
          <w:numId w:val="21"/>
        </w:numPr>
      </w:pPr>
      <w:r>
        <w:t xml:space="preserve">Facilitate VSLA-to-bank graduation and community guarantee funds.</w:t>
      </w:r>
    </w:p>
    <w:p>
      <w:pPr>
        <w:pStyle w:val="ListParagraph"/>
        <w:numPr>
          <w:ilvl w:val="0"/>
          <w:numId w:val="21"/>
        </w:numPr>
      </w:pPr>
      <w:r>
        <w:t xml:space="preserve">Convene women-only and youth-only sessions within dialogue platforms.</w:t>
      </w:r>
    </w:p>
    <w:p>
      <w:pPr>
        <w:pStyle w:val="Heading2"/>
      </w:pPr>
      <w:r>
        <w:t xml:space="preserve">8. Grant facility design: KAZA R-NBT Enterprise Facility</w:t>
      </w:r>
    </w:p>
    <w:p>
      <w:pPr/>
      <w:r>
        <w:t xml:space="preserve">The facility is a three-window, performance-based grant fund. It graduates MSMEs from seed grants to bank loans and uses a de-risking layer to bring lenders in. It reserves at least half of grant value for women-led and 40% for youth-led enterprises.</w:t>
      </w:r>
    </w:p>
    <w:p>
      <w:pPr/>
      <w:r>
        <w:drawing>
          <wp:inline distT="0" distB="0" distL="0" distR="0">
            <wp:extent cx="5486400" cy="2188028"/>
            <wp:docPr id="1" name="image1" descr="KAZA R-NBT Enterprise Facility · 3 grant windows, de-risking layer, TA"/>
            <a:graphic xmlns:a="http://schemas.openxmlformats.org/drawingml/2006/main">
              <a:graphicData uri="http://schemas.openxmlformats.org/drawingml/2006/picture">
                <pic:pic xmlns:pic="http://schemas.openxmlformats.org/drawingml/2006/picture">
                  <pic:nvPicPr>
                    <pic:cNvPr id="1" name="image1" descr="KAZA R-NBT Enterprise Facility · 3 grant windows, de-risking layer, TA"/>
                    <pic:cNvPicPr/>
                  </pic:nvPicPr>
                  <pic:blipFill>
                    <a:blip r:embed="rId18"/>
                    <a:stretch>
                      <a:fillRect/>
                    </a:stretch>
                  </pic:blipFill>
                  <pic:spPr>
                    <a:xfrm>
                      <a:off x="0" y="0"/>
                      <a:ext cx="5486400" cy="2188028"/>
                    </a:xfrm>
                    <a:prstGeom prst="rect">
                      <a:avLst/>
                    </a:prstGeom>
                  </pic:spPr>
                </pic:pic>
              </a:graphicData>
            </a:graphic>
          </wp:inline>
        </w:drawing>
      </w:r>
    </w:p>
    <w:p>
      <w:pPr/>
      <w:r>
        <w:t xml:space="preserve">KAZA R-NBT Enterprise Facility · 3 grant windows, de-risking layer, TA</w:t>
      </w:r>
    </w:p>
    <w:p>
      <w:pPr/>
      <w:r>
        <w:t xml:space="preserve">Each window feeds the next. Window C and the de-risking layer exist to hand the MSME on to a partner lender.</w:t>
      </w:r>
    </w:p>
    <w:p>
      <w:pPr>
        <w:pStyle w:val="Heading3"/>
      </w:pPr>
      <w:r>
        <w:t xml:space="preserve">8.1 Objectives</w:t>
      </w:r>
    </w:p>
    <w:p>
      <w:pPr>
        <w:pStyle w:val="ListParagraph"/>
        <w:numPr>
          <w:ilvl w:val="0"/>
          <w:numId w:val="22"/>
        </w:numPr>
      </w:pPr>
      <w:r>
        <w:t xml:space="preserve">Help women-, youth- and community-led tourism MSMEs near protected areas start, upgrade and grow regenerative businesses.</w:t>
      </w:r>
    </w:p>
    <w:p>
      <w:pPr>
        <w:pStyle w:val="ListParagraph"/>
        <w:numPr>
          <w:ilvl w:val="0"/>
          <w:numId w:val="22"/>
        </w:numPr>
      </w:pPr>
      <w:r>
        <w:t xml:space="preserve">Unlock commercial and development finance for these MSMEs at a target leverage of at least 1:1 by facility close.</w:t>
      </w:r>
    </w:p>
    <w:p>
      <w:pPr>
        <w:pStyle w:val="ListParagraph"/>
        <w:numPr>
          <w:ilvl w:val="0"/>
          <w:numId w:val="22"/>
        </w:numPr>
      </w:pPr>
      <w:r>
        <w:t xml:space="preserve">Build a disaggregated evidence base on tourism MSME finance in KAZA.</w:t>
      </w:r>
    </w:p>
    <w:p>
      <w:pPr>
        <w:pStyle w:val="Heading3"/>
      </w:pPr>
      <w:r>
        <w:t xml:space="preserve">8.2 Structure and allocation</w:t>
      </w:r>
    </w:p>
    <w:p>
      <w:pPr/>
      <w:r>
        <w:t xml:space="preserve">The R-NBT action budget is not public, so shares are shown as percentages of the facility envelope.</w:t>
      </w:r>
    </w:p>
    <w:tbl>
      <w:tblPr>
        <w:tblStyle w:val="TableGrid"/>
        <w:tblW w:w="0" w:type="auto"/>
        <w:tblLayout w:type="fixed"/>
        <w:tblLook w:val="04A0" w:firstRow="1" w:lastRow="0" w:firstColumn="0" w:lastColumn="0" w:noHBand="0" w:noVBand="1"/>
      </w:tblPr>
      <w:tblGrid>
        <w:gridCol w:w="3120"/>
        <w:gridCol w:w="3120"/>
        <w:gridCol w:w="3120"/>
      </w:tblGrid>
      <w:tr>
        <w:trPr>
          <w:tblHeader/>
          <w:tblHeader w:val="true"/>
        </w:trPr>
        <w:tc>
          <w:tcPr>
            <w:tcW w:w="3120" w:type="dxa"/>
            <w:shd w:val="clear" w:color="auto" w:fill="F2F2F2"/>
          </w:tcPr>
          <w:p>
            <w:pPr/>
            <w:r>
              <w:t xml:space="preserve">Component</w:t>
            </w:r>
          </w:p>
        </w:tc>
        <w:tc>
          <w:tcPr>
            <w:tcW w:w="3120" w:type="dxa"/>
            <w:shd w:val="clear" w:color="auto" w:fill="F2F2F2"/>
          </w:tcPr>
          <w:p>
            <w:pPr/>
            <w:r>
              <w:t xml:space="preserve">Share of envelope</w:t>
            </w:r>
          </w:p>
        </w:tc>
        <w:tc>
          <w:tcPr>
            <w:tcW w:w="3120" w:type="dxa"/>
            <w:shd w:val="clear" w:color="auto" w:fill="F2F2F2"/>
          </w:tcPr>
          <w:p>
            <w:pPr/>
            <w:r>
              <w:t xml:space="preserve">Purpose</w:t>
            </w:r>
          </w:p>
        </w:tc>
      </w:tr>
      <w:tr>
        <w:tc>
          <w:tcPr>
            <w:tcW w:w="3120" w:type="dxa"/>
          </w:tcPr>
          <w:p>
            <w:pPr/>
            <w:r>
              <w:t xml:space="preserve">Window A: Seed</w:t>
            </w:r>
          </w:p>
        </w:tc>
        <w:tc>
          <w:tcPr>
            <w:tcW w:w="3120" w:type="dxa"/>
          </w:tcPr>
          <w:p>
            <w:pPr/>
            <w:r>
              <w:t xml:space="preserve">24.5% (35% of grant pool)</w:t>
            </w:r>
          </w:p>
        </w:tc>
        <w:tc>
          <w:tcPr>
            <w:tcW w:w="3120" w:type="dxa"/>
          </w:tcPr>
          <w:p>
            <w:pPr/>
            <w:r>
              <w:t xml:space="preserve">Start-ups, VSLA-linked and community micro enterprises</w:t>
            </w:r>
          </w:p>
        </w:tc>
      </w:tr>
      <w:tr>
        <w:tc>
          <w:tcPr>
            <w:tcW w:w="3120" w:type="dxa"/>
          </w:tcPr>
          <w:p>
            <w:pPr/>
            <w:r>
              <w:t xml:space="preserve">Window B: Growth</w:t>
            </w:r>
          </w:p>
        </w:tc>
        <w:tc>
          <w:tcPr>
            <w:tcW w:w="3120" w:type="dxa"/>
          </w:tcPr>
          <w:p>
            <w:pPr/>
            <w:r>
              <w:t xml:space="preserve">28% (40% of grant pool)</w:t>
            </w:r>
          </w:p>
        </w:tc>
        <w:tc>
          <w:tcPr>
            <w:tcW w:w="3120" w:type="dxa"/>
          </w:tcPr>
          <w:p>
            <w:pPr/>
            <w:r>
              <w:t xml:space="preserve">Emerging MSMEs: upgrades, equipment, products</w:t>
            </w:r>
          </w:p>
        </w:tc>
      </w:tr>
      <w:tr>
        <w:tc>
          <w:tcPr>
            <w:tcW w:w="3120" w:type="dxa"/>
          </w:tcPr>
          <w:p>
            <w:pPr/>
            <w:r>
              <w:t xml:space="preserve">Window C: Scale and leverage</w:t>
            </w:r>
          </w:p>
        </w:tc>
        <w:tc>
          <w:tcPr>
            <w:tcW w:w="3120" w:type="dxa"/>
          </w:tcPr>
          <w:p>
            <w:pPr/>
            <w:r>
              <w:t xml:space="preserve">17.5% (25% of grant pool)</w:t>
            </w:r>
          </w:p>
        </w:tc>
        <w:tc>
          <w:tcPr>
            <w:tcW w:w="3120" w:type="dxa"/>
          </w:tcPr>
          <w:p>
            <w:pPr/>
            <w:r>
              <w:t xml:space="preserve">Scaling MSMEs with a lender term sheet; grant as quasi-equity or first-loss on their own loan</w:t>
            </w:r>
          </w:p>
        </w:tc>
      </w:tr>
      <w:tr>
        <w:tc>
          <w:tcPr>
            <w:tcW w:w="3120" w:type="dxa"/>
          </w:tcPr>
          <w:p>
            <w:pPr/>
            <w:r>
              <w:t xml:space="preserve">De-risking layer</w:t>
            </w:r>
          </w:p>
        </w:tc>
        <w:tc>
          <w:tcPr>
            <w:tcW w:w="3120" w:type="dxa"/>
          </w:tcPr>
          <w:p>
            <w:pPr/>
            <w:r>
              <w:t xml:space="preserve">15%</w:t>
            </w:r>
          </w:p>
        </w:tc>
        <w:tc>
          <w:tcPr>
            <w:tcW w:w="3120" w:type="dxa"/>
          </w:tcPr>
          <w:p>
            <w:pPr/>
            <w:r>
              <w:t xml:space="preserve">First-loss on partner-lender tourism portfolios; per-loan origination incentives for performing women- and youth-led loans; community guarantee fund matching</w:t>
            </w:r>
          </w:p>
        </w:tc>
      </w:tr>
      <w:tr>
        <w:tc>
          <w:tcPr>
            <w:tcW w:w="3120" w:type="dxa"/>
          </w:tcPr>
          <w:p>
            <w:pPr/>
            <w:r>
              <w:t xml:space="preserve">Technical assistance and pipeline</w:t>
            </w:r>
          </w:p>
        </w:tc>
        <w:tc>
          <w:tcPr>
            <w:tcW w:w="3120" w:type="dxa"/>
          </w:tcPr>
          <w:p>
            <w:pPr/>
            <w:r>
              <w:t xml:space="preserve">10%</w:t>
            </w:r>
          </w:p>
        </w:tc>
        <w:tc>
          <w:tcPr>
            <w:tcW w:w="3120" w:type="dxa"/>
          </w:tcPr>
          <w:p>
            <w:pPr/>
            <w:r>
              <w:t xml:space="preserve">Diagnostics, coaching, bookkeeping and digital onboarding, R-NBT checklist, lender training, dialogues</w:t>
            </w:r>
          </w:p>
        </w:tc>
      </w:tr>
      <w:tr>
        <w:tc>
          <w:tcPr>
            <w:tcW w:w="3120" w:type="dxa"/>
          </w:tcPr>
          <w:p>
            <w:pPr/>
            <w:r>
              <w:t xml:space="preserve">MEL and administration</w:t>
            </w:r>
          </w:p>
        </w:tc>
        <w:tc>
          <w:tcPr>
            <w:tcW w:w="3120" w:type="dxa"/>
          </w:tcPr>
          <w:p>
            <w:pPr/>
            <w:r>
              <w:t xml:space="preserve">5%</w:t>
            </w:r>
          </w:p>
        </w:tc>
        <w:tc>
          <w:tcPr>
            <w:tcW w:w="3120" w:type="dxa"/>
          </w:tcPr>
          <w:p>
            <w:pPr/>
            <w:r>
              <w:t xml:space="preserve">Data system, disaggregated reporting, evaluations</w:t>
            </w:r>
          </w:p>
        </w:tc>
      </w:tr>
    </w:tbl>
    <w:p>
      <w:pPr>
        <w:pStyle w:val="Heading3"/>
      </w:pPr>
      <w:r>
        <w:t xml:space="preserve">8.3 Window terms</w:t>
      </w:r>
    </w:p>
    <w:tbl>
      <w:tblPr>
        <w:tblStyle w:val="TableGrid"/>
        <w:tblW w:w="0" w:type="auto"/>
        <w:tblLayout w:type="fixed"/>
        <w:tblLook w:val="04A0" w:firstRow="1" w:lastRow="0" w:firstColumn="0" w:lastColumn="0" w:noHBand="0" w:noVBand="1"/>
        <w:tblLayout w:type="fixed"/>
      </w:tblPr>
      <w:tblGrid>
        <w:gridCol w:w="2060"/>
        <w:gridCol w:w="2692"/>
        <w:gridCol w:w="2207"/>
        <w:gridCol w:w="2398"/>
      </w:tblGrid>
      <w:tr>
        <w:trPr>
          <w:tblHeader/>
          <w:tblHeader w:val="true"/>
        </w:trPr>
        <w:tc>
          <w:tcPr>
            <w:tcW w:w="2061" w:type="dxa"/>
            <w:shd w:val="clear" w:color="auto" w:fill="F2F2F2"/>
          </w:tcPr>
          <w:p>
            <w:pPr/>
            <w:r>
              <w:rPr>
                <w:sz w:val="19"/>
              </w:rPr>
              <w:t xml:space="preserve">Term</w:t>
            </w:r>
          </w:p>
        </w:tc>
        <w:tc>
          <w:tcPr>
            <w:tcW w:w="2693" w:type="dxa"/>
            <w:shd w:val="clear" w:color="auto" w:fill="F2F2F2"/>
          </w:tcPr>
          <w:p>
            <w:pPr/>
            <w:r>
              <w:rPr>
                <w:sz w:val="19"/>
              </w:rPr>
              <w:t xml:space="preserve">A. Seed</w:t>
            </w:r>
          </w:p>
        </w:tc>
        <w:tc>
          <w:tcPr>
            <w:tcW w:w="2208" w:type="dxa"/>
            <w:shd w:val="clear" w:color="auto" w:fill="F2F2F2"/>
          </w:tcPr>
          <w:p>
            <w:pPr/>
            <w:r>
              <w:rPr>
                <w:sz w:val="19"/>
              </w:rPr>
              <w:t xml:space="preserve">B. Growth</w:t>
            </w:r>
          </w:p>
        </w:tc>
        <w:tc>
          <w:tcPr>
            <w:tcW w:w="2399" w:type="dxa"/>
            <w:shd w:val="clear" w:color="auto" w:fill="F2F2F2"/>
          </w:tcPr>
          <w:p>
            <w:pPr/>
            <w:r>
              <w:rPr>
                <w:sz w:val="19"/>
              </w:rPr>
              <w:t xml:space="preserve">C. Scale and leverage</w:t>
            </w:r>
          </w:p>
        </w:tc>
      </w:tr>
      <w:tr>
        <w:tc>
          <w:tcPr>
            <w:tcW w:w="2061" w:type="dxa"/>
          </w:tcPr>
          <w:p>
            <w:pPr/>
            <w:r>
              <w:rPr>
                <w:sz w:val="19"/>
              </w:rPr>
              <w:t xml:space="preserve">Grant size (USD)</w:t>
            </w:r>
          </w:p>
        </w:tc>
        <w:tc>
          <w:tcPr>
            <w:tcW w:w="2693" w:type="dxa"/>
          </w:tcPr>
          <w:p>
            <w:pPr/>
            <w:r>
              <w:rPr>
                <w:sz w:val="19"/>
              </w:rPr>
              <w:t xml:space="preserve">2,000–15,000</w:t>
            </w:r>
          </w:p>
        </w:tc>
        <w:tc>
          <w:tcPr>
            <w:tcW w:w="2208" w:type="dxa"/>
          </w:tcPr>
          <w:p>
            <w:pPr/>
            <w:r>
              <w:rPr>
                <w:sz w:val="19"/>
              </w:rPr>
              <w:t xml:space="preserve">15,000–75,000</w:t>
            </w:r>
          </w:p>
        </w:tc>
        <w:tc>
          <w:tcPr>
            <w:tcW w:w="2399" w:type="dxa"/>
          </w:tcPr>
          <w:p>
            <w:pPr/>
            <w:r>
              <w:rPr>
                <w:sz w:val="19"/>
              </w:rPr>
              <w:t xml:space="preserve">50,000–150,000</w:t>
            </w:r>
          </w:p>
        </w:tc>
      </w:tr>
      <w:tr>
        <w:tc>
          <w:tcPr>
            <w:tcW w:w="2061" w:type="dxa"/>
          </w:tcPr>
          <w:p>
            <w:pPr/>
            <w:r>
              <w:rPr>
                <w:sz w:val="19"/>
              </w:rPr>
              <w:t xml:space="preserve">Stage</w:t>
            </w:r>
          </w:p>
        </w:tc>
        <w:tc>
          <w:tcPr>
            <w:tcW w:w="2693" w:type="dxa"/>
          </w:tcPr>
          <w:p>
            <w:pPr/>
            <w:r>
              <w:rPr>
                <w:sz w:val="19"/>
              </w:rPr>
              <w:t xml:space="preserve">Start-up (under 2 seasons)</w:t>
            </w:r>
          </w:p>
        </w:tc>
        <w:tc>
          <w:tcPr>
            <w:tcW w:w="2208" w:type="dxa"/>
          </w:tcPr>
          <w:p>
            <w:pPr/>
            <w:r>
              <w:rPr>
                <w:sz w:val="19"/>
              </w:rPr>
              <w:t xml:space="preserve">Emerging (2–5 seasons)</w:t>
            </w:r>
          </w:p>
        </w:tc>
        <w:tc>
          <w:tcPr>
            <w:tcW w:w="2399" w:type="dxa"/>
          </w:tcPr>
          <w:p>
            <w:pPr/>
            <w:r>
              <w:rPr>
                <w:sz w:val="19"/>
              </w:rPr>
              <w:t xml:space="preserve">Scaling (5+ seasons)</w:t>
            </w:r>
          </w:p>
        </w:tc>
      </w:tr>
      <w:tr>
        <w:tc>
          <w:tcPr>
            <w:tcW w:w="2061" w:type="dxa"/>
          </w:tcPr>
          <w:p>
            <w:pPr/>
            <w:r>
              <w:rPr>
                <w:sz w:val="19"/>
              </w:rPr>
              <w:t xml:space="preserve">Matching</w:t>
            </w:r>
          </w:p>
        </w:tc>
        <w:tc>
          <w:tcPr>
            <w:tcW w:w="2693" w:type="dxa"/>
          </w:tcPr>
          <w:p>
            <w:pPr/>
            <w:r>
              <w:rPr>
                <w:sz w:val="19"/>
              </w:rPr>
              <w:t xml:space="preserve">10% (youth, women micro); 20% for community enterprises</w:t>
            </w:r>
          </w:p>
        </w:tc>
        <w:tc>
          <w:tcPr>
            <w:tcW w:w="2208" w:type="dxa"/>
          </w:tcPr>
          <w:p>
            <w:pPr/>
            <w:r>
              <w:rPr>
                <w:sz w:val="19"/>
              </w:rPr>
              <w:t xml:space="preserve">25–30%</w:t>
            </w:r>
          </w:p>
        </w:tc>
        <w:tc>
          <w:tcPr>
            <w:tcW w:w="2399" w:type="dxa"/>
          </w:tcPr>
          <w:p>
            <w:pPr/>
            <w:r>
              <w:rPr>
                <w:sz w:val="19"/>
              </w:rPr>
              <w:t xml:space="preserve">50%, at least half a loan</w:t>
            </w:r>
          </w:p>
        </w:tc>
      </w:tr>
      <w:tr>
        <w:tc>
          <w:tcPr>
            <w:tcW w:w="2061" w:type="dxa"/>
          </w:tcPr>
          <w:p>
            <w:pPr/>
            <w:r>
              <w:rPr>
                <w:sz w:val="19"/>
              </w:rPr>
              <w:t xml:space="preserve">In-kind match allowed</w:t>
            </w:r>
          </w:p>
        </w:tc>
        <w:tc>
          <w:tcPr>
            <w:tcW w:w="2693" w:type="dxa"/>
          </w:tcPr>
          <w:p>
            <w:pPr/>
            <w:r>
              <w:rPr>
                <w:sz w:val="19"/>
              </w:rPr>
              <w:t xml:space="preserve">Up to 100%</w:t>
            </w:r>
          </w:p>
        </w:tc>
        <w:tc>
          <w:tcPr>
            <w:tcW w:w="2208" w:type="dxa"/>
          </w:tcPr>
          <w:p>
            <w:pPr/>
            <w:r>
              <w:rPr>
                <w:sz w:val="19"/>
              </w:rPr>
              <w:t xml:space="preserve">Up to 50%</w:t>
            </w:r>
          </w:p>
        </w:tc>
        <w:tc>
          <w:tcPr>
            <w:tcW w:w="2399" w:type="dxa"/>
          </w:tcPr>
          <w:p>
            <w:pPr/>
            <w:r>
              <w:rPr>
                <w:sz w:val="19"/>
              </w:rPr>
              <w:t xml:space="preserve">Up to 20%</w:t>
            </w:r>
          </w:p>
        </w:tc>
      </w:tr>
      <w:tr>
        <w:tc>
          <w:tcPr>
            <w:tcW w:w="2061" w:type="dxa"/>
          </w:tcPr>
          <w:p>
            <w:pPr/>
            <w:r>
              <w:rPr>
                <w:sz w:val="19"/>
              </w:rPr>
              <w:t xml:space="preserve">Disbursement</w:t>
            </w:r>
          </w:p>
        </w:tc>
        <w:tc>
          <w:tcPr>
            <w:tcW w:w="2693" w:type="dxa"/>
          </w:tcPr>
          <w:p>
            <w:pPr/>
            <w:r>
              <w:rPr>
                <w:sz w:val="19"/>
              </w:rPr>
              <w:t xml:space="preserve">In-kind assets plus 2 cash tranches</w:t>
            </w:r>
          </w:p>
        </w:tc>
        <w:tc>
          <w:tcPr>
            <w:tcW w:w="2208" w:type="dxa"/>
          </w:tcPr>
          <w:p>
            <w:pPr/>
            <w:r>
              <w:rPr>
                <w:sz w:val="19"/>
              </w:rPr>
              <w:t xml:space="preserve">3 milestone tranches</w:t>
            </w:r>
          </w:p>
        </w:tc>
        <w:tc>
          <w:tcPr>
            <w:tcW w:w="2399" w:type="dxa"/>
          </w:tcPr>
          <w:p>
            <w:pPr/>
            <w:r>
              <w:rPr>
                <w:sz w:val="19"/>
              </w:rPr>
              <w:t xml:space="preserve">Tied to loan disbursement</w:t>
            </w:r>
          </w:p>
        </w:tc>
      </w:tr>
      <w:tr>
        <w:tc>
          <w:tcPr>
            <w:tcW w:w="2061" w:type="dxa"/>
          </w:tcPr>
          <w:p>
            <w:pPr/>
            <w:r>
              <w:rPr>
                <w:sz w:val="19"/>
              </w:rPr>
              <w:t xml:space="preserve">Formality required</w:t>
            </w:r>
          </w:p>
        </w:tc>
        <w:tc>
          <w:tcPr>
            <w:tcW w:w="2693" w:type="dxa"/>
          </w:tcPr>
          <w:p>
            <w:pPr/>
            <w:r>
              <w:rPr>
                <w:sz w:val="19"/>
              </w:rPr>
              <w:t xml:space="preserve">Basic registration within 6 months (cost covered)</w:t>
            </w:r>
          </w:p>
        </w:tc>
        <w:tc>
          <w:tcPr>
            <w:tcW w:w="2208" w:type="dxa"/>
          </w:tcPr>
          <w:p>
            <w:pPr/>
            <w:r>
              <w:rPr>
                <w:sz w:val="19"/>
              </w:rPr>
              <w:t xml:space="preserve">Registered, licensed</w:t>
            </w:r>
          </w:p>
        </w:tc>
        <w:tc>
          <w:tcPr>
            <w:tcW w:w="2399" w:type="dxa"/>
          </w:tcPr>
          <w:p>
            <w:pPr/>
            <w:r>
              <w:rPr>
                <w:sz w:val="19"/>
              </w:rPr>
              <w:t xml:space="preserve">Registered, licensed, 2 years of accounts</w:t>
            </w:r>
          </w:p>
        </w:tc>
      </w:tr>
      <w:tr>
        <w:tc>
          <w:tcPr>
            <w:tcW w:w="2061" w:type="dxa"/>
          </w:tcPr>
          <w:p>
            <w:pPr/>
            <w:r>
              <w:rPr>
                <w:sz w:val="19"/>
              </w:rPr>
              <w:t xml:space="preserve">Lender link</w:t>
            </w:r>
          </w:p>
        </w:tc>
        <w:tc>
          <w:tcPr>
            <w:tcW w:w="2693" w:type="dxa"/>
          </w:tcPr>
          <w:p>
            <w:pPr/>
            <w:r>
              <w:rPr>
                <w:sz w:val="19"/>
              </w:rPr>
              <w:t xml:space="preserve">Group or VSLA account opened</w:t>
            </w:r>
          </w:p>
        </w:tc>
        <w:tc>
          <w:tcPr>
            <w:tcW w:w="2208" w:type="dxa"/>
          </w:tcPr>
          <w:p>
            <w:pPr/>
            <w:r>
              <w:rPr>
                <w:sz w:val="19"/>
              </w:rPr>
              <w:t xml:space="preserve">Loan referral encouraged</w:t>
            </w:r>
          </w:p>
        </w:tc>
        <w:tc>
          <w:tcPr>
            <w:tcW w:w="2399" w:type="dxa"/>
          </w:tcPr>
          <w:p>
            <w:pPr/>
            <w:r>
              <w:rPr>
                <w:sz w:val="19"/>
              </w:rPr>
              <w:t xml:space="preserve">Lender term sheet mandatory</w:t>
            </w:r>
          </w:p>
        </w:tc>
      </w:tr>
      <w:tr>
        <w:tc>
          <w:tcPr>
            <w:tcW w:w="2061" w:type="dxa"/>
          </w:tcPr>
          <w:p>
            <w:pPr/>
            <w:r>
              <w:rPr>
                <w:sz w:val="19"/>
              </w:rPr>
              <w:t xml:space="preserve">Eligible uses</w:t>
            </w:r>
          </w:p>
        </w:tc>
        <w:tc>
          <w:tcPr>
            <w:tcW w:w="2693" w:type="dxa"/>
          </w:tcPr>
          <w:p>
            <w:pPr/>
            <w:r>
              <w:rPr>
                <w:sz w:val="19"/>
              </w:rPr>
              <w:t xml:space="preserve">Equipment, digital, marketing, new products, licences</w:t>
            </w:r>
          </w:p>
        </w:tc>
        <w:tc>
          <w:tcPr>
            <w:tcW w:w="2208" w:type="dxa"/>
          </w:tcPr>
          <w:p>
            <w:pPr/>
            <w:r>
              <w:rPr>
                <w:sz w:val="19"/>
              </w:rPr>
              <w:t xml:space="preserve">All categories in 6.11</w:t>
            </w:r>
          </w:p>
        </w:tc>
        <w:tc>
          <w:tcPr>
            <w:tcW w:w="2399" w:type="dxa"/>
          </w:tcPr>
          <w:p>
            <w:pPr/>
            <w:r>
              <w:rPr>
                <w:sz w:val="19"/>
              </w:rPr>
              <w:t xml:space="preserve">Facility upgrades, fleets, circular and conservation capex</w:t>
            </w:r>
          </w:p>
        </w:tc>
      </w:tr>
    </w:tbl>
    <w:p>
      <w:pPr>
        <w:pStyle w:val="Heading3"/>
      </w:pPr>
      <w:r>
        <w:t xml:space="preserve">8.4 Eligibility and targeting</w:t>
      </w:r>
    </w:p>
    <w:p>
      <w:pPr>
        <w:pStyle w:val="ListParagraph"/>
        <w:numPr>
          <w:ilvl w:val="0"/>
          <w:numId w:val="23"/>
        </w:numPr>
      </w:pPr>
      <w:r>
        <w:rPr>
          <w:b/>
        </w:rPr>
        <w:t xml:space="preserve">Location:</w:t>
      </w:r>
      <w:r>
        <w:t xml:space="preserve"> enterprise operates in the KAZA TFCA. Priority goes to wards, conservancies, trusts and GMAs next to protected areas: 60% of grant value or more.</w:t>
      </w:r>
    </w:p>
    <w:p>
      <w:pPr>
        <w:pStyle w:val="ListParagraph"/>
        <w:numPr>
          <w:ilvl w:val="0"/>
          <w:numId w:val="23"/>
        </w:numPr>
      </w:pPr>
      <w:r>
        <w:rPr>
          <w:b/>
        </w:rPr>
        <w:t xml:space="preserve">Women-led:</w:t>
      </w:r>
      <w:r>
        <w:t xml:space="preserve"> 51% or more owned by women, or 25% or more owned by women with a woman CEO or managing partner (2X Challenge-aligned). Target: at least 50% of grant value.</w:t>
      </w:r>
    </w:p>
    <w:p>
      <w:pPr>
        <w:pStyle w:val="ListParagraph"/>
        <w:numPr>
          <w:ilvl w:val="0"/>
          <w:numId w:val="23"/>
        </w:numPr>
      </w:pPr>
      <w:r>
        <w:rPr>
          <w:b/>
        </w:rPr>
        <w:t xml:space="preserve">Youth-led:</w:t>
      </w:r>
      <w:r>
        <w:t xml:space="preserve"> 51% or more owned by people aged 18–35. Target: at least 40% of grant value (overlap with women-led allowed).</w:t>
      </w:r>
    </w:p>
    <w:p>
      <w:pPr>
        <w:pStyle w:val="ListParagraph"/>
        <w:numPr>
          <w:ilvl w:val="0"/>
          <w:numId w:val="23"/>
        </w:numPr>
      </w:pPr>
      <w:r>
        <w:rPr>
          <w:b/>
        </w:rPr>
        <w:t xml:space="preserve">Community enterprises:</w:t>
      </w:r>
      <w:r>
        <w:t xml:space="preserve"> legally constituted trust, conservancy, CRB or CAMPFIRE ward enterprise, with a benefit-sharing plan showing allocation to women and youth.</w:t>
      </w:r>
    </w:p>
    <w:p>
      <w:pPr>
        <w:pStyle w:val="ListParagraph"/>
        <w:numPr>
          <w:ilvl w:val="0"/>
          <w:numId w:val="23"/>
        </w:numPr>
      </w:pPr>
      <w:r>
        <w:rPr>
          <w:b/>
        </w:rPr>
        <w:t xml:space="preserve">Regenerative screen:</w:t>
      </w:r>
      <w:r>
        <w:t xml:space="preserve"> a minimum score on the 10-point KAZA R-NBT checklist (6.6), with an improvement plan.</w:t>
      </w:r>
    </w:p>
    <w:p>
      <w:pPr>
        <w:pStyle w:val="ListParagraph"/>
        <w:numPr>
          <w:ilvl w:val="0"/>
          <w:numId w:val="23"/>
        </w:numPr>
      </w:pPr>
      <w:r>
        <w:rPr>
          <w:b/>
        </w:rPr>
        <w:t xml:space="preserve">Exclusions:</w:t>
      </w:r>
      <w:r>
        <w:t xml:space="preserve"> hunting operations (unless the facility's donors decide otherwise), firms already above USD 2 million turnover, and enterprises on the IFC exclusion list.</w:t>
      </w:r>
    </w:p>
    <w:p>
      <w:pPr>
        <w:pStyle w:val="Heading3"/>
      </w:pPr>
      <w:r>
        <w:t xml:space="preserve">8.5 Selection criteria and weights</w:t>
      </w:r>
    </w:p>
    <w:tbl>
      <w:tblPr>
        <w:tblStyle w:val="TableGrid"/>
        <w:tblW w:w="0" w:type="auto"/>
        <w:tblLayout w:type="fixed"/>
        <w:tblLook w:val="04A0" w:firstRow="1" w:lastRow="0" w:firstColumn="0" w:lastColumn="0" w:noHBand="0" w:noVBand="1"/>
      </w:tblPr>
      <w:tblGrid>
        <w:gridCol w:w="4680"/>
        <w:gridCol w:w="4680"/>
      </w:tblGrid>
      <w:tr>
        <w:trPr>
          <w:tblHeader/>
          <w:tblHeader w:val="true"/>
        </w:trPr>
        <w:tc>
          <w:tcPr>
            <w:tcW w:w="4680" w:type="dxa"/>
            <w:shd w:val="clear" w:color="auto" w:fill="F2F2F2"/>
          </w:tcPr>
          <w:p>
            <w:pPr/>
            <w:r>
              <w:t xml:space="preserve">Criterion</w:t>
            </w:r>
          </w:p>
        </w:tc>
        <w:tc>
          <w:tcPr>
            <w:tcW w:w="4680" w:type="dxa"/>
            <w:shd w:val="clear" w:color="auto" w:fill="F2F2F2"/>
          </w:tcPr>
          <w:p>
            <w:pPr/>
            <w:r>
              <w:t xml:space="preserve">Weight</w:t>
            </w:r>
          </w:p>
        </w:tc>
      </w:tr>
      <w:tr>
        <w:tc>
          <w:tcPr>
            <w:tcW w:w="4680" w:type="dxa"/>
          </w:tcPr>
          <w:p>
            <w:pPr/>
            <w:r>
              <w:t xml:space="preserve">Business viability and seasonal cash-flow plan</w:t>
            </w:r>
          </w:p>
        </w:tc>
        <w:tc>
          <w:tcPr>
            <w:tcW w:w="4680" w:type="dxa"/>
          </w:tcPr>
          <w:p>
            <w:pPr/>
            <w:r>
              <w:t xml:space="preserve">25%</w:t>
            </w:r>
          </w:p>
        </w:tc>
      </w:tr>
      <w:tr>
        <w:tc>
          <w:tcPr>
            <w:tcW w:w="4680" w:type="dxa"/>
          </w:tcPr>
          <w:p>
            <w:pPr/>
            <w:r>
              <w:t xml:space="preserve">Regenerative contribution (R-NBT checklist)</w:t>
            </w:r>
          </w:p>
        </w:tc>
        <w:tc>
          <w:tcPr>
            <w:tcW w:w="4680" w:type="dxa"/>
          </w:tcPr>
          <w:p>
            <w:pPr/>
            <w:r>
              <w:t xml:space="preserve">20%</w:t>
            </w:r>
          </w:p>
        </w:tc>
      </w:tr>
      <w:tr>
        <w:tc>
          <w:tcPr>
            <w:tcW w:w="4680" w:type="dxa"/>
          </w:tcPr>
          <w:p>
            <w:pPr/>
            <w:r>
              <w:t xml:space="preserve">Women, youth and community inclusion (ownership, jobs, benefit-sharing)</w:t>
            </w:r>
          </w:p>
        </w:tc>
        <w:tc>
          <w:tcPr>
            <w:tcW w:w="4680" w:type="dxa"/>
          </w:tcPr>
          <w:p>
            <w:pPr/>
            <w:r>
              <w:t xml:space="preserve">20%</w:t>
            </w:r>
          </w:p>
        </w:tc>
      </w:tr>
      <w:tr>
        <w:tc>
          <w:tcPr>
            <w:tcW w:w="4680" w:type="dxa"/>
          </w:tcPr>
          <w:p>
            <w:pPr/>
            <w:r>
              <w:t xml:space="preserve">Market linkage (contracts, bookings, anchor letter)</w:t>
            </w:r>
          </w:p>
        </w:tc>
        <w:tc>
          <w:tcPr>
            <w:tcW w:w="4680" w:type="dxa"/>
          </w:tcPr>
          <w:p>
            <w:pPr/>
            <w:r>
              <w:t xml:space="preserve">15%</w:t>
            </w:r>
          </w:p>
        </w:tc>
      </w:tr>
      <w:tr>
        <w:tc>
          <w:tcPr>
            <w:tcW w:w="4680" w:type="dxa"/>
          </w:tcPr>
          <w:p>
            <w:pPr/>
            <w:r>
              <w:t xml:space="preserve">Leverage potential (loan or own funds)</w:t>
            </w:r>
          </w:p>
        </w:tc>
        <w:tc>
          <w:tcPr>
            <w:tcW w:w="4680" w:type="dxa"/>
          </w:tcPr>
          <w:p>
            <w:pPr/>
            <w:r>
              <w:t xml:space="preserve">10%</w:t>
            </w:r>
          </w:p>
        </w:tc>
      </w:tr>
      <w:tr>
        <w:tc>
          <w:tcPr>
            <w:tcW w:w="4680" w:type="dxa"/>
          </w:tcPr>
          <w:p>
            <w:pPr/>
            <w:r>
              <w:t xml:space="preserve">Proximity to protected area and conservation link</w:t>
            </w:r>
          </w:p>
        </w:tc>
        <w:tc>
          <w:tcPr>
            <w:tcW w:w="4680" w:type="dxa"/>
          </w:tcPr>
          <w:p>
            <w:pPr/>
            <w:r>
              <w:t xml:space="preserve">10%</w:t>
            </w:r>
          </w:p>
        </w:tc>
      </w:tr>
    </w:tbl>
    <w:p>
      <w:pPr/>
      <w:r>
        <w:t xml:space="preserve">Women and youth applicants are scored by panels that include women and youth members. Pitch-based selection is done in local languages.</w:t>
      </w:r>
    </w:p>
    <w:p>
      <w:pPr>
        <w:pStyle w:val="Heading3"/>
      </w:pPr>
      <w:r>
        <w:t xml:space="preserve">8.6 Governance and delivery</w:t>
      </w:r>
    </w:p>
    <w:p>
      <w:pPr>
        <w:pStyle w:val="ListParagraph"/>
        <w:numPr>
          <w:ilvl w:val="0"/>
          <w:numId w:val="24"/>
        </w:numPr>
      </w:pPr>
      <w:r>
        <w:rPr>
          <w:b/>
        </w:rPr>
        <w:t xml:space="preserve">Facility manager:</w:t>
      </w:r>
      <w:r>
        <w:t xml:space="preserve"> a competitively selected fund manager or consortium with a KAZA presence and a hub office in Kasane.</w:t>
      </w:r>
    </w:p>
    <w:p>
      <w:pPr>
        <w:pStyle w:val="ListParagraph"/>
        <w:numPr>
          <w:ilvl w:val="0"/>
          <w:numId w:val="24"/>
        </w:numPr>
      </w:pPr>
      <w:r>
        <w:rPr>
          <w:b/>
        </w:rPr>
        <w:t xml:space="preserve">Investment committee:</w:t>
      </w:r>
      <w:r>
        <w:t xml:space="preserve"> KAZA Secretariat, GIZ, an EU observer, two independent finance experts, and one women's and one youth representative. Each Partner State is represented on a rotating basis.</w:t>
      </w:r>
    </w:p>
    <w:p>
      <w:pPr>
        <w:pStyle w:val="ListParagraph"/>
        <w:numPr>
          <w:ilvl w:val="0"/>
          <w:numId w:val="24"/>
        </w:numPr>
      </w:pPr>
      <w:r>
        <w:rPr>
          <w:b/>
        </w:rPr>
        <w:t xml:space="preserve">Country delivery partners:</w:t>
      </w:r>
      <w:r>
        <w:t xml:space="preserve"> LEA and CEDA (BW), NTB/MIT SME units and DBN (NA), CEEC and ZDA (ZM), SMEDCO and ZTA (ZW), INAPEM (AO). NGOs such as WWF, Peace Parks, CI, AWF and NACSO help with outreach and coaching.</w:t>
      </w:r>
    </w:p>
    <w:p>
      <w:pPr>
        <w:pStyle w:val="ListParagraph"/>
        <w:numPr>
          <w:ilvl w:val="0"/>
          <w:numId w:val="24"/>
        </w:numPr>
      </w:pPr>
      <w:r>
        <w:rPr>
          <w:b/>
        </w:rPr>
        <w:t xml:space="preserve">Partner lenders:</w:t>
      </w:r>
      <w:r>
        <w:t xml:space="preserve"> at least one bank or MFI per country under a cooperation agreement covering seasonal products, alternative collateral, data sharing and the first-loss terms.</w:t>
      </w:r>
    </w:p>
    <w:p>
      <w:pPr>
        <w:pStyle w:val="ListParagraph"/>
        <w:numPr>
          <w:ilvl w:val="0"/>
          <w:numId w:val="24"/>
        </w:numPr>
      </w:pPr>
      <w:r>
        <w:rPr>
          <w:b/>
        </w:rPr>
        <w:t xml:space="preserve">Process:</w:t>
      </w:r>
      <w:r>
        <w:t xml:space="preserve"> a call per country per year, then pre-screen, diagnostic, 6–8 weeks of coaching, pitch, IC decision, tranche contracts and graduation tracking. Target decision time is 60 days or less.</w:t>
      </w:r>
    </w:p>
    <w:p>
      <w:pPr>
        <w:pStyle w:val="Heading3"/>
      </w:pPr>
      <w:r>
        <w:t xml:space="preserve">8.7 Measurement, evaluation and learning</w:t>
      </w:r>
    </w:p>
    <w:p>
      <w:pPr/>
      <w:r>
        <w:t xml:space="preserve">All indicators are disaggregated by sex and age of owner (under 25, 25–35, over 35), enterprise size, stage, segment, country and protected-area adjacency.</w:t>
      </w:r>
    </w:p>
    <w:tbl>
      <w:tblPr>
        <w:tblStyle w:val="TableGrid"/>
        <w:tblW w:w="0" w:type="auto"/>
        <w:tblLayout w:type="fixed"/>
        <w:tblLook w:val="04A0" w:firstRow="1" w:lastRow="0" w:firstColumn="0" w:lastColumn="0" w:noHBand="0" w:noVBand="1"/>
      </w:tblPr>
      <w:tblGrid>
        <w:gridCol w:w="4680"/>
        <w:gridCol w:w="4680"/>
      </w:tblGrid>
      <w:tr>
        <w:trPr>
          <w:tblHeader/>
          <w:tblHeader w:val="true"/>
        </w:trPr>
        <w:tc>
          <w:tcPr>
            <w:tcW w:w="4680" w:type="dxa"/>
            <w:shd w:val="clear" w:color="auto" w:fill="F2F2F2"/>
          </w:tcPr>
          <w:p>
            <w:pPr/>
            <w:r>
              <w:t xml:space="preserve">Indicator</w:t>
            </w:r>
          </w:p>
        </w:tc>
        <w:tc>
          <w:tcPr>
            <w:tcW w:w="4680" w:type="dxa"/>
            <w:shd w:val="clear" w:color="auto" w:fill="F2F2F2"/>
          </w:tcPr>
          <w:p>
            <w:pPr/>
            <w:r>
              <w:t xml:space="preserve">Target (indicative)</w:t>
            </w:r>
          </w:p>
        </w:tc>
      </w:tr>
      <w:tr>
        <w:tc>
          <w:tcPr>
            <w:tcW w:w="4680" w:type="dxa"/>
          </w:tcPr>
          <w:p>
            <w:pPr/>
            <w:r>
              <w:t xml:space="preserve">MSMEs supported (grants)</w:t>
            </w:r>
          </w:p>
        </w:tc>
        <w:tc>
          <w:tcPr>
            <w:tcW w:w="4680" w:type="dxa"/>
          </w:tcPr>
          <w:p>
            <w:pPr/>
            <w:r>
              <w:t xml:space="preserve">Set by budget; at least 50% women-led, at least 40% youth-led</w:t>
            </w:r>
          </w:p>
        </w:tc>
      </w:tr>
      <w:tr>
        <w:tc>
          <w:tcPr>
            <w:tcW w:w="4680" w:type="dxa"/>
          </w:tcPr>
          <w:p>
            <w:pPr/>
            <w:r>
              <w:t xml:space="preserve">Finance leveraged (loans plus own funds) per grant dollar</w:t>
            </w:r>
          </w:p>
        </w:tc>
        <w:tc>
          <w:tcPr>
            <w:tcW w:w="4680" w:type="dxa"/>
          </w:tcPr>
          <w:p>
            <w:pPr/>
            <w:r>
              <w:t xml:space="preserve">1:1 or better at close; 2:1 for Window C</w:t>
            </w:r>
          </w:p>
        </w:tc>
      </w:tr>
      <w:tr>
        <w:tc>
          <w:tcPr>
            <w:tcW w:w="4680" w:type="dxa"/>
          </w:tcPr>
          <w:p>
            <w:pPr/>
            <w:r>
              <w:t xml:space="preserve">Grantees who access a formal loan within 24 months</w:t>
            </w:r>
          </w:p>
        </w:tc>
        <w:tc>
          <w:tcPr>
            <w:tcW w:w="4680" w:type="dxa"/>
          </w:tcPr>
          <w:p>
            <w:pPr/>
            <w:r>
              <w:t xml:space="preserve">30% or more</w:t>
            </w:r>
          </w:p>
        </w:tc>
      </w:tr>
      <w:tr>
        <w:tc>
          <w:tcPr>
            <w:tcW w:w="4680" w:type="dxa"/>
          </w:tcPr>
          <w:p>
            <w:pPr/>
            <w:r>
              <w:t xml:space="preserve">Portfolio at risk over 30 days on facility-linked loans, by season</w:t>
            </w:r>
          </w:p>
        </w:tc>
        <w:tc>
          <w:tcPr>
            <w:tcW w:w="4680" w:type="dxa"/>
          </w:tcPr>
          <w:p>
            <w:pPr/>
            <w:r>
              <w:t xml:space="preserve">8% or less in high season, 15% or less in low season</w:t>
            </w:r>
          </w:p>
        </w:tc>
      </w:tr>
      <w:tr>
        <w:tc>
          <w:tcPr>
            <w:tcW w:w="4680" w:type="dxa"/>
          </w:tcPr>
          <w:p>
            <w:pPr/>
            <w:r>
              <w:t xml:space="preserve">Jobs created or sustained (FTE), women and youth share</w:t>
            </w:r>
          </w:p>
        </w:tc>
        <w:tc>
          <w:tcPr>
            <w:tcW w:w="4680" w:type="dxa"/>
          </w:tcPr>
          <w:p>
            <w:pPr/>
            <w:r>
              <w:t xml:space="preserve">Women 50% or more, youth 40% or more</w:t>
            </w:r>
          </w:p>
        </w:tc>
      </w:tr>
      <w:tr>
        <w:tc>
          <w:tcPr>
            <w:tcW w:w="4680" w:type="dxa"/>
          </w:tcPr>
          <w:p>
            <w:pPr/>
            <w:r>
              <w:t xml:space="preserve">Average days to supplier payment (Compact signatories)</w:t>
            </w:r>
          </w:p>
        </w:tc>
        <w:tc>
          <w:tcPr>
            <w:tcW w:w="4680" w:type="dxa"/>
          </w:tcPr>
          <w:p>
            <w:pPr/>
            <w:r>
              <w:t xml:space="preserve">15 days or less for micro suppliers</w:t>
            </w:r>
          </w:p>
        </w:tc>
      </w:tr>
      <w:tr>
        <w:tc>
          <w:tcPr>
            <w:tcW w:w="4680" w:type="dxa"/>
          </w:tcPr>
          <w:p>
            <w:pPr/>
            <w:r>
              <w:t xml:space="preserve">R-NBT checklist score improvement</w:t>
            </w:r>
          </w:p>
        </w:tc>
        <w:tc>
          <w:tcPr>
            <w:tcW w:w="4680" w:type="dxa"/>
          </w:tcPr>
          <w:p>
            <w:pPr/>
            <w:r>
              <w:t xml:space="preserve">+2 points on average</w:t>
            </w:r>
          </w:p>
        </w:tc>
      </w:tr>
      <w:tr>
        <w:tc>
          <w:tcPr>
            <w:tcW w:w="4680" w:type="dxa"/>
          </w:tcPr>
          <w:p>
            <w:pPr/>
            <w:r>
              <w:t xml:space="preserve">Rejection reasons recorded by lenders (by gender and age)</w:t>
            </w:r>
          </w:p>
        </w:tc>
        <w:tc>
          <w:tcPr>
            <w:tcW w:w="4680" w:type="dxa"/>
          </w:tcPr>
          <w:p>
            <w:pPr/>
            <w:r>
              <w:t xml:space="preserve">100% of referrals</w:t>
            </w:r>
          </w:p>
        </w:tc>
      </w:tr>
    </w:tbl>
    <w:p>
      <w:pPr/>
      <w:r>
        <w:rPr>
          <w:b/>
        </w:rPr>
        <w:t xml:space="preserve">Primary data to collect at inception:</w:t>
      </w:r>
    </w:p>
    <w:p>
      <w:pPr>
        <w:pStyle w:val="ListParagraph"/>
        <w:numPr>
          <w:ilvl w:val="0"/>
          <w:numId w:val="25"/>
        </w:numPr>
      </w:pPr>
      <w:r>
        <w:t xml:space="preserve">An MSME baseline survey of about 600 MSMEs across 5 countries, stratified by sex, age, segment and adjacency, covering cash-flow seasonality, collateral holdings and informal finance use.</w:t>
      </w:r>
    </w:p>
    <w:p>
      <w:pPr>
        <w:pStyle w:val="ListParagraph"/>
        <w:numPr>
          <w:ilvl w:val="0"/>
          <w:numId w:val="25"/>
        </w:numPr>
      </w:pPr>
      <w:r>
        <w:t xml:space="preserve">Interviews with 25–30 financial institutions on risk views, products and willingness to adopt women and youth incentives.</w:t>
      </w:r>
    </w:p>
    <w:p>
      <w:pPr>
        <w:pStyle w:val="ListParagraph"/>
        <w:numPr>
          <w:ilvl w:val="0"/>
          <w:numId w:val="25"/>
        </w:numPr>
      </w:pPr>
      <w:r>
        <w:t xml:space="preserve">Operator surveys on payment days and contract terms.</w:t>
      </w:r>
    </w:p>
    <w:p>
      <w:pPr>
        <w:pStyle w:val="ListParagraph"/>
        <w:numPr>
          <w:ilvl w:val="0"/>
          <w:numId w:val="25"/>
        </w:numPr>
      </w:pPr>
      <w:r>
        <w:t xml:space="preserve">VSLA and conservancy fund mapping in the pilot hubs.</w:t>
      </w:r>
    </w:p>
    <w:p>
      <w:pPr>
        <w:pStyle w:val="Heading3"/>
      </w:pPr>
      <w:r>
        <w:t xml:space="preserve">8.8 Key risks and mitigations</w:t>
      </w:r>
    </w:p>
    <w:tbl>
      <w:tblPr>
        <w:tblStyle w:val="TableGrid"/>
        <w:tblW w:w="0" w:type="auto"/>
        <w:tblLayout w:type="fixed"/>
        <w:tblLook w:val="04A0" w:firstRow="1" w:lastRow="0" w:firstColumn="0" w:lastColumn="0" w:noHBand="0" w:noVBand="1"/>
      </w:tblPr>
      <w:tblGrid>
        <w:gridCol w:w="4680"/>
        <w:gridCol w:w="4680"/>
      </w:tblGrid>
      <w:tr>
        <w:trPr>
          <w:tblHeader/>
          <w:tblHeader w:val="true"/>
        </w:trPr>
        <w:tc>
          <w:tcPr>
            <w:tcW w:w="4680" w:type="dxa"/>
            <w:shd w:val="clear" w:color="auto" w:fill="F2F2F2"/>
          </w:tcPr>
          <w:p>
            <w:pPr/>
            <w:r>
              <w:t xml:space="preserve">Risk</w:t>
            </w:r>
          </w:p>
        </w:tc>
        <w:tc>
          <w:tcPr>
            <w:tcW w:w="4680" w:type="dxa"/>
            <w:shd w:val="clear" w:color="auto" w:fill="F2F2F2"/>
          </w:tcPr>
          <w:p>
            <w:pPr/>
            <w:r>
              <w:t xml:space="preserve">Mitigation</w:t>
            </w:r>
          </w:p>
        </w:tc>
      </w:tr>
      <w:tr>
        <w:tc>
          <w:tcPr>
            <w:tcW w:w="4680" w:type="dxa"/>
          </w:tcPr>
          <w:p>
            <w:pPr/>
            <w:r>
              <w:t xml:space="preserve">Elite capture of community grants</w:t>
            </w:r>
          </w:p>
        </w:tc>
        <w:tc>
          <w:tcPr>
            <w:tcW w:w="4680" w:type="dxa"/>
          </w:tcPr>
          <w:p>
            <w:pPr/>
            <w:r>
              <w:t xml:space="preserve">Benefit-sharing plans, women and youth quotas, public disclosure, independent audit</w:t>
            </w:r>
          </w:p>
        </w:tc>
      </w:tr>
      <w:tr>
        <w:tc>
          <w:tcPr>
            <w:tcW w:w="4680" w:type="dxa"/>
          </w:tcPr>
          <w:p>
            <w:pPr/>
            <w:r>
              <w:t xml:space="preserve">Grant dependency, no graduation to finance</w:t>
            </w:r>
          </w:p>
        </w:tc>
        <w:tc>
          <w:tcPr>
            <w:tcW w:w="4680" w:type="dxa"/>
          </w:tcPr>
          <w:p>
            <w:pPr/>
            <w:r>
              <w:t xml:space="preserve">Mandatory lender link in Window C; graduation milestones; first-loss tied to lending</w:t>
            </w:r>
          </w:p>
        </w:tc>
      </w:tr>
      <w:tr>
        <w:tc>
          <w:tcPr>
            <w:tcW w:w="4680" w:type="dxa"/>
          </w:tcPr>
          <w:p>
            <w:pPr/>
            <w:r>
              <w:t xml:space="preserve">Low lender uptake (as with Zimbabwe's USD 15m Tourism Revival Fund)</w:t>
            </w:r>
          </w:p>
        </w:tc>
        <w:tc>
          <w:tcPr>
            <w:tcW w:w="4680" w:type="dxa"/>
          </w:tcPr>
          <w:p>
            <w:pPr/>
            <w:r>
              <w:t xml:space="preserve">Bank-intermediated delivery, local-currency and USD options, simple process, active BSO marketing</w:t>
            </w:r>
          </w:p>
        </w:tc>
      </w:tr>
      <w:tr>
        <w:tc>
          <w:tcPr>
            <w:tcW w:w="4680" w:type="dxa"/>
          </w:tcPr>
          <w:p>
            <w:pPr/>
            <w:r>
              <w:t xml:space="preserve">Shocks (drought, pandemic, currency)</w:t>
            </w:r>
          </w:p>
        </w:tc>
        <w:tc>
          <w:tcPr>
            <w:tcW w:w="4680" w:type="dxa"/>
          </w:tcPr>
          <w:p>
            <w:pPr/>
            <w:r>
              <w:t xml:space="preserve">Shock clauses, contingency reserve (5% of the de-risking layer)</w:t>
            </w:r>
          </w:p>
        </w:tc>
      </w:tr>
      <w:tr>
        <w:tc>
          <w:tcPr>
            <w:tcW w:w="4680" w:type="dxa"/>
          </w:tcPr>
          <w:p>
            <w:pPr/>
            <w:r>
              <w:t xml:space="preserve">Gender-based backlash or control of women's grants by others</w:t>
            </w:r>
          </w:p>
        </w:tc>
        <w:tc>
          <w:tcPr>
            <w:tcW w:w="4680" w:type="dxa"/>
          </w:tcPr>
          <w:p>
            <w:pPr/>
            <w:r>
              <w:t xml:space="preserve">Women-only sessions, assets registered in women's names, safeguarding and GBV referral</w:t>
            </w:r>
          </w:p>
        </w:tc>
      </w:tr>
      <w:tr>
        <w:tc>
          <w:tcPr>
            <w:tcW w:w="4680" w:type="dxa"/>
          </w:tcPr>
          <w:p>
            <w:pPr/>
            <w:r>
              <w:t xml:space="preserve">Wildlife and environmental harm</w:t>
            </w:r>
          </w:p>
        </w:tc>
        <w:tc>
          <w:tcPr>
            <w:tcW w:w="4680" w:type="dxa"/>
          </w:tcPr>
          <w:p>
            <w:pPr/>
            <w:r>
              <w:t xml:space="preserve">R-NBT screening, E&amp;S exclusion list, monitoring</w:t>
            </w:r>
          </w:p>
        </w:tc>
      </w:tr>
    </w:tbl>
    <w:p>
      <w:pPr>
        <w:sectPr>
          <w:pgSz w:w="12240" w:h="15840"/>
          <w:pgMar w:top="1440" w:right="1440" w:bottom="1440" w:left="1440" w:header="720" w:footer="720" w:gutter="0"/>
        </w:sectPr>
      </w:pPr>
    </w:p>
    <w:p>
      <w:pPr>
        <w:pStyle w:val="Heading2"/>
      </w:pPr>
      <w:r>
        <w:t xml:space="preserve">Annex A. Stakeholder contact database</w:t>
      </w:r>
    </w:p>
    <w:p>
      <w:pPr/>
      <w:r>
        <w:t xml:space="preserve">The database lists 69 institutions across the region and the five Partner States, with each one's role in the facility. Named people, phone numbers and emails are deliberately left out. They should be confirmed from official sources when interviews are scheduled, and they are subject to data-protection consent. Websites are the institutions' known official domains and still need checking. </w:t>
      </w:r>
      <w:r>
        <w:rPr>
          <w:i/>
        </w:rPr>
        <w:t xml:space="preserve">To confirm</w:t>
      </w:r>
      <w:r>
        <w:t xml:space="preserve"> marks a domain that wasn't established. A CSV copy, with space for named contacts, is in the project repository (</w:t>
      </w:r>
      <w:r>
        <w:rPr>
          <w:rStyle w:val="CodeChar"/>
        </w:rPr>
        <w:t xml:space="preserve">annex/KAZA_Stakeholder_Contact_Database.csv</w:t>
      </w:r>
      <w:r>
        <w:t xml:space="preserve">).</w:t>
      </w:r>
    </w:p>
    <w:tbl>
      <w:tblPr>
        <w:tblStyle w:val="TableGrid"/>
        <w:tblW w:w="0" w:type="auto"/>
        <w:tblLayout w:type="fixed"/>
        <w:tblLook w:val="04A0" w:firstRow="1" w:lastRow="0" w:firstColumn="0" w:lastColumn="0" w:noHBand="0" w:noVBand="1"/>
        <w:tblLayout w:type="fixed"/>
      </w:tblPr>
      <w:tblGrid>
        <w:gridCol w:w="537"/>
        <w:gridCol w:w="2137"/>
        <w:gridCol w:w="1074"/>
        <w:gridCol w:w="1397"/>
        <w:gridCol w:w="2374"/>
        <w:gridCol w:w="1504"/>
        <w:gridCol w:w="1785"/>
        <w:gridCol w:w="2149"/>
      </w:tblGrid>
      <w:tr>
        <w:trPr>
          <w:tblHeader/>
          <w:tblHeader w:val="true"/>
        </w:trPr>
        <w:tc>
          <w:tcPr>
            <w:tcW w:w="537" w:type="dxa"/>
            <w:shd w:val="clear" w:color="auto" w:fill="F2F2F2"/>
          </w:tcPr>
          <w:p>
            <w:pPr/>
            <w:r>
              <w:rPr>
                <w:sz w:val="16"/>
              </w:rPr>
              <w:t xml:space="preserve">ID</w:t>
            </w:r>
          </w:p>
        </w:tc>
        <w:tc>
          <w:tcPr>
            <w:tcW w:w="2137" w:type="dxa"/>
            <w:shd w:val="clear" w:color="auto" w:fill="F2F2F2"/>
          </w:tcPr>
          <w:p>
            <w:pPr/>
            <w:r>
              <w:rPr>
                <w:sz w:val="16"/>
              </w:rPr>
              <w:t xml:space="preserve">Organisation</w:t>
            </w:r>
          </w:p>
        </w:tc>
        <w:tc>
          <w:tcPr>
            <w:tcW w:w="1075" w:type="dxa"/>
            <w:shd w:val="clear" w:color="auto" w:fill="F2F2F2"/>
          </w:tcPr>
          <w:p>
            <w:pPr/>
            <w:r>
              <w:rPr>
                <w:sz w:val="16"/>
              </w:rPr>
              <w:t xml:space="preserve">Country</w:t>
            </w:r>
          </w:p>
        </w:tc>
        <w:tc>
          <w:tcPr>
            <w:tcW w:w="1397" w:type="dxa"/>
            <w:shd w:val="clear" w:color="auto" w:fill="F2F2F2"/>
          </w:tcPr>
          <w:p>
            <w:pPr/>
            <w:r>
              <w:rPr>
                <w:sz w:val="16"/>
              </w:rPr>
              <w:t xml:space="preserve">Category</w:t>
            </w:r>
          </w:p>
        </w:tc>
        <w:tc>
          <w:tcPr>
            <w:tcW w:w="2374" w:type="dxa"/>
            <w:shd w:val="clear" w:color="auto" w:fill="F2F2F2"/>
          </w:tcPr>
          <w:p>
            <w:pPr/>
            <w:r>
              <w:rPr>
                <w:sz w:val="16"/>
              </w:rPr>
              <w:t xml:space="preserve">Role for the facility</w:t>
            </w:r>
          </w:p>
        </w:tc>
        <w:tc>
          <w:tcPr>
            <w:tcW w:w="1505" w:type="dxa"/>
            <w:shd w:val="clear" w:color="auto" w:fill="F2F2F2"/>
          </w:tcPr>
          <w:p>
            <w:pPr/>
            <w:r>
              <w:rPr>
                <w:sz w:val="16"/>
              </w:rPr>
              <w:t xml:space="preserve">Hub or office</w:t>
            </w:r>
          </w:p>
        </w:tc>
        <w:tc>
          <w:tcPr>
            <w:tcW w:w="1785" w:type="dxa"/>
            <w:shd w:val="clear" w:color="auto" w:fill="F2F2F2"/>
          </w:tcPr>
          <w:p>
            <w:pPr/>
            <w:r>
              <w:rPr>
                <w:sz w:val="16"/>
              </w:rPr>
              <w:t xml:space="preserve">Suggested contact point</w:t>
            </w:r>
          </w:p>
        </w:tc>
        <w:tc>
          <w:tcPr>
            <w:tcW w:w="2150" w:type="dxa"/>
            <w:shd w:val="clear" w:color="auto" w:fill="F2F2F2"/>
          </w:tcPr>
          <w:p>
            <w:pPr/>
            <w:r>
              <w:rPr>
                <w:sz w:val="16"/>
              </w:rPr>
              <w:t xml:space="preserve">Website</w:t>
            </w:r>
          </w:p>
        </w:tc>
      </w:tr>
      <w:tr>
        <w:tc>
          <w:tcPr>
            <w:tcW w:w="537" w:type="dxa"/>
          </w:tcPr>
          <w:p>
            <w:pPr/>
            <w:r>
              <w:rPr>
                <w:sz w:val="16"/>
              </w:rPr>
              <w:t xml:space="preserve">R01</w:t>
            </w:r>
          </w:p>
        </w:tc>
        <w:tc>
          <w:tcPr>
            <w:tcW w:w="2137" w:type="dxa"/>
          </w:tcPr>
          <w:p>
            <w:pPr/>
            <w:r>
              <w:rPr>
                <w:sz w:val="16"/>
              </w:rPr>
              <w:t xml:space="preserve">KAZA TFCA Secretariat</w:t>
            </w:r>
          </w:p>
        </w:tc>
        <w:tc>
          <w:tcPr>
            <w:tcW w:w="1075" w:type="dxa"/>
          </w:tcPr>
          <w:p>
            <w:pPr/>
            <w:r>
              <w:rPr>
                <w:sz w:val="16"/>
              </w:rPr>
              <w:t xml:space="preserve">Regional</w:t>
            </w:r>
          </w:p>
        </w:tc>
        <w:tc>
          <w:tcPr>
            <w:tcW w:w="1397" w:type="dxa"/>
          </w:tcPr>
          <w:p>
            <w:pPr/>
            <w:r>
              <w:rPr>
                <w:sz w:val="16"/>
              </w:rPr>
              <w:t xml:space="preserve">Government / TFCA</w:t>
            </w:r>
          </w:p>
        </w:tc>
        <w:tc>
          <w:tcPr>
            <w:tcW w:w="2374" w:type="dxa"/>
          </w:tcPr>
          <w:p>
            <w:pPr/>
            <w:r>
              <w:rPr>
                <w:sz w:val="16"/>
              </w:rPr>
              <w:t xml:space="preserve">Facility host; IC member; Supply Chain Compact convenor</w:t>
            </w:r>
          </w:p>
        </w:tc>
        <w:tc>
          <w:tcPr>
            <w:tcW w:w="1505" w:type="dxa"/>
          </w:tcPr>
          <w:p>
            <w:pPr/>
            <w:r>
              <w:rPr>
                <w:sz w:val="16"/>
              </w:rPr>
              <w:t xml:space="preserve">Kasane (BW)</w:t>
            </w:r>
          </w:p>
        </w:tc>
        <w:tc>
          <w:tcPr>
            <w:tcW w:w="1785" w:type="dxa"/>
          </w:tcPr>
          <w:p>
            <w:pPr/>
            <w:r>
              <w:rPr>
                <w:sz w:val="16"/>
              </w:rPr>
              <w:t xml:space="preserve">Executive Director; Tourism and Enterprise Programme Officer</w:t>
            </w:r>
          </w:p>
        </w:tc>
        <w:tc>
          <w:tcPr>
            <w:tcW w:w="2150" w:type="dxa"/>
          </w:tcPr>
          <w:p>
            <w:pPr/>
            <w:hyperlink r:id="rId19" w:history="1">
              <w:r>
                <w:rPr>
                  <w:rStyle w:val="Hyperlink"/>
                  <w:sz w:val="16"/>
                </w:rPr>
                <w:t xml:space="preserve">kavangozambezi.org</w:t>
              </w:r>
            </w:hyperlink>
          </w:p>
        </w:tc>
      </w:tr>
      <w:tr>
        <w:tc>
          <w:tcPr>
            <w:tcW w:w="537" w:type="dxa"/>
          </w:tcPr>
          <w:p>
            <w:pPr/>
            <w:r>
              <w:rPr>
                <w:sz w:val="16"/>
              </w:rPr>
              <w:t xml:space="preserve">R02</w:t>
            </w:r>
          </w:p>
        </w:tc>
        <w:tc>
          <w:tcPr>
            <w:tcW w:w="2137" w:type="dxa"/>
          </w:tcPr>
          <w:p>
            <w:pPr/>
            <w:r>
              <w:rPr>
                <w:sz w:val="16"/>
              </w:rPr>
              <w:t xml:space="preserve">GIZ (R-NBT Joint Action in KAZA)</w:t>
            </w:r>
          </w:p>
        </w:tc>
        <w:tc>
          <w:tcPr>
            <w:tcW w:w="1075" w:type="dxa"/>
          </w:tcPr>
          <w:p>
            <w:pPr/>
            <w:r>
              <w:rPr>
                <w:sz w:val="16"/>
              </w:rPr>
              <w:t xml:space="preserve">Regional</w:t>
            </w:r>
          </w:p>
        </w:tc>
        <w:tc>
          <w:tcPr>
            <w:tcW w:w="1397" w:type="dxa"/>
          </w:tcPr>
          <w:p>
            <w:pPr/>
            <w:r>
              <w:rPr>
                <w:sz w:val="16"/>
              </w:rPr>
              <w:t xml:space="preserve">Development partner</w:t>
            </w:r>
          </w:p>
        </w:tc>
        <w:tc>
          <w:tcPr>
            <w:tcW w:w="2374" w:type="dxa"/>
          </w:tcPr>
          <w:p>
            <w:pPr/>
            <w:r>
              <w:rPr>
                <w:sz w:val="16"/>
              </w:rPr>
              <w:t xml:space="preserve">Implementer; IC member; TA lead</w:t>
            </w:r>
          </w:p>
        </w:tc>
        <w:tc>
          <w:tcPr>
            <w:tcW w:w="1505" w:type="dxa"/>
          </w:tcPr>
          <w:p>
            <w:pPr/>
            <w:r>
              <w:rPr>
                <w:sz w:val="16"/>
              </w:rPr>
              <w:t xml:space="preserve">Gaborone / Kasane (BW)</w:t>
            </w:r>
          </w:p>
        </w:tc>
        <w:tc>
          <w:tcPr>
            <w:tcW w:w="1785" w:type="dxa"/>
          </w:tcPr>
          <w:p>
            <w:pPr/>
            <w:r>
              <w:rPr>
                <w:sz w:val="16"/>
              </w:rPr>
              <w:t xml:space="preserve">R-NBT Project Lead</w:t>
            </w:r>
          </w:p>
        </w:tc>
        <w:tc>
          <w:tcPr>
            <w:tcW w:w="2150" w:type="dxa"/>
          </w:tcPr>
          <w:p>
            <w:pPr/>
            <w:hyperlink r:id="rId20" w:history="1">
              <w:r>
                <w:rPr>
                  <w:rStyle w:val="Hyperlink"/>
                  <w:sz w:val="16"/>
                </w:rPr>
                <w:t xml:space="preserve">giz.de</w:t>
              </w:r>
            </w:hyperlink>
          </w:p>
        </w:tc>
      </w:tr>
      <w:tr>
        <w:tc>
          <w:tcPr>
            <w:tcW w:w="537" w:type="dxa"/>
          </w:tcPr>
          <w:p>
            <w:pPr/>
            <w:r>
              <w:rPr>
                <w:sz w:val="16"/>
              </w:rPr>
              <w:t xml:space="preserve">R03</w:t>
            </w:r>
          </w:p>
        </w:tc>
        <w:tc>
          <w:tcPr>
            <w:tcW w:w="2137" w:type="dxa"/>
          </w:tcPr>
          <w:p>
            <w:pPr/>
            <w:r>
              <w:rPr>
                <w:sz w:val="16"/>
              </w:rPr>
              <w:t xml:space="preserve">Delegation of the European Union to Botswana and SADC</w:t>
            </w:r>
          </w:p>
        </w:tc>
        <w:tc>
          <w:tcPr>
            <w:tcW w:w="1075" w:type="dxa"/>
          </w:tcPr>
          <w:p>
            <w:pPr/>
            <w:r>
              <w:rPr>
                <w:sz w:val="16"/>
              </w:rPr>
              <w:t xml:space="preserve">Regional</w:t>
            </w:r>
          </w:p>
        </w:tc>
        <w:tc>
          <w:tcPr>
            <w:tcW w:w="1397" w:type="dxa"/>
          </w:tcPr>
          <w:p>
            <w:pPr/>
            <w:r>
              <w:rPr>
                <w:sz w:val="16"/>
              </w:rPr>
              <w:t xml:space="preserve">Development partner</w:t>
            </w:r>
          </w:p>
        </w:tc>
        <w:tc>
          <w:tcPr>
            <w:tcW w:w="2374" w:type="dxa"/>
          </w:tcPr>
          <w:p>
            <w:pPr/>
            <w:r>
              <w:rPr>
                <w:sz w:val="16"/>
              </w:rPr>
              <w:t xml:space="preserve">Co-funder; IC observer</w:t>
            </w:r>
          </w:p>
        </w:tc>
        <w:tc>
          <w:tcPr>
            <w:tcW w:w="1505" w:type="dxa"/>
          </w:tcPr>
          <w:p>
            <w:pPr/>
            <w:r>
              <w:rPr>
                <w:sz w:val="16"/>
              </w:rPr>
              <w:t xml:space="preserve">Gaborone (BW)</w:t>
            </w:r>
          </w:p>
        </w:tc>
        <w:tc>
          <w:tcPr>
            <w:tcW w:w="1785" w:type="dxa"/>
          </w:tcPr>
          <w:p>
            <w:pPr/>
            <w:r>
              <w:rPr>
                <w:sz w:val="16"/>
              </w:rPr>
              <w:t xml:space="preserve">Programme Manager Green Economy / Tourism</w:t>
            </w:r>
          </w:p>
        </w:tc>
        <w:tc>
          <w:tcPr>
            <w:tcW w:w="2150" w:type="dxa"/>
          </w:tcPr>
          <w:p>
            <w:pPr/>
            <w:hyperlink r:id="rId21" w:history="1">
              <w:r>
                <w:rPr>
                  <w:rStyle w:val="Hyperlink"/>
                  <w:sz w:val="16"/>
                </w:rPr>
                <w:t xml:space="preserve">eeas.europa.eu</w:t>
              </w:r>
            </w:hyperlink>
          </w:p>
        </w:tc>
      </w:tr>
      <w:tr>
        <w:tc>
          <w:tcPr>
            <w:tcW w:w="537" w:type="dxa"/>
          </w:tcPr>
          <w:p>
            <w:pPr/>
            <w:r>
              <w:rPr>
                <w:sz w:val="16"/>
              </w:rPr>
              <w:t xml:space="preserve">R04</w:t>
            </w:r>
          </w:p>
        </w:tc>
        <w:tc>
          <w:tcPr>
            <w:tcW w:w="2137" w:type="dxa"/>
          </w:tcPr>
          <w:p>
            <w:pPr/>
            <w:r>
              <w:rPr>
                <w:sz w:val="16"/>
              </w:rPr>
              <w:t xml:space="preserve">KfW Development Bank</w:t>
            </w:r>
          </w:p>
        </w:tc>
        <w:tc>
          <w:tcPr>
            <w:tcW w:w="1075" w:type="dxa"/>
          </w:tcPr>
          <w:p>
            <w:pPr/>
            <w:r>
              <w:rPr>
                <w:sz w:val="16"/>
              </w:rPr>
              <w:t xml:space="preserve">Regional</w:t>
            </w:r>
          </w:p>
        </w:tc>
        <w:tc>
          <w:tcPr>
            <w:tcW w:w="1397" w:type="dxa"/>
          </w:tcPr>
          <w:p>
            <w:pPr/>
            <w:r>
              <w:rPr>
                <w:sz w:val="16"/>
              </w:rPr>
              <w:t xml:space="preserve">DFI</w:t>
            </w:r>
          </w:p>
        </w:tc>
        <w:tc>
          <w:tcPr>
            <w:tcW w:w="2374" w:type="dxa"/>
          </w:tcPr>
          <w:p>
            <w:pPr/>
            <w:r>
              <w:rPr>
                <w:sz w:val="16"/>
              </w:rPr>
              <w:t xml:space="preserve">KAZA financial cooperation; co-financing of de-risking layer</w:t>
            </w:r>
          </w:p>
        </w:tc>
        <w:tc>
          <w:tcPr>
            <w:tcW w:w="1505" w:type="dxa"/>
          </w:tcPr>
          <w:p>
            <w:pPr/>
            <w:r>
              <w:rPr>
                <w:sz w:val="16"/>
              </w:rPr>
              <w:t xml:space="preserve">Frankfurt / regional office</w:t>
            </w:r>
          </w:p>
        </w:tc>
        <w:tc>
          <w:tcPr>
            <w:tcW w:w="1785" w:type="dxa"/>
          </w:tcPr>
          <w:p>
            <w:pPr/>
            <w:r>
              <w:rPr>
                <w:sz w:val="16"/>
              </w:rPr>
              <w:t xml:space="preserve">Portfolio Manager Biodiversity / SADC TFCAs</w:t>
            </w:r>
          </w:p>
        </w:tc>
        <w:tc>
          <w:tcPr>
            <w:tcW w:w="2150" w:type="dxa"/>
          </w:tcPr>
          <w:p>
            <w:pPr/>
            <w:hyperlink r:id="rId22" w:history="1">
              <w:r>
                <w:rPr>
                  <w:rStyle w:val="Hyperlink"/>
                  <w:sz w:val="16"/>
                </w:rPr>
                <w:t xml:space="preserve">kfw.de</w:t>
              </w:r>
            </w:hyperlink>
          </w:p>
        </w:tc>
      </w:tr>
      <w:tr>
        <w:tc>
          <w:tcPr>
            <w:tcW w:w="537" w:type="dxa"/>
          </w:tcPr>
          <w:p>
            <w:pPr/>
            <w:r>
              <w:rPr>
                <w:sz w:val="16"/>
              </w:rPr>
              <w:t xml:space="preserve">R05</w:t>
            </w:r>
          </w:p>
        </w:tc>
        <w:tc>
          <w:tcPr>
            <w:tcW w:w="2137" w:type="dxa"/>
          </w:tcPr>
          <w:p>
            <w:pPr/>
            <w:r>
              <w:rPr>
                <w:sz w:val="16"/>
              </w:rPr>
              <w:t xml:space="preserve">African Guarantee Fund (AGF)</w:t>
            </w:r>
          </w:p>
        </w:tc>
        <w:tc>
          <w:tcPr>
            <w:tcW w:w="1075" w:type="dxa"/>
          </w:tcPr>
          <w:p>
            <w:pPr/>
            <w:r>
              <w:rPr>
                <w:sz w:val="16"/>
              </w:rPr>
              <w:t xml:space="preserve">Regional</w:t>
            </w:r>
          </w:p>
        </w:tc>
        <w:tc>
          <w:tcPr>
            <w:tcW w:w="1397" w:type="dxa"/>
          </w:tcPr>
          <w:p>
            <w:pPr/>
            <w:r>
              <w:rPr>
                <w:sz w:val="16"/>
              </w:rPr>
              <w:t xml:space="preserve">Guarantee</w:t>
            </w:r>
          </w:p>
        </w:tc>
        <w:tc>
          <w:tcPr>
            <w:tcW w:w="2374" w:type="dxa"/>
          </w:tcPr>
          <w:p>
            <w:pPr/>
            <w:r>
              <w:rPr>
                <w:sz w:val="16"/>
              </w:rPr>
              <w:t xml:space="preserve">Counter-guarantee for national tourism windows; women's guarantees</w:t>
            </w:r>
          </w:p>
        </w:tc>
        <w:tc>
          <w:tcPr>
            <w:tcW w:w="1505" w:type="dxa"/>
          </w:tcPr>
          <w:p>
            <w:pPr/>
            <w:r>
              <w:rPr>
                <w:sz w:val="16"/>
              </w:rPr>
              <w:t xml:space="preserve">Regional (Nairobi HQ; Southern Africa coverage)</w:t>
            </w:r>
          </w:p>
        </w:tc>
        <w:tc>
          <w:tcPr>
            <w:tcW w:w="1785" w:type="dxa"/>
          </w:tcPr>
          <w:p>
            <w:pPr/>
            <w:r>
              <w:rPr>
                <w:sz w:val="16"/>
              </w:rPr>
              <w:t xml:space="preserve">Head of Partnerships Southern Africa</w:t>
            </w:r>
          </w:p>
        </w:tc>
        <w:tc>
          <w:tcPr>
            <w:tcW w:w="2150" w:type="dxa"/>
          </w:tcPr>
          <w:p>
            <w:pPr/>
            <w:hyperlink r:id="rId23" w:history="1">
              <w:r>
                <w:rPr>
                  <w:rStyle w:val="Hyperlink"/>
                  <w:sz w:val="16"/>
                </w:rPr>
                <w:t xml:space="preserve">africanguaranteefund.com</w:t>
              </w:r>
            </w:hyperlink>
          </w:p>
        </w:tc>
      </w:tr>
      <w:tr>
        <w:tc>
          <w:tcPr>
            <w:tcW w:w="537" w:type="dxa"/>
          </w:tcPr>
          <w:p>
            <w:pPr/>
            <w:r>
              <w:rPr>
                <w:sz w:val="16"/>
              </w:rPr>
              <w:t xml:space="preserve">R06</w:t>
            </w:r>
          </w:p>
        </w:tc>
        <w:tc>
          <w:tcPr>
            <w:tcW w:w="2137" w:type="dxa"/>
          </w:tcPr>
          <w:p>
            <w:pPr/>
            <w:r>
              <w:rPr>
                <w:sz w:val="16"/>
              </w:rPr>
              <w:t xml:space="preserve">African Development Bank – AFAWA</w:t>
            </w:r>
          </w:p>
        </w:tc>
        <w:tc>
          <w:tcPr>
            <w:tcW w:w="1075" w:type="dxa"/>
          </w:tcPr>
          <w:p>
            <w:pPr/>
            <w:r>
              <w:rPr>
                <w:sz w:val="16"/>
              </w:rPr>
              <w:t xml:space="preserve">Regional</w:t>
            </w:r>
          </w:p>
        </w:tc>
        <w:tc>
          <w:tcPr>
            <w:tcW w:w="1397" w:type="dxa"/>
          </w:tcPr>
          <w:p>
            <w:pPr/>
            <w:r>
              <w:rPr>
                <w:sz w:val="16"/>
              </w:rPr>
              <w:t xml:space="preserve">DFI</w:t>
            </w:r>
          </w:p>
        </w:tc>
        <w:tc>
          <w:tcPr>
            <w:tcW w:w="2374" w:type="dxa"/>
          </w:tcPr>
          <w:p>
            <w:pPr/>
            <w:r>
              <w:rPr>
                <w:sz w:val="16"/>
              </w:rPr>
              <w:t xml:space="preserve">Women's risk-sharing (up to 75%); TA to lenders</w:t>
            </w:r>
          </w:p>
        </w:tc>
        <w:tc>
          <w:tcPr>
            <w:tcW w:w="1505" w:type="dxa"/>
          </w:tcPr>
          <w:p>
            <w:pPr/>
            <w:r>
              <w:rPr>
                <w:sz w:val="16"/>
              </w:rPr>
              <w:t xml:space="preserve">Regional (Abidjan HQ; Southern Africa hub Pretoria)</w:t>
            </w:r>
          </w:p>
        </w:tc>
        <w:tc>
          <w:tcPr>
            <w:tcW w:w="1785" w:type="dxa"/>
          </w:tcPr>
          <w:p>
            <w:pPr/>
            <w:r>
              <w:rPr>
                <w:sz w:val="16"/>
              </w:rPr>
              <w:t xml:space="preserve">AFAWA Programme Coordinator</w:t>
            </w:r>
          </w:p>
        </w:tc>
        <w:tc>
          <w:tcPr>
            <w:tcW w:w="2150" w:type="dxa"/>
          </w:tcPr>
          <w:p>
            <w:pPr/>
            <w:hyperlink r:id="rId24" w:history="1">
              <w:r>
                <w:rPr>
                  <w:rStyle w:val="Hyperlink"/>
                  <w:sz w:val="16"/>
                </w:rPr>
                <w:t xml:space="preserve">afdb.org</w:t>
              </w:r>
            </w:hyperlink>
          </w:p>
        </w:tc>
      </w:tr>
      <w:tr>
        <w:tc>
          <w:tcPr>
            <w:tcW w:w="537" w:type="dxa"/>
          </w:tcPr>
          <w:p>
            <w:pPr/>
            <w:r>
              <w:rPr>
                <w:sz w:val="16"/>
              </w:rPr>
              <w:t xml:space="preserve">R07</w:t>
            </w:r>
          </w:p>
        </w:tc>
        <w:tc>
          <w:tcPr>
            <w:tcW w:w="2137" w:type="dxa"/>
          </w:tcPr>
          <w:p>
            <w:pPr/>
            <w:r>
              <w:rPr>
                <w:sz w:val="16"/>
              </w:rPr>
              <w:t xml:space="preserve">International Finance Corporation (IFC)</w:t>
            </w:r>
          </w:p>
        </w:tc>
        <w:tc>
          <w:tcPr>
            <w:tcW w:w="1075" w:type="dxa"/>
          </w:tcPr>
          <w:p>
            <w:pPr/>
            <w:r>
              <w:rPr>
                <w:sz w:val="16"/>
              </w:rPr>
              <w:t xml:space="preserve">Regional</w:t>
            </w:r>
          </w:p>
        </w:tc>
        <w:tc>
          <w:tcPr>
            <w:tcW w:w="1397" w:type="dxa"/>
          </w:tcPr>
          <w:p>
            <w:pPr/>
            <w:r>
              <w:rPr>
                <w:sz w:val="16"/>
              </w:rPr>
              <w:t xml:space="preserve">DFI</w:t>
            </w:r>
          </w:p>
        </w:tc>
        <w:tc>
          <w:tcPr>
            <w:tcW w:w="2374" w:type="dxa"/>
          </w:tcPr>
          <w:p>
            <w:pPr/>
            <w:r>
              <w:rPr>
                <w:sz w:val="16"/>
              </w:rPr>
              <w:t xml:space="preserve">Risk-sharing facilities; collateral registry TA (BW)</w:t>
            </w:r>
          </w:p>
        </w:tc>
        <w:tc>
          <w:tcPr>
            <w:tcW w:w="1505" w:type="dxa"/>
          </w:tcPr>
          <w:p>
            <w:pPr/>
            <w:r>
              <w:rPr>
                <w:sz w:val="16"/>
              </w:rPr>
              <w:t xml:space="preserve">Johannesburg / Lusaka</w:t>
            </w:r>
          </w:p>
        </w:tc>
        <w:tc>
          <w:tcPr>
            <w:tcW w:w="1785" w:type="dxa"/>
          </w:tcPr>
          <w:p>
            <w:pPr/>
            <w:r>
              <w:rPr>
                <w:sz w:val="16"/>
              </w:rPr>
              <w:t xml:space="preserve">SME Banking and Gender Lead Southern Africa</w:t>
            </w:r>
          </w:p>
        </w:tc>
        <w:tc>
          <w:tcPr>
            <w:tcW w:w="2150" w:type="dxa"/>
          </w:tcPr>
          <w:p>
            <w:pPr/>
            <w:hyperlink r:id="rId25" w:history="1">
              <w:r>
                <w:rPr>
                  <w:rStyle w:val="Hyperlink"/>
                  <w:sz w:val="16"/>
                </w:rPr>
                <w:t xml:space="preserve">ifc.org</w:t>
              </w:r>
            </w:hyperlink>
          </w:p>
        </w:tc>
      </w:tr>
      <w:tr>
        <w:tc>
          <w:tcPr>
            <w:tcW w:w="537" w:type="dxa"/>
          </w:tcPr>
          <w:p>
            <w:pPr/>
            <w:r>
              <w:rPr>
                <w:sz w:val="16"/>
              </w:rPr>
              <w:t xml:space="preserve">R08</w:t>
            </w:r>
          </w:p>
        </w:tc>
        <w:tc>
          <w:tcPr>
            <w:tcW w:w="2137" w:type="dxa"/>
          </w:tcPr>
          <w:p>
            <w:pPr/>
            <w:r>
              <w:rPr>
                <w:sz w:val="16"/>
              </w:rPr>
              <w:t xml:space="preserve">World Bank</w:t>
            </w:r>
          </w:p>
        </w:tc>
        <w:tc>
          <w:tcPr>
            <w:tcW w:w="1075" w:type="dxa"/>
          </w:tcPr>
          <w:p>
            <w:pPr/>
            <w:r>
              <w:rPr>
                <w:sz w:val="16"/>
              </w:rPr>
              <w:t xml:space="preserve">Regional</w:t>
            </w:r>
          </w:p>
        </w:tc>
        <w:tc>
          <w:tcPr>
            <w:tcW w:w="1397" w:type="dxa"/>
          </w:tcPr>
          <w:p>
            <w:pPr/>
            <w:r>
              <w:rPr>
                <w:sz w:val="16"/>
              </w:rPr>
              <w:t xml:space="preserve">DFI</w:t>
            </w:r>
          </w:p>
        </w:tc>
        <w:tc>
          <w:tcPr>
            <w:tcW w:w="2374" w:type="dxa"/>
          </w:tcPr>
          <w:p>
            <w:pPr/>
            <w:r>
              <w:rPr>
                <w:sz w:val="16"/>
              </w:rPr>
              <w:t xml:space="preserve">Zambia GREAT tourism project (matching grants); Findex/Enterprise Survey data</w:t>
            </w:r>
          </w:p>
        </w:tc>
        <w:tc>
          <w:tcPr>
            <w:tcW w:w="1505" w:type="dxa"/>
          </w:tcPr>
          <w:p>
            <w:pPr/>
            <w:r>
              <w:rPr>
                <w:sz w:val="16"/>
              </w:rPr>
              <w:t xml:space="preserve">Lusaka / Washington</w:t>
            </w:r>
          </w:p>
        </w:tc>
        <w:tc>
          <w:tcPr>
            <w:tcW w:w="1785" w:type="dxa"/>
          </w:tcPr>
          <w:p>
            <w:pPr/>
            <w:r>
              <w:rPr>
                <w:sz w:val="16"/>
              </w:rPr>
              <w:t xml:space="preserve">Task Team Leader P180337</w:t>
            </w:r>
          </w:p>
        </w:tc>
        <w:tc>
          <w:tcPr>
            <w:tcW w:w="2150" w:type="dxa"/>
          </w:tcPr>
          <w:p>
            <w:pPr/>
            <w:hyperlink r:id="rId26" w:history="1">
              <w:r>
                <w:rPr>
                  <w:rStyle w:val="Hyperlink"/>
                  <w:sz w:val="16"/>
                </w:rPr>
                <w:t xml:space="preserve">worldbank.org</w:t>
              </w:r>
            </w:hyperlink>
          </w:p>
        </w:tc>
      </w:tr>
      <w:tr>
        <w:tc>
          <w:tcPr>
            <w:tcW w:w="537" w:type="dxa"/>
          </w:tcPr>
          <w:p>
            <w:pPr/>
            <w:r>
              <w:rPr>
                <w:sz w:val="16"/>
              </w:rPr>
              <w:t xml:space="preserve">R09</w:t>
            </w:r>
          </w:p>
        </w:tc>
        <w:tc>
          <w:tcPr>
            <w:tcW w:w="2137" w:type="dxa"/>
          </w:tcPr>
          <w:p>
            <w:pPr/>
            <w:r>
              <w:rPr>
                <w:sz w:val="16"/>
              </w:rPr>
              <w:t xml:space="preserve">Peace Parks Foundation</w:t>
            </w:r>
          </w:p>
        </w:tc>
        <w:tc>
          <w:tcPr>
            <w:tcW w:w="1075" w:type="dxa"/>
          </w:tcPr>
          <w:p>
            <w:pPr/>
            <w:r>
              <w:rPr>
                <w:sz w:val="16"/>
              </w:rPr>
              <w:t xml:space="preserve">Regional</w:t>
            </w:r>
          </w:p>
        </w:tc>
        <w:tc>
          <w:tcPr>
            <w:tcW w:w="1397" w:type="dxa"/>
          </w:tcPr>
          <w:p>
            <w:pPr/>
            <w:r>
              <w:rPr>
                <w:sz w:val="16"/>
              </w:rPr>
              <w:t xml:space="preserve">NGO</w:t>
            </w:r>
          </w:p>
        </w:tc>
        <w:tc>
          <w:tcPr>
            <w:tcW w:w="2374" w:type="dxa"/>
          </w:tcPr>
          <w:p>
            <w:pPr/>
            <w:r>
              <w:rPr>
                <w:sz w:val="16"/>
              </w:rPr>
              <w:t xml:space="preserve">Community enterprise outreach (Simalaha and others)</w:t>
            </w:r>
          </w:p>
        </w:tc>
        <w:tc>
          <w:tcPr>
            <w:tcW w:w="1505" w:type="dxa"/>
          </w:tcPr>
          <w:p>
            <w:pPr/>
            <w:r>
              <w:rPr>
                <w:sz w:val="16"/>
              </w:rPr>
              <w:t xml:space="preserve">Stellenbosch / KAZA field offices</w:t>
            </w:r>
          </w:p>
        </w:tc>
        <w:tc>
          <w:tcPr>
            <w:tcW w:w="1785" w:type="dxa"/>
          </w:tcPr>
          <w:p>
            <w:pPr/>
            <w:r>
              <w:rPr>
                <w:sz w:val="16"/>
              </w:rPr>
              <w:t xml:space="preserve">KAZA Programme Manager</w:t>
            </w:r>
          </w:p>
        </w:tc>
        <w:tc>
          <w:tcPr>
            <w:tcW w:w="2150" w:type="dxa"/>
          </w:tcPr>
          <w:p>
            <w:pPr/>
            <w:hyperlink r:id="rId27" w:history="1">
              <w:r>
                <w:rPr>
                  <w:rStyle w:val="Hyperlink"/>
                  <w:sz w:val="16"/>
                </w:rPr>
                <w:t xml:space="preserve">peaceparks.org</w:t>
              </w:r>
            </w:hyperlink>
          </w:p>
        </w:tc>
      </w:tr>
      <w:tr>
        <w:tc>
          <w:tcPr>
            <w:tcW w:w="537" w:type="dxa"/>
          </w:tcPr>
          <w:p>
            <w:pPr/>
            <w:r>
              <w:rPr>
                <w:sz w:val="16"/>
              </w:rPr>
              <w:t xml:space="preserve">R10</w:t>
            </w:r>
          </w:p>
        </w:tc>
        <w:tc>
          <w:tcPr>
            <w:tcW w:w="2137" w:type="dxa"/>
          </w:tcPr>
          <w:p>
            <w:pPr/>
            <w:r>
              <w:rPr>
                <w:sz w:val="16"/>
              </w:rPr>
              <w:t xml:space="preserve">WWF (Namibia / Zambia / Zimbabwe / KAZA)</w:t>
            </w:r>
          </w:p>
        </w:tc>
        <w:tc>
          <w:tcPr>
            <w:tcW w:w="1075" w:type="dxa"/>
          </w:tcPr>
          <w:p>
            <w:pPr/>
            <w:r>
              <w:rPr>
                <w:sz w:val="16"/>
              </w:rPr>
              <w:t xml:space="preserve">Regional</w:t>
            </w:r>
          </w:p>
        </w:tc>
        <w:tc>
          <w:tcPr>
            <w:tcW w:w="1397" w:type="dxa"/>
          </w:tcPr>
          <w:p>
            <w:pPr/>
            <w:r>
              <w:rPr>
                <w:sz w:val="16"/>
              </w:rPr>
              <w:t xml:space="preserve">NGO</w:t>
            </w:r>
          </w:p>
        </w:tc>
        <w:tc>
          <w:tcPr>
            <w:tcW w:w="2374" w:type="dxa"/>
          </w:tcPr>
          <w:p>
            <w:pPr/>
            <w:r>
              <w:rPr>
                <w:sz w:val="16"/>
              </w:rPr>
              <w:t xml:space="preserve">Wildlife Credits; CBNRM enterprise support</w:t>
            </w:r>
          </w:p>
        </w:tc>
        <w:tc>
          <w:tcPr>
            <w:tcW w:w="1505" w:type="dxa"/>
          </w:tcPr>
          <w:p>
            <w:pPr/>
            <w:r>
              <w:rPr>
                <w:sz w:val="16"/>
              </w:rPr>
              <w:t xml:space="preserve">Windhoek / Lusaka / Harare</w:t>
            </w:r>
          </w:p>
        </w:tc>
        <w:tc>
          <w:tcPr>
            <w:tcW w:w="1785" w:type="dxa"/>
          </w:tcPr>
          <w:p>
            <w:pPr/>
            <w:r>
              <w:rPr>
                <w:sz w:val="16"/>
              </w:rPr>
              <w:t xml:space="preserve">KAZA Landscape Lead</w:t>
            </w:r>
          </w:p>
        </w:tc>
        <w:tc>
          <w:tcPr>
            <w:tcW w:w="2150" w:type="dxa"/>
          </w:tcPr>
          <w:p>
            <w:pPr/>
            <w:hyperlink r:id="rId28" w:history="1">
              <w:r>
                <w:rPr>
                  <w:rStyle w:val="Hyperlink"/>
                  <w:sz w:val="16"/>
                </w:rPr>
                <w:t xml:space="preserve">wwf.panda.org</w:t>
              </w:r>
            </w:hyperlink>
          </w:p>
        </w:tc>
      </w:tr>
      <w:tr>
        <w:tc>
          <w:tcPr>
            <w:tcW w:w="537" w:type="dxa"/>
          </w:tcPr>
          <w:p>
            <w:pPr/>
            <w:r>
              <w:rPr>
                <w:sz w:val="16"/>
              </w:rPr>
              <w:t xml:space="preserve">R11</w:t>
            </w:r>
          </w:p>
        </w:tc>
        <w:tc>
          <w:tcPr>
            <w:tcW w:w="2137" w:type="dxa"/>
          </w:tcPr>
          <w:p>
            <w:pPr/>
            <w:r>
              <w:rPr>
                <w:sz w:val="16"/>
              </w:rPr>
              <w:t xml:space="preserve">African Wildlife Foundation (AWF)</w:t>
            </w:r>
          </w:p>
        </w:tc>
        <w:tc>
          <w:tcPr>
            <w:tcW w:w="1075" w:type="dxa"/>
          </w:tcPr>
          <w:p>
            <w:pPr/>
            <w:r>
              <w:rPr>
                <w:sz w:val="16"/>
              </w:rPr>
              <w:t xml:space="preserve">Regional</w:t>
            </w:r>
          </w:p>
        </w:tc>
        <w:tc>
          <w:tcPr>
            <w:tcW w:w="1397" w:type="dxa"/>
          </w:tcPr>
          <w:p>
            <w:pPr/>
            <w:r>
              <w:rPr>
                <w:sz w:val="16"/>
              </w:rPr>
              <w:t xml:space="preserve">NGO</w:t>
            </w:r>
          </w:p>
        </w:tc>
        <w:tc>
          <w:tcPr>
            <w:tcW w:w="2374" w:type="dxa"/>
          </w:tcPr>
          <w:p>
            <w:pPr/>
            <w:r>
              <w:rPr>
                <w:sz w:val="16"/>
              </w:rPr>
              <w:t xml:space="preserve">Community conservation enterprises (Kazungula landscape)</w:t>
            </w:r>
          </w:p>
        </w:tc>
        <w:tc>
          <w:tcPr>
            <w:tcW w:w="1505" w:type="dxa"/>
          </w:tcPr>
          <w:p>
            <w:pPr/>
            <w:r>
              <w:rPr>
                <w:sz w:val="16"/>
              </w:rPr>
              <w:t xml:space="preserve">Nairobi / Zimbabwe field office</w:t>
            </w:r>
          </w:p>
        </w:tc>
        <w:tc>
          <w:tcPr>
            <w:tcW w:w="1785" w:type="dxa"/>
          </w:tcPr>
          <w:p>
            <w:pPr/>
            <w:r>
              <w:rPr>
                <w:sz w:val="16"/>
              </w:rPr>
              <w:t xml:space="preserve">Conservation Enterprise Lead</w:t>
            </w:r>
          </w:p>
        </w:tc>
        <w:tc>
          <w:tcPr>
            <w:tcW w:w="2150" w:type="dxa"/>
          </w:tcPr>
          <w:p>
            <w:pPr/>
            <w:hyperlink r:id="rId29" w:history="1">
              <w:r>
                <w:rPr>
                  <w:rStyle w:val="Hyperlink"/>
                  <w:sz w:val="16"/>
                </w:rPr>
                <w:t xml:space="preserve">awf.org</w:t>
              </w:r>
            </w:hyperlink>
          </w:p>
        </w:tc>
      </w:tr>
      <w:tr>
        <w:tc>
          <w:tcPr>
            <w:tcW w:w="537" w:type="dxa"/>
          </w:tcPr>
          <w:p>
            <w:pPr/>
            <w:r>
              <w:rPr>
                <w:sz w:val="16"/>
              </w:rPr>
              <w:t xml:space="preserve">R12</w:t>
            </w:r>
          </w:p>
        </w:tc>
        <w:tc>
          <w:tcPr>
            <w:tcW w:w="2137" w:type="dxa"/>
          </w:tcPr>
          <w:p>
            <w:pPr/>
            <w:r>
              <w:rPr>
                <w:sz w:val="16"/>
              </w:rPr>
              <w:t xml:space="preserve">Conservation International</w:t>
            </w:r>
          </w:p>
        </w:tc>
        <w:tc>
          <w:tcPr>
            <w:tcW w:w="1075" w:type="dxa"/>
          </w:tcPr>
          <w:p>
            <w:pPr/>
            <w:r>
              <w:rPr>
                <w:sz w:val="16"/>
              </w:rPr>
              <w:t xml:space="preserve">Regional</w:t>
            </w:r>
          </w:p>
        </w:tc>
        <w:tc>
          <w:tcPr>
            <w:tcW w:w="1397" w:type="dxa"/>
          </w:tcPr>
          <w:p>
            <w:pPr/>
            <w:r>
              <w:rPr>
                <w:sz w:val="16"/>
              </w:rPr>
              <w:t xml:space="preserve">NGO</w:t>
            </w:r>
          </w:p>
        </w:tc>
        <w:tc>
          <w:tcPr>
            <w:tcW w:w="2374" w:type="dxa"/>
          </w:tcPr>
          <w:p>
            <w:pPr/>
            <w:r>
              <w:rPr>
                <w:sz w:val="16"/>
              </w:rPr>
              <w:t xml:space="preserve">KAZA conservation finance</w:t>
            </w:r>
          </w:p>
        </w:tc>
        <w:tc>
          <w:tcPr>
            <w:tcW w:w="1505" w:type="dxa"/>
          </w:tcPr>
          <w:p>
            <w:pPr/>
            <w:r>
              <w:rPr>
                <w:sz w:val="16"/>
              </w:rPr>
              <w:t xml:space="preserve">Botswana / Zambia</w:t>
            </w:r>
          </w:p>
        </w:tc>
        <w:tc>
          <w:tcPr>
            <w:tcW w:w="1785" w:type="dxa"/>
          </w:tcPr>
          <w:p>
            <w:pPr/>
            <w:r>
              <w:rPr>
                <w:sz w:val="16"/>
              </w:rPr>
              <w:t xml:space="preserve">Southern Africa Programme Director</w:t>
            </w:r>
          </w:p>
        </w:tc>
        <w:tc>
          <w:tcPr>
            <w:tcW w:w="2150" w:type="dxa"/>
          </w:tcPr>
          <w:p>
            <w:pPr/>
            <w:hyperlink r:id="rId30" w:history="1">
              <w:r>
                <w:rPr>
                  <w:rStyle w:val="Hyperlink"/>
                  <w:sz w:val="16"/>
                </w:rPr>
                <w:t xml:space="preserve">conservation.org</w:t>
              </w:r>
            </w:hyperlink>
          </w:p>
        </w:tc>
      </w:tr>
      <w:tr>
        <w:tc>
          <w:tcPr>
            <w:tcW w:w="537" w:type="dxa"/>
          </w:tcPr>
          <w:p>
            <w:pPr/>
            <w:r>
              <w:rPr>
                <w:sz w:val="16"/>
              </w:rPr>
              <w:t xml:space="preserve">R13</w:t>
            </w:r>
          </w:p>
        </w:tc>
        <w:tc>
          <w:tcPr>
            <w:tcW w:w="2137" w:type="dxa"/>
          </w:tcPr>
          <w:p>
            <w:pPr/>
            <w:r>
              <w:rPr>
                <w:sz w:val="16"/>
              </w:rPr>
              <w:t xml:space="preserve">Adventure Travel Trade Association (ATTA)</w:t>
            </w:r>
          </w:p>
        </w:tc>
        <w:tc>
          <w:tcPr>
            <w:tcW w:w="1075" w:type="dxa"/>
          </w:tcPr>
          <w:p>
            <w:pPr/>
            <w:r>
              <w:rPr>
                <w:sz w:val="16"/>
              </w:rPr>
              <w:t xml:space="preserve">Regional</w:t>
            </w:r>
          </w:p>
        </w:tc>
        <w:tc>
          <w:tcPr>
            <w:tcW w:w="1397" w:type="dxa"/>
          </w:tcPr>
          <w:p>
            <w:pPr/>
            <w:r>
              <w:rPr>
                <w:sz w:val="16"/>
              </w:rPr>
              <w:t xml:space="preserve">Industry association</w:t>
            </w:r>
          </w:p>
        </w:tc>
        <w:tc>
          <w:tcPr>
            <w:tcW w:w="2374" w:type="dxa"/>
          </w:tcPr>
          <w:p>
            <w:pPr/>
            <w:r>
              <w:rPr>
                <w:sz w:val="16"/>
              </w:rPr>
              <w:t xml:space="preserve">Market access; regenerative tourism standards</w:t>
            </w:r>
          </w:p>
        </w:tc>
        <w:tc>
          <w:tcPr>
            <w:tcW w:w="1505" w:type="dxa"/>
          </w:tcPr>
          <w:p>
            <w:pPr/>
            <w:r>
              <w:rPr>
                <w:sz w:val="16"/>
              </w:rPr>
              <w:t xml:space="preserve">Global</w:t>
            </w:r>
          </w:p>
        </w:tc>
        <w:tc>
          <w:tcPr>
            <w:tcW w:w="1785" w:type="dxa"/>
          </w:tcPr>
          <w:p>
            <w:pPr/>
            <w:r>
              <w:rPr>
                <w:sz w:val="16"/>
              </w:rPr>
              <w:t xml:space="preserve">Africa Regional Director</w:t>
            </w:r>
          </w:p>
        </w:tc>
        <w:tc>
          <w:tcPr>
            <w:tcW w:w="2150" w:type="dxa"/>
          </w:tcPr>
          <w:p>
            <w:pPr/>
            <w:hyperlink r:id="rId31" w:history="1">
              <w:r>
                <w:rPr>
                  <w:rStyle w:val="Hyperlink"/>
                  <w:sz w:val="16"/>
                </w:rPr>
                <w:t xml:space="preserve">atta.travel</w:t>
              </w:r>
            </w:hyperlink>
          </w:p>
        </w:tc>
      </w:tr>
      <w:tr>
        <w:tc>
          <w:tcPr>
            <w:tcW w:w="537" w:type="dxa"/>
          </w:tcPr>
          <w:p>
            <w:pPr/>
            <w:r>
              <w:rPr>
                <w:sz w:val="16"/>
              </w:rPr>
              <w:t xml:space="preserve">B01</w:t>
            </w:r>
          </w:p>
        </w:tc>
        <w:tc>
          <w:tcPr>
            <w:tcW w:w="2137" w:type="dxa"/>
          </w:tcPr>
          <w:p>
            <w:pPr/>
            <w:r>
              <w:rPr>
                <w:sz w:val="16"/>
              </w:rPr>
              <w:t xml:space="preserve">Citizen Entrepreneurial Development Agency (CEDA)</w:t>
            </w:r>
          </w:p>
        </w:tc>
        <w:tc>
          <w:tcPr>
            <w:tcW w:w="1075" w:type="dxa"/>
          </w:tcPr>
          <w:p>
            <w:pPr/>
            <w:r>
              <w:rPr>
                <w:sz w:val="16"/>
              </w:rPr>
              <w:t xml:space="preserve">Botswana</w:t>
            </w:r>
          </w:p>
        </w:tc>
        <w:tc>
          <w:tcPr>
            <w:tcW w:w="1397" w:type="dxa"/>
          </w:tcPr>
          <w:p>
            <w:pPr/>
            <w:r>
              <w:rPr>
                <w:sz w:val="16"/>
              </w:rPr>
              <w:t xml:space="preserve">DFI / empowerment</w:t>
            </w:r>
          </w:p>
        </w:tc>
        <w:tc>
          <w:tcPr>
            <w:tcW w:w="2374" w:type="dxa"/>
          </w:tcPr>
          <w:p>
            <w:pPr/>
            <w:r>
              <w:rPr>
                <w:sz w:val="16"/>
              </w:rPr>
              <w:t xml:space="preserve">Tourism window; co-financing Window C; candidate guarantee host</w:t>
            </w:r>
          </w:p>
        </w:tc>
        <w:tc>
          <w:tcPr>
            <w:tcW w:w="1505" w:type="dxa"/>
          </w:tcPr>
          <w:p>
            <w:pPr/>
            <w:r>
              <w:rPr>
                <w:sz w:val="16"/>
              </w:rPr>
              <w:t xml:space="preserve">Maun / Kasane branches</w:t>
            </w:r>
          </w:p>
        </w:tc>
        <w:tc>
          <w:tcPr>
            <w:tcW w:w="1785" w:type="dxa"/>
          </w:tcPr>
          <w:p>
            <w:pPr/>
            <w:r>
              <w:rPr>
                <w:sz w:val="16"/>
              </w:rPr>
              <w:t xml:space="preserve">Head of Tourism Lending; Branch Managers</w:t>
            </w:r>
          </w:p>
        </w:tc>
        <w:tc>
          <w:tcPr>
            <w:tcW w:w="2150" w:type="dxa"/>
          </w:tcPr>
          <w:p>
            <w:pPr/>
            <w:hyperlink r:id="rId32" w:history="1">
              <w:r>
                <w:rPr>
                  <w:rStyle w:val="Hyperlink"/>
                  <w:sz w:val="16"/>
                </w:rPr>
                <w:t xml:space="preserve">ceda.co.bw</w:t>
              </w:r>
            </w:hyperlink>
          </w:p>
        </w:tc>
      </w:tr>
      <w:tr>
        <w:tc>
          <w:tcPr>
            <w:tcW w:w="537" w:type="dxa"/>
          </w:tcPr>
          <w:p>
            <w:pPr/>
            <w:r>
              <w:rPr>
                <w:sz w:val="16"/>
              </w:rPr>
              <w:t xml:space="preserve">B02</w:t>
            </w:r>
          </w:p>
        </w:tc>
        <w:tc>
          <w:tcPr>
            <w:tcW w:w="2137" w:type="dxa"/>
          </w:tcPr>
          <w:p>
            <w:pPr/>
            <w:r>
              <w:rPr>
                <w:sz w:val="16"/>
              </w:rPr>
              <w:t xml:space="preserve">Local Enterprise Authority (LEA)</w:t>
            </w:r>
          </w:p>
        </w:tc>
        <w:tc>
          <w:tcPr>
            <w:tcW w:w="1075" w:type="dxa"/>
          </w:tcPr>
          <w:p>
            <w:pPr/>
            <w:r>
              <w:rPr>
                <w:sz w:val="16"/>
              </w:rPr>
              <w:t xml:space="preserve">Botswana</w:t>
            </w:r>
          </w:p>
        </w:tc>
        <w:tc>
          <w:tcPr>
            <w:tcW w:w="1397" w:type="dxa"/>
          </w:tcPr>
          <w:p>
            <w:pPr/>
            <w:r>
              <w:rPr>
                <w:sz w:val="16"/>
              </w:rPr>
              <w:t xml:space="preserve">BSO</w:t>
            </w:r>
          </w:p>
        </w:tc>
        <w:tc>
          <w:tcPr>
            <w:tcW w:w="2374" w:type="dxa"/>
          </w:tcPr>
          <w:p>
            <w:pPr/>
            <w:r>
              <w:rPr>
                <w:sz w:val="16"/>
              </w:rPr>
              <w:t xml:space="preserve">Delivery partner: pipeline; coaching; Wilderness supplier MoU</w:t>
            </w:r>
          </w:p>
        </w:tc>
        <w:tc>
          <w:tcPr>
            <w:tcW w:w="1505" w:type="dxa"/>
          </w:tcPr>
          <w:p>
            <w:pPr/>
            <w:r>
              <w:rPr>
                <w:sz w:val="16"/>
              </w:rPr>
              <w:t xml:space="preserve">Maun / Kasane</w:t>
            </w:r>
          </w:p>
        </w:tc>
        <w:tc>
          <w:tcPr>
            <w:tcW w:w="1785" w:type="dxa"/>
          </w:tcPr>
          <w:p>
            <w:pPr/>
            <w:r>
              <w:rPr>
                <w:sz w:val="16"/>
              </w:rPr>
              <w:t xml:space="preserve">Chief Executive Officer; Regional Manager North</w:t>
            </w:r>
          </w:p>
        </w:tc>
        <w:tc>
          <w:tcPr>
            <w:tcW w:w="2150" w:type="dxa"/>
          </w:tcPr>
          <w:p>
            <w:pPr/>
            <w:hyperlink r:id="rId33" w:history="1">
              <w:r>
                <w:rPr>
                  <w:rStyle w:val="Hyperlink"/>
                  <w:sz w:val="16"/>
                </w:rPr>
                <w:t xml:space="preserve">lea.co.bw</w:t>
              </w:r>
            </w:hyperlink>
          </w:p>
        </w:tc>
      </w:tr>
      <w:tr>
        <w:tc>
          <w:tcPr>
            <w:tcW w:w="537" w:type="dxa"/>
          </w:tcPr>
          <w:p>
            <w:pPr/>
            <w:r>
              <w:rPr>
                <w:sz w:val="16"/>
              </w:rPr>
              <w:t xml:space="preserve">B03</w:t>
            </w:r>
          </w:p>
        </w:tc>
        <w:tc>
          <w:tcPr>
            <w:tcW w:w="2137" w:type="dxa"/>
          </w:tcPr>
          <w:p>
            <w:pPr/>
            <w:r>
              <w:rPr>
                <w:sz w:val="16"/>
              </w:rPr>
              <w:t xml:space="preserve">National Development Bank (NDB)</w:t>
            </w:r>
          </w:p>
        </w:tc>
        <w:tc>
          <w:tcPr>
            <w:tcW w:w="1075" w:type="dxa"/>
          </w:tcPr>
          <w:p>
            <w:pPr/>
            <w:r>
              <w:rPr>
                <w:sz w:val="16"/>
              </w:rPr>
              <w:t xml:space="preserve">Botswana</w:t>
            </w:r>
          </w:p>
        </w:tc>
        <w:tc>
          <w:tcPr>
            <w:tcW w:w="1397" w:type="dxa"/>
          </w:tcPr>
          <w:p>
            <w:pPr/>
            <w:r>
              <w:rPr>
                <w:sz w:val="16"/>
              </w:rPr>
              <w:t xml:space="preserve">DFI</w:t>
            </w:r>
          </w:p>
        </w:tc>
        <w:tc>
          <w:tcPr>
            <w:tcW w:w="2374" w:type="dxa"/>
          </w:tcPr>
          <w:p>
            <w:pPr/>
            <w:r>
              <w:rPr>
                <w:sz w:val="16"/>
              </w:rPr>
              <w:t xml:space="preserve">SME lending; candidate guarantee host</w:t>
            </w:r>
          </w:p>
        </w:tc>
        <w:tc>
          <w:tcPr>
            <w:tcW w:w="1505" w:type="dxa"/>
          </w:tcPr>
          <w:p>
            <w:pPr/>
            <w:r>
              <w:rPr>
                <w:sz w:val="16"/>
              </w:rPr>
              <w:t xml:space="preserve">Maun</w:t>
            </w:r>
          </w:p>
        </w:tc>
        <w:tc>
          <w:tcPr>
            <w:tcW w:w="1785" w:type="dxa"/>
          </w:tcPr>
          <w:p>
            <w:pPr/>
            <w:r>
              <w:rPr>
                <w:sz w:val="16"/>
              </w:rPr>
              <w:t xml:space="preserve">Head of SME</w:t>
            </w:r>
          </w:p>
        </w:tc>
        <w:tc>
          <w:tcPr>
            <w:tcW w:w="2150" w:type="dxa"/>
          </w:tcPr>
          <w:p>
            <w:pPr/>
            <w:hyperlink r:id="rId34" w:history="1">
              <w:r>
                <w:rPr>
                  <w:rStyle w:val="Hyperlink"/>
                  <w:sz w:val="16"/>
                </w:rPr>
                <w:t xml:space="preserve">ndb.bw</w:t>
              </w:r>
            </w:hyperlink>
          </w:p>
        </w:tc>
      </w:tr>
      <w:tr>
        <w:tc>
          <w:tcPr>
            <w:tcW w:w="537" w:type="dxa"/>
          </w:tcPr>
          <w:p>
            <w:pPr/>
            <w:r>
              <w:rPr>
                <w:sz w:val="16"/>
              </w:rPr>
              <w:t xml:space="preserve">B04</w:t>
            </w:r>
          </w:p>
        </w:tc>
        <w:tc>
          <w:tcPr>
            <w:tcW w:w="2137" w:type="dxa"/>
          </w:tcPr>
          <w:p>
            <w:pPr/>
            <w:r>
              <w:rPr>
                <w:sz w:val="16"/>
              </w:rPr>
              <w:t xml:space="preserve">Stanbic Bank Botswana</w:t>
            </w:r>
          </w:p>
        </w:tc>
        <w:tc>
          <w:tcPr>
            <w:tcW w:w="1075" w:type="dxa"/>
          </w:tcPr>
          <w:p>
            <w:pPr/>
            <w:r>
              <w:rPr>
                <w:sz w:val="16"/>
              </w:rPr>
              <w:t xml:space="preserve">Botswana</w:t>
            </w:r>
          </w:p>
        </w:tc>
        <w:tc>
          <w:tcPr>
            <w:tcW w:w="1397" w:type="dxa"/>
          </w:tcPr>
          <w:p>
            <w:pPr/>
            <w:r>
              <w:rPr>
                <w:sz w:val="16"/>
              </w:rPr>
              <w:t xml:space="preserve">Commercial bank</w:t>
            </w:r>
          </w:p>
        </w:tc>
        <w:tc>
          <w:tcPr>
            <w:tcW w:w="2374" w:type="dxa"/>
          </w:tcPr>
          <w:p>
            <w:pPr/>
            <w:r>
              <w:rPr>
                <w:sz w:val="16"/>
              </w:rPr>
              <w:t xml:space="preserve">Supplier finance (Wilderness model); partner lender</w:t>
            </w:r>
          </w:p>
        </w:tc>
        <w:tc>
          <w:tcPr>
            <w:tcW w:w="1505" w:type="dxa"/>
          </w:tcPr>
          <w:p>
            <w:pPr/>
            <w:r>
              <w:rPr>
                <w:sz w:val="16"/>
              </w:rPr>
              <w:t xml:space="preserve">Maun / Kasane / Gaborone</w:t>
            </w:r>
          </w:p>
        </w:tc>
        <w:tc>
          <w:tcPr>
            <w:tcW w:w="1785" w:type="dxa"/>
          </w:tcPr>
          <w:p>
            <w:pPr/>
            <w:r>
              <w:rPr>
                <w:sz w:val="16"/>
              </w:rPr>
              <w:t xml:space="preserve">Head of Business and Commercial Banking</w:t>
            </w:r>
          </w:p>
        </w:tc>
        <w:tc>
          <w:tcPr>
            <w:tcW w:w="2150" w:type="dxa"/>
          </w:tcPr>
          <w:p>
            <w:pPr/>
            <w:hyperlink r:id="rId35" w:history="1">
              <w:r>
                <w:rPr>
                  <w:rStyle w:val="Hyperlink"/>
                  <w:sz w:val="16"/>
                </w:rPr>
                <w:t xml:space="preserve">stanbicbank.co.bw</w:t>
              </w:r>
            </w:hyperlink>
          </w:p>
        </w:tc>
      </w:tr>
      <w:tr>
        <w:tc>
          <w:tcPr>
            <w:tcW w:w="537" w:type="dxa"/>
          </w:tcPr>
          <w:p>
            <w:pPr/>
            <w:r>
              <w:rPr>
                <w:sz w:val="16"/>
              </w:rPr>
              <w:t xml:space="preserve">B05</w:t>
            </w:r>
          </w:p>
        </w:tc>
        <w:tc>
          <w:tcPr>
            <w:tcW w:w="2137" w:type="dxa"/>
          </w:tcPr>
          <w:p>
            <w:pPr/>
            <w:r>
              <w:rPr>
                <w:sz w:val="16"/>
              </w:rPr>
              <w:t xml:space="preserve">Absa Bank Botswana</w:t>
            </w:r>
          </w:p>
        </w:tc>
        <w:tc>
          <w:tcPr>
            <w:tcW w:w="1075" w:type="dxa"/>
          </w:tcPr>
          <w:p>
            <w:pPr/>
            <w:r>
              <w:rPr>
                <w:sz w:val="16"/>
              </w:rPr>
              <w:t xml:space="preserve">Botswana</w:t>
            </w:r>
          </w:p>
        </w:tc>
        <w:tc>
          <w:tcPr>
            <w:tcW w:w="1397" w:type="dxa"/>
          </w:tcPr>
          <w:p>
            <w:pPr/>
            <w:r>
              <w:rPr>
                <w:sz w:val="16"/>
              </w:rPr>
              <w:t xml:space="preserve">Commercial bank</w:t>
            </w:r>
          </w:p>
        </w:tc>
        <w:tc>
          <w:tcPr>
            <w:tcW w:w="2374" w:type="dxa"/>
          </w:tcPr>
          <w:p>
            <w:pPr/>
            <w:r>
              <w:rPr>
                <w:sz w:val="16"/>
              </w:rPr>
              <w:t xml:space="preserve">Partner lender; women's banking</w:t>
            </w:r>
          </w:p>
        </w:tc>
        <w:tc>
          <w:tcPr>
            <w:tcW w:w="1505" w:type="dxa"/>
          </w:tcPr>
          <w:p>
            <w:pPr/>
            <w:r>
              <w:rPr>
                <w:sz w:val="16"/>
              </w:rPr>
              <w:t xml:space="preserve">Maun / Kasane</w:t>
            </w:r>
          </w:p>
        </w:tc>
        <w:tc>
          <w:tcPr>
            <w:tcW w:w="1785" w:type="dxa"/>
          </w:tcPr>
          <w:p>
            <w:pPr/>
            <w:r>
              <w:rPr>
                <w:sz w:val="16"/>
              </w:rPr>
              <w:t xml:space="preserve">Head of SME / Women in Business</w:t>
            </w:r>
          </w:p>
        </w:tc>
        <w:tc>
          <w:tcPr>
            <w:tcW w:w="2150" w:type="dxa"/>
          </w:tcPr>
          <w:p>
            <w:pPr/>
            <w:hyperlink r:id="rId36" w:history="1">
              <w:r>
                <w:rPr>
                  <w:rStyle w:val="Hyperlink"/>
                  <w:sz w:val="16"/>
                </w:rPr>
                <w:t xml:space="preserve">absa.co.bw</w:t>
              </w:r>
            </w:hyperlink>
          </w:p>
        </w:tc>
      </w:tr>
      <w:tr>
        <w:tc>
          <w:tcPr>
            <w:tcW w:w="537" w:type="dxa"/>
          </w:tcPr>
          <w:p>
            <w:pPr/>
            <w:r>
              <w:rPr>
                <w:sz w:val="16"/>
              </w:rPr>
              <w:t xml:space="preserve">B06</w:t>
            </w:r>
          </w:p>
        </w:tc>
        <w:tc>
          <w:tcPr>
            <w:tcW w:w="2137" w:type="dxa"/>
          </w:tcPr>
          <w:p>
            <w:pPr/>
            <w:r>
              <w:rPr>
                <w:sz w:val="16"/>
              </w:rPr>
              <w:t xml:space="preserve">First National Bank Botswana</w:t>
            </w:r>
          </w:p>
        </w:tc>
        <w:tc>
          <w:tcPr>
            <w:tcW w:w="1075" w:type="dxa"/>
          </w:tcPr>
          <w:p>
            <w:pPr/>
            <w:r>
              <w:rPr>
                <w:sz w:val="16"/>
              </w:rPr>
              <w:t xml:space="preserve">Botswana</w:t>
            </w:r>
          </w:p>
        </w:tc>
        <w:tc>
          <w:tcPr>
            <w:tcW w:w="1397" w:type="dxa"/>
          </w:tcPr>
          <w:p>
            <w:pPr/>
            <w:r>
              <w:rPr>
                <w:sz w:val="16"/>
              </w:rPr>
              <w:t xml:space="preserve">Commercial bank</w:t>
            </w:r>
          </w:p>
        </w:tc>
        <w:tc>
          <w:tcPr>
            <w:tcW w:w="2374" w:type="dxa"/>
          </w:tcPr>
          <w:p>
            <w:pPr/>
            <w:r>
              <w:rPr>
                <w:sz w:val="16"/>
              </w:rPr>
              <w:t xml:space="preserve">Partner lender</w:t>
            </w:r>
          </w:p>
        </w:tc>
        <w:tc>
          <w:tcPr>
            <w:tcW w:w="1505" w:type="dxa"/>
          </w:tcPr>
          <w:p>
            <w:pPr/>
            <w:r>
              <w:rPr>
                <w:sz w:val="16"/>
              </w:rPr>
              <w:t xml:space="preserve">Maun / Kasane</w:t>
            </w:r>
          </w:p>
        </w:tc>
        <w:tc>
          <w:tcPr>
            <w:tcW w:w="1785" w:type="dxa"/>
          </w:tcPr>
          <w:p>
            <w:pPr/>
            <w:r>
              <w:rPr>
                <w:sz w:val="16"/>
              </w:rPr>
              <w:t xml:space="preserve">Head of Small Business</w:t>
            </w:r>
          </w:p>
        </w:tc>
        <w:tc>
          <w:tcPr>
            <w:tcW w:w="2150" w:type="dxa"/>
          </w:tcPr>
          <w:p>
            <w:pPr/>
            <w:hyperlink r:id="rId37" w:history="1">
              <w:r>
                <w:rPr>
                  <w:rStyle w:val="Hyperlink"/>
                  <w:sz w:val="16"/>
                </w:rPr>
                <w:t xml:space="preserve">fnbbotswana.co.bw</w:t>
              </w:r>
            </w:hyperlink>
          </w:p>
        </w:tc>
      </w:tr>
      <w:tr>
        <w:tc>
          <w:tcPr>
            <w:tcW w:w="537" w:type="dxa"/>
          </w:tcPr>
          <w:p>
            <w:pPr/>
            <w:r>
              <w:rPr>
                <w:sz w:val="16"/>
              </w:rPr>
              <w:t xml:space="preserve">B07</w:t>
            </w:r>
          </w:p>
        </w:tc>
        <w:tc>
          <w:tcPr>
            <w:tcW w:w="2137" w:type="dxa"/>
          </w:tcPr>
          <w:p>
            <w:pPr/>
            <w:r>
              <w:rPr>
                <w:sz w:val="16"/>
              </w:rPr>
              <w:t xml:space="preserve">Letshego Botswana</w:t>
            </w:r>
          </w:p>
        </w:tc>
        <w:tc>
          <w:tcPr>
            <w:tcW w:w="1075" w:type="dxa"/>
          </w:tcPr>
          <w:p>
            <w:pPr/>
            <w:r>
              <w:rPr>
                <w:sz w:val="16"/>
              </w:rPr>
              <w:t xml:space="preserve">Botswana</w:t>
            </w:r>
          </w:p>
        </w:tc>
        <w:tc>
          <w:tcPr>
            <w:tcW w:w="1397" w:type="dxa"/>
          </w:tcPr>
          <w:p>
            <w:pPr/>
            <w:r>
              <w:rPr>
                <w:sz w:val="16"/>
              </w:rPr>
              <w:t xml:space="preserve">MFI</w:t>
            </w:r>
          </w:p>
        </w:tc>
        <w:tc>
          <w:tcPr>
            <w:tcW w:w="2374" w:type="dxa"/>
          </w:tcPr>
          <w:p>
            <w:pPr/>
            <w:r>
              <w:rPr>
                <w:sz w:val="16"/>
              </w:rPr>
              <w:t xml:space="preserve">Micro and payroll-linked lending</w:t>
            </w:r>
          </w:p>
        </w:tc>
        <w:tc>
          <w:tcPr>
            <w:tcW w:w="1505" w:type="dxa"/>
          </w:tcPr>
          <w:p>
            <w:pPr/>
            <w:r>
              <w:rPr>
                <w:sz w:val="16"/>
              </w:rPr>
              <w:t xml:space="preserve">Maun</w:t>
            </w:r>
          </w:p>
        </w:tc>
        <w:tc>
          <w:tcPr>
            <w:tcW w:w="1785" w:type="dxa"/>
          </w:tcPr>
          <w:p>
            <w:pPr/>
            <w:r>
              <w:rPr>
                <w:sz w:val="16"/>
              </w:rPr>
              <w:t xml:space="preserve">Head of MSE Lending</w:t>
            </w:r>
          </w:p>
        </w:tc>
        <w:tc>
          <w:tcPr>
            <w:tcW w:w="2150" w:type="dxa"/>
          </w:tcPr>
          <w:p>
            <w:pPr/>
            <w:hyperlink r:id="rId38" w:history="1">
              <w:r>
                <w:rPr>
                  <w:rStyle w:val="Hyperlink"/>
                  <w:sz w:val="16"/>
                </w:rPr>
                <w:t xml:space="preserve">letshego.com</w:t>
              </w:r>
            </w:hyperlink>
          </w:p>
        </w:tc>
      </w:tr>
      <w:tr>
        <w:tc>
          <w:tcPr>
            <w:tcW w:w="537" w:type="dxa"/>
          </w:tcPr>
          <w:p>
            <w:pPr/>
            <w:r>
              <w:rPr>
                <w:sz w:val="16"/>
              </w:rPr>
              <w:t xml:space="preserve">B08</w:t>
            </w:r>
          </w:p>
        </w:tc>
        <w:tc>
          <w:tcPr>
            <w:tcW w:w="2137" w:type="dxa"/>
          </w:tcPr>
          <w:p>
            <w:pPr/>
            <w:r>
              <w:rPr>
                <w:sz w:val="16"/>
              </w:rPr>
              <w:t xml:space="preserve">Botswana Tourism Organisation (BTO)</w:t>
            </w:r>
          </w:p>
        </w:tc>
        <w:tc>
          <w:tcPr>
            <w:tcW w:w="1075" w:type="dxa"/>
          </w:tcPr>
          <w:p>
            <w:pPr/>
            <w:r>
              <w:rPr>
                <w:sz w:val="16"/>
              </w:rPr>
              <w:t xml:space="preserve">Botswana</w:t>
            </w:r>
          </w:p>
        </w:tc>
        <w:tc>
          <w:tcPr>
            <w:tcW w:w="1397" w:type="dxa"/>
          </w:tcPr>
          <w:p>
            <w:pPr/>
            <w:r>
              <w:rPr>
                <w:sz w:val="16"/>
              </w:rPr>
              <w:t xml:space="preserve">Tourism board</w:t>
            </w:r>
          </w:p>
        </w:tc>
        <w:tc>
          <w:tcPr>
            <w:tcW w:w="2374" w:type="dxa"/>
          </w:tcPr>
          <w:p>
            <w:pPr/>
            <w:r>
              <w:rPr>
                <w:sz w:val="16"/>
              </w:rPr>
              <w:t xml:space="preserve">Hub roundtable chair; grading and certification</w:t>
            </w:r>
          </w:p>
        </w:tc>
        <w:tc>
          <w:tcPr>
            <w:tcW w:w="1505" w:type="dxa"/>
          </w:tcPr>
          <w:p>
            <w:pPr/>
            <w:r>
              <w:rPr>
                <w:sz w:val="16"/>
              </w:rPr>
              <w:t xml:space="preserve">Maun / Kasane</w:t>
            </w:r>
          </w:p>
        </w:tc>
        <w:tc>
          <w:tcPr>
            <w:tcW w:w="1785" w:type="dxa"/>
          </w:tcPr>
          <w:p>
            <w:pPr/>
            <w:r>
              <w:rPr>
                <w:sz w:val="16"/>
              </w:rPr>
              <w:t xml:space="preserve">Product Development and Ecotourism Certification Manager</w:t>
            </w:r>
          </w:p>
        </w:tc>
        <w:tc>
          <w:tcPr>
            <w:tcW w:w="2150" w:type="dxa"/>
          </w:tcPr>
          <w:p>
            <w:pPr/>
            <w:hyperlink r:id="rId39" w:history="1">
              <w:r>
                <w:rPr>
                  <w:rStyle w:val="Hyperlink"/>
                  <w:sz w:val="16"/>
                </w:rPr>
                <w:t xml:space="preserve">botswanatourism.co.bw</w:t>
              </w:r>
            </w:hyperlink>
          </w:p>
        </w:tc>
      </w:tr>
      <w:tr>
        <w:tc>
          <w:tcPr>
            <w:tcW w:w="537" w:type="dxa"/>
          </w:tcPr>
          <w:p>
            <w:pPr/>
            <w:r>
              <w:rPr>
                <w:sz w:val="16"/>
              </w:rPr>
              <w:t xml:space="preserve">B09</w:t>
            </w:r>
          </w:p>
        </w:tc>
        <w:tc>
          <w:tcPr>
            <w:tcW w:w="2137" w:type="dxa"/>
          </w:tcPr>
          <w:p>
            <w:pPr/>
            <w:r>
              <w:rPr>
                <w:sz w:val="16"/>
              </w:rPr>
              <w:t xml:space="preserve">Hospitality and Tourism Association of Botswana (HATAB)</w:t>
            </w:r>
          </w:p>
        </w:tc>
        <w:tc>
          <w:tcPr>
            <w:tcW w:w="1075" w:type="dxa"/>
          </w:tcPr>
          <w:p>
            <w:pPr/>
            <w:r>
              <w:rPr>
                <w:sz w:val="16"/>
              </w:rPr>
              <w:t xml:space="preserve">Botswana</w:t>
            </w:r>
          </w:p>
        </w:tc>
        <w:tc>
          <w:tcPr>
            <w:tcW w:w="1397" w:type="dxa"/>
          </w:tcPr>
          <w:p>
            <w:pPr/>
            <w:r>
              <w:rPr>
                <w:sz w:val="16"/>
              </w:rPr>
              <w:t xml:space="preserve">Industry association</w:t>
            </w:r>
          </w:p>
        </w:tc>
        <w:tc>
          <w:tcPr>
            <w:tcW w:w="2374" w:type="dxa"/>
          </w:tcPr>
          <w:p>
            <w:pPr/>
            <w:r>
              <w:rPr>
                <w:sz w:val="16"/>
              </w:rPr>
              <w:t xml:space="preserve">Operator mobilisation; Supply Chain Compact</w:t>
            </w:r>
          </w:p>
        </w:tc>
        <w:tc>
          <w:tcPr>
            <w:tcW w:w="1505" w:type="dxa"/>
          </w:tcPr>
          <w:p>
            <w:pPr/>
            <w:r>
              <w:rPr>
                <w:sz w:val="16"/>
              </w:rPr>
              <w:t xml:space="preserve">Maun</w:t>
            </w:r>
          </w:p>
        </w:tc>
        <w:tc>
          <w:tcPr>
            <w:tcW w:w="1785" w:type="dxa"/>
          </w:tcPr>
          <w:p>
            <w:pPr/>
            <w:r>
              <w:rPr>
                <w:sz w:val="16"/>
              </w:rPr>
              <w:t xml:space="preserve">Chief Executive Officer</w:t>
            </w:r>
          </w:p>
        </w:tc>
        <w:tc>
          <w:tcPr>
            <w:tcW w:w="2150" w:type="dxa"/>
          </w:tcPr>
          <w:p>
            <w:pPr/>
            <w:hyperlink r:id="rId40" w:history="1">
              <w:r>
                <w:rPr>
                  <w:rStyle w:val="Hyperlink"/>
                  <w:sz w:val="16"/>
                </w:rPr>
                <w:t xml:space="preserve">hatab.bw</w:t>
              </w:r>
            </w:hyperlink>
          </w:p>
        </w:tc>
      </w:tr>
      <w:tr>
        <w:tc>
          <w:tcPr>
            <w:tcW w:w="537" w:type="dxa"/>
          </w:tcPr>
          <w:p>
            <w:pPr/>
            <w:r>
              <w:rPr>
                <w:sz w:val="16"/>
              </w:rPr>
              <w:t xml:space="preserve">B10</w:t>
            </w:r>
          </w:p>
        </w:tc>
        <w:tc>
          <w:tcPr>
            <w:tcW w:w="2137" w:type="dxa"/>
          </w:tcPr>
          <w:p>
            <w:pPr/>
            <w:r>
              <w:rPr>
                <w:sz w:val="16"/>
              </w:rPr>
              <w:t xml:space="preserve">Wilderness</w:t>
            </w:r>
          </w:p>
        </w:tc>
        <w:tc>
          <w:tcPr>
            <w:tcW w:w="1075" w:type="dxa"/>
          </w:tcPr>
          <w:p>
            <w:pPr/>
            <w:r>
              <w:rPr>
                <w:sz w:val="16"/>
              </w:rPr>
              <w:t xml:space="preserve">Botswana</w:t>
            </w:r>
          </w:p>
        </w:tc>
        <w:tc>
          <w:tcPr>
            <w:tcW w:w="1397" w:type="dxa"/>
          </w:tcPr>
          <w:p>
            <w:pPr/>
            <w:r>
              <w:rPr>
                <w:sz w:val="16"/>
              </w:rPr>
              <w:t xml:space="preserve">Large operator</w:t>
            </w:r>
          </w:p>
        </w:tc>
        <w:tc>
          <w:tcPr>
            <w:tcW w:w="2374" w:type="dxa"/>
          </w:tcPr>
          <w:p>
            <w:pPr/>
            <w:r>
              <w:rPr>
                <w:sz w:val="16"/>
              </w:rPr>
              <w:t xml:space="preserve">Anchor; supplier finance pilot; Compact signatory</w:t>
            </w:r>
          </w:p>
        </w:tc>
        <w:tc>
          <w:tcPr>
            <w:tcW w:w="1505" w:type="dxa"/>
          </w:tcPr>
          <w:p>
            <w:pPr/>
            <w:r>
              <w:rPr>
                <w:sz w:val="16"/>
              </w:rPr>
              <w:t xml:space="preserve">Maun</w:t>
            </w:r>
          </w:p>
        </w:tc>
        <w:tc>
          <w:tcPr>
            <w:tcW w:w="1785" w:type="dxa"/>
          </w:tcPr>
          <w:p>
            <w:pPr/>
            <w:r>
              <w:rPr>
                <w:sz w:val="16"/>
              </w:rPr>
              <w:t xml:space="preserve">Head of Sustainability / Procurement</w:t>
            </w:r>
          </w:p>
        </w:tc>
        <w:tc>
          <w:tcPr>
            <w:tcW w:w="2150" w:type="dxa"/>
          </w:tcPr>
          <w:p>
            <w:pPr/>
            <w:hyperlink r:id="rId41" w:history="1">
              <w:r>
                <w:rPr>
                  <w:rStyle w:val="Hyperlink"/>
                  <w:sz w:val="16"/>
                </w:rPr>
                <w:t xml:space="preserve">wildernessdestinations.com</w:t>
              </w:r>
            </w:hyperlink>
          </w:p>
        </w:tc>
      </w:tr>
      <w:tr>
        <w:tc>
          <w:tcPr>
            <w:tcW w:w="537" w:type="dxa"/>
          </w:tcPr>
          <w:p>
            <w:pPr/>
            <w:r>
              <w:rPr>
                <w:sz w:val="16"/>
              </w:rPr>
              <w:t xml:space="preserve">B11</w:t>
            </w:r>
          </w:p>
        </w:tc>
        <w:tc>
          <w:tcPr>
            <w:tcW w:w="2137" w:type="dxa"/>
          </w:tcPr>
          <w:p>
            <w:pPr/>
            <w:r>
              <w:rPr>
                <w:sz w:val="16"/>
              </w:rPr>
              <w:t xml:space="preserve">Botswana Community Based Organisations Network (BOCOBONET)</w:t>
            </w:r>
          </w:p>
        </w:tc>
        <w:tc>
          <w:tcPr>
            <w:tcW w:w="1075" w:type="dxa"/>
          </w:tcPr>
          <w:p>
            <w:pPr/>
            <w:r>
              <w:rPr>
                <w:sz w:val="16"/>
              </w:rPr>
              <w:t xml:space="preserve">Botswana</w:t>
            </w:r>
          </w:p>
        </w:tc>
        <w:tc>
          <w:tcPr>
            <w:tcW w:w="1397" w:type="dxa"/>
          </w:tcPr>
          <w:p>
            <w:pPr/>
            <w:r>
              <w:rPr>
                <w:sz w:val="16"/>
              </w:rPr>
              <w:t xml:space="preserve">CBNRM</w:t>
            </w:r>
          </w:p>
        </w:tc>
        <w:tc>
          <w:tcPr>
            <w:tcW w:w="2374" w:type="dxa"/>
          </w:tcPr>
          <w:p>
            <w:pPr/>
            <w:r>
              <w:rPr>
                <w:sz w:val="16"/>
              </w:rPr>
              <w:t xml:space="preserve">Community trusts outreach; community guarantee fund</w:t>
            </w:r>
          </w:p>
        </w:tc>
        <w:tc>
          <w:tcPr>
            <w:tcW w:w="1505" w:type="dxa"/>
          </w:tcPr>
          <w:p>
            <w:pPr/>
            <w:r>
              <w:rPr>
                <w:sz w:val="16"/>
              </w:rPr>
              <w:t xml:space="preserve">Maun</w:t>
            </w:r>
          </w:p>
        </w:tc>
        <w:tc>
          <w:tcPr>
            <w:tcW w:w="1785" w:type="dxa"/>
          </w:tcPr>
          <w:p>
            <w:pPr/>
            <w:r>
              <w:rPr>
                <w:sz w:val="16"/>
              </w:rPr>
              <w:t xml:space="preserve">Coordinator</w:t>
            </w:r>
          </w:p>
        </w:tc>
        <w:tc>
          <w:tcPr>
            <w:tcW w:w="2150" w:type="dxa"/>
          </w:tcPr>
          <w:p>
            <w:pPr/>
            <w:r>
              <w:rPr>
                <w:sz w:val="16"/>
              </w:rPr>
              <w:t xml:space="preserve">to confirm</w:t>
            </w:r>
          </w:p>
        </w:tc>
      </w:tr>
      <w:tr>
        <w:tc>
          <w:tcPr>
            <w:tcW w:w="537" w:type="dxa"/>
          </w:tcPr>
          <w:p>
            <w:pPr/>
            <w:r>
              <w:rPr>
                <w:sz w:val="16"/>
              </w:rPr>
              <w:t xml:space="preserve">B12</w:t>
            </w:r>
          </w:p>
        </w:tc>
        <w:tc>
          <w:tcPr>
            <w:tcW w:w="2137" w:type="dxa"/>
          </w:tcPr>
          <w:p>
            <w:pPr/>
            <w:r>
              <w:rPr>
                <w:sz w:val="16"/>
              </w:rPr>
              <w:t xml:space="preserve">Ministry of Youth / Youth Development Fund</w:t>
            </w:r>
          </w:p>
        </w:tc>
        <w:tc>
          <w:tcPr>
            <w:tcW w:w="1075" w:type="dxa"/>
          </w:tcPr>
          <w:p>
            <w:pPr/>
            <w:r>
              <w:rPr>
                <w:sz w:val="16"/>
              </w:rPr>
              <w:t xml:space="preserve">Botswana</w:t>
            </w:r>
          </w:p>
        </w:tc>
        <w:tc>
          <w:tcPr>
            <w:tcW w:w="1397" w:type="dxa"/>
          </w:tcPr>
          <w:p>
            <w:pPr/>
            <w:r>
              <w:rPr>
                <w:sz w:val="16"/>
              </w:rPr>
              <w:t xml:space="preserve">Government</w:t>
            </w:r>
          </w:p>
        </w:tc>
        <w:tc>
          <w:tcPr>
            <w:tcW w:w="2374" w:type="dxa"/>
          </w:tcPr>
          <w:p>
            <w:pPr/>
            <w:r>
              <w:rPr>
                <w:sz w:val="16"/>
              </w:rPr>
              <w:t xml:space="preserve">Youth window co-financing</w:t>
            </w:r>
          </w:p>
        </w:tc>
        <w:tc>
          <w:tcPr>
            <w:tcW w:w="1505" w:type="dxa"/>
          </w:tcPr>
          <w:p>
            <w:pPr/>
            <w:r>
              <w:rPr>
                <w:sz w:val="16"/>
              </w:rPr>
              <w:t xml:space="preserve">Gaborone / district offices</w:t>
            </w:r>
          </w:p>
        </w:tc>
        <w:tc>
          <w:tcPr>
            <w:tcW w:w="1785" w:type="dxa"/>
          </w:tcPr>
          <w:p>
            <w:pPr/>
            <w:r>
              <w:rPr>
                <w:sz w:val="16"/>
              </w:rPr>
              <w:t xml:space="preserve">Youth Development Fund Coordinator</w:t>
            </w:r>
          </w:p>
        </w:tc>
        <w:tc>
          <w:tcPr>
            <w:tcW w:w="2150" w:type="dxa"/>
          </w:tcPr>
          <w:p>
            <w:pPr/>
            <w:hyperlink r:id="rId42" w:history="1">
              <w:r>
                <w:rPr>
                  <w:rStyle w:val="Hyperlink"/>
                  <w:sz w:val="16"/>
                </w:rPr>
                <w:t xml:space="preserve">gov.bw</w:t>
              </w:r>
            </w:hyperlink>
          </w:p>
        </w:tc>
      </w:tr>
      <w:tr>
        <w:tc>
          <w:tcPr>
            <w:tcW w:w="537" w:type="dxa"/>
          </w:tcPr>
          <w:p>
            <w:pPr/>
            <w:r>
              <w:rPr>
                <w:sz w:val="16"/>
              </w:rPr>
              <w:t xml:space="preserve">B13</w:t>
            </w:r>
          </w:p>
        </w:tc>
        <w:tc>
          <w:tcPr>
            <w:tcW w:w="2137" w:type="dxa"/>
          </w:tcPr>
          <w:p>
            <w:pPr/>
            <w:r>
              <w:rPr>
                <w:sz w:val="16"/>
              </w:rPr>
              <w:t xml:space="preserve">Bank of Botswana / Ministry of Finance (Collateral Registry)</w:t>
            </w:r>
          </w:p>
        </w:tc>
        <w:tc>
          <w:tcPr>
            <w:tcW w:w="1075" w:type="dxa"/>
          </w:tcPr>
          <w:p>
            <w:pPr/>
            <w:r>
              <w:rPr>
                <w:sz w:val="16"/>
              </w:rPr>
              <w:t xml:space="preserve">Botswana</w:t>
            </w:r>
          </w:p>
        </w:tc>
        <w:tc>
          <w:tcPr>
            <w:tcW w:w="1397" w:type="dxa"/>
          </w:tcPr>
          <w:p>
            <w:pPr/>
            <w:r>
              <w:rPr>
                <w:sz w:val="16"/>
              </w:rPr>
              <w:t xml:space="preserve">Regulator</w:t>
            </w:r>
          </w:p>
        </w:tc>
        <w:tc>
          <w:tcPr>
            <w:tcW w:w="2374" w:type="dxa"/>
          </w:tcPr>
          <w:p>
            <w:pPr/>
            <w:r>
              <w:rPr>
                <w:sz w:val="16"/>
              </w:rPr>
              <w:t xml:space="preserve">Movable collateral registry commencement</w:t>
            </w:r>
          </w:p>
        </w:tc>
        <w:tc>
          <w:tcPr>
            <w:tcW w:w="1505" w:type="dxa"/>
          </w:tcPr>
          <w:p>
            <w:pPr/>
            <w:r>
              <w:rPr>
                <w:sz w:val="16"/>
              </w:rPr>
              <w:t xml:space="preserve">Gaborone</w:t>
            </w:r>
          </w:p>
        </w:tc>
        <w:tc>
          <w:tcPr>
            <w:tcW w:w="1785" w:type="dxa"/>
          </w:tcPr>
          <w:p>
            <w:pPr/>
            <w:r>
              <w:rPr>
                <w:sz w:val="16"/>
              </w:rPr>
              <w:t xml:space="preserve">Financial Inclusion / Collateral Registry Lead</w:t>
            </w:r>
          </w:p>
        </w:tc>
        <w:tc>
          <w:tcPr>
            <w:tcW w:w="2150" w:type="dxa"/>
          </w:tcPr>
          <w:p>
            <w:pPr/>
            <w:hyperlink r:id="rId43" w:history="1">
              <w:r>
                <w:rPr>
                  <w:rStyle w:val="Hyperlink"/>
                  <w:sz w:val="16"/>
                </w:rPr>
                <w:t xml:space="preserve">bankofbotswana.bw</w:t>
              </w:r>
            </w:hyperlink>
          </w:p>
        </w:tc>
      </w:tr>
      <w:tr>
        <w:tc>
          <w:tcPr>
            <w:tcW w:w="537" w:type="dxa"/>
          </w:tcPr>
          <w:p>
            <w:pPr/>
            <w:r>
              <w:rPr>
                <w:sz w:val="16"/>
              </w:rPr>
              <w:t xml:space="preserve">N01</w:t>
            </w:r>
          </w:p>
        </w:tc>
        <w:tc>
          <w:tcPr>
            <w:tcW w:w="2137" w:type="dxa"/>
          </w:tcPr>
          <w:p>
            <w:pPr/>
            <w:r>
              <w:rPr>
                <w:sz w:val="16"/>
              </w:rPr>
              <w:t xml:space="preserve">Development Bank of Namibia (DBN)</w:t>
            </w:r>
          </w:p>
        </w:tc>
        <w:tc>
          <w:tcPr>
            <w:tcW w:w="1075" w:type="dxa"/>
          </w:tcPr>
          <w:p>
            <w:pPr/>
            <w:r>
              <w:rPr>
                <w:sz w:val="16"/>
              </w:rPr>
              <w:t xml:space="preserve">Namibia</w:t>
            </w:r>
          </w:p>
        </w:tc>
        <w:tc>
          <w:tcPr>
            <w:tcW w:w="1397" w:type="dxa"/>
          </w:tcPr>
          <w:p>
            <w:pPr/>
            <w:r>
              <w:rPr>
                <w:sz w:val="16"/>
              </w:rPr>
              <w:t xml:space="preserve">DFI</w:t>
            </w:r>
          </w:p>
        </w:tc>
        <w:tc>
          <w:tcPr>
            <w:tcW w:w="2374" w:type="dxa"/>
          </w:tcPr>
          <w:p>
            <w:pPr/>
            <w:r>
              <w:rPr>
                <w:sz w:val="16"/>
              </w:rPr>
              <w:t xml:space="preserve">Tourism window; CGS administrator; partner lender</w:t>
            </w:r>
          </w:p>
        </w:tc>
        <w:tc>
          <w:tcPr>
            <w:tcW w:w="1505" w:type="dxa"/>
          </w:tcPr>
          <w:p>
            <w:pPr/>
            <w:r>
              <w:rPr>
                <w:sz w:val="16"/>
              </w:rPr>
              <w:t xml:space="preserve">Katima Mulilo / Rundu / Windhoek</w:t>
            </w:r>
          </w:p>
        </w:tc>
        <w:tc>
          <w:tcPr>
            <w:tcW w:w="1785" w:type="dxa"/>
          </w:tcPr>
          <w:p>
            <w:pPr/>
            <w:r>
              <w:rPr>
                <w:sz w:val="16"/>
              </w:rPr>
              <w:t xml:space="preserve">Head of SME Finance; CGS Manager</w:t>
            </w:r>
          </w:p>
        </w:tc>
        <w:tc>
          <w:tcPr>
            <w:tcW w:w="2150" w:type="dxa"/>
          </w:tcPr>
          <w:p>
            <w:pPr/>
            <w:hyperlink r:id="rId44" w:history="1">
              <w:r>
                <w:rPr>
                  <w:rStyle w:val="Hyperlink"/>
                  <w:sz w:val="16"/>
                </w:rPr>
                <w:t xml:space="preserve">dbn.com.na</w:t>
              </w:r>
            </w:hyperlink>
          </w:p>
        </w:tc>
      </w:tr>
      <w:tr>
        <w:tc>
          <w:tcPr>
            <w:tcW w:w="537" w:type="dxa"/>
          </w:tcPr>
          <w:p>
            <w:pPr/>
            <w:r>
              <w:rPr>
                <w:sz w:val="16"/>
              </w:rPr>
              <w:t xml:space="preserve">N02</w:t>
            </w:r>
          </w:p>
        </w:tc>
        <w:tc>
          <w:tcPr>
            <w:tcW w:w="2137" w:type="dxa"/>
          </w:tcPr>
          <w:p>
            <w:pPr/>
            <w:r>
              <w:rPr>
                <w:sz w:val="16"/>
              </w:rPr>
              <w:t xml:space="preserve">Environmental Investment Fund of Namibia (EIF)</w:t>
            </w:r>
          </w:p>
        </w:tc>
        <w:tc>
          <w:tcPr>
            <w:tcW w:w="1075" w:type="dxa"/>
          </w:tcPr>
          <w:p>
            <w:pPr/>
            <w:r>
              <w:rPr>
                <w:sz w:val="16"/>
              </w:rPr>
              <w:t xml:space="preserve">Namibia</w:t>
            </w:r>
          </w:p>
        </w:tc>
        <w:tc>
          <w:tcPr>
            <w:tcW w:w="1397" w:type="dxa"/>
          </w:tcPr>
          <w:p>
            <w:pPr/>
            <w:r>
              <w:rPr>
                <w:sz w:val="16"/>
              </w:rPr>
              <w:t xml:space="preserve">Green fund</w:t>
            </w:r>
          </w:p>
        </w:tc>
        <w:tc>
          <w:tcPr>
            <w:tcW w:w="2374" w:type="dxa"/>
          </w:tcPr>
          <w:p>
            <w:pPr/>
            <w:r>
              <w:rPr>
                <w:sz w:val="16"/>
              </w:rPr>
              <w:t xml:space="preserve">Green asset finance; conservancy grants</w:t>
            </w:r>
          </w:p>
        </w:tc>
        <w:tc>
          <w:tcPr>
            <w:tcW w:w="1505" w:type="dxa"/>
          </w:tcPr>
          <w:p>
            <w:pPr/>
            <w:r>
              <w:rPr>
                <w:sz w:val="16"/>
              </w:rPr>
              <w:t xml:space="preserve">Windhoek</w:t>
            </w:r>
          </w:p>
        </w:tc>
        <w:tc>
          <w:tcPr>
            <w:tcW w:w="1785" w:type="dxa"/>
          </w:tcPr>
          <w:p>
            <w:pPr/>
            <w:r>
              <w:rPr>
                <w:sz w:val="16"/>
              </w:rPr>
              <w:t xml:space="preserve">Head of Programmes / Green Finance</w:t>
            </w:r>
          </w:p>
        </w:tc>
        <w:tc>
          <w:tcPr>
            <w:tcW w:w="2150" w:type="dxa"/>
          </w:tcPr>
          <w:p>
            <w:pPr/>
            <w:hyperlink r:id="rId45" w:history="1">
              <w:r>
                <w:rPr>
                  <w:rStyle w:val="Hyperlink"/>
                  <w:sz w:val="16"/>
                </w:rPr>
                <w:t xml:space="preserve">eif.org.na</w:t>
              </w:r>
            </w:hyperlink>
          </w:p>
        </w:tc>
      </w:tr>
      <w:tr>
        <w:tc>
          <w:tcPr>
            <w:tcW w:w="537" w:type="dxa"/>
          </w:tcPr>
          <w:p>
            <w:pPr/>
            <w:r>
              <w:rPr>
                <w:sz w:val="16"/>
              </w:rPr>
              <w:t xml:space="preserve">N03</w:t>
            </w:r>
          </w:p>
        </w:tc>
        <w:tc>
          <w:tcPr>
            <w:tcW w:w="2137" w:type="dxa"/>
          </w:tcPr>
          <w:p>
            <w:pPr/>
            <w:r>
              <w:rPr>
                <w:sz w:val="16"/>
              </w:rPr>
              <w:t xml:space="preserve">Namibian Association of CBNRM Support Organisations (NACSO)</w:t>
            </w:r>
          </w:p>
        </w:tc>
        <w:tc>
          <w:tcPr>
            <w:tcW w:w="1075" w:type="dxa"/>
          </w:tcPr>
          <w:p>
            <w:pPr/>
            <w:r>
              <w:rPr>
                <w:sz w:val="16"/>
              </w:rPr>
              <w:t xml:space="preserve">Namibia</w:t>
            </w:r>
          </w:p>
        </w:tc>
        <w:tc>
          <w:tcPr>
            <w:tcW w:w="1397" w:type="dxa"/>
          </w:tcPr>
          <w:p>
            <w:pPr/>
            <w:r>
              <w:rPr>
                <w:sz w:val="16"/>
              </w:rPr>
              <w:t xml:space="preserve">CBNRM</w:t>
            </w:r>
          </w:p>
        </w:tc>
        <w:tc>
          <w:tcPr>
            <w:tcW w:w="2374" w:type="dxa"/>
          </w:tcPr>
          <w:p>
            <w:pPr/>
            <w:r>
              <w:rPr>
                <w:sz w:val="16"/>
              </w:rPr>
              <w:t xml:space="preserve">Conservancy outreach; model JV clauses; data</w:t>
            </w:r>
          </w:p>
        </w:tc>
        <w:tc>
          <w:tcPr>
            <w:tcW w:w="1505" w:type="dxa"/>
          </w:tcPr>
          <w:p>
            <w:pPr/>
            <w:r>
              <w:rPr>
                <w:sz w:val="16"/>
              </w:rPr>
              <w:t xml:space="preserve">Windhoek / Katima Mulilo</w:t>
            </w:r>
          </w:p>
        </w:tc>
        <w:tc>
          <w:tcPr>
            <w:tcW w:w="1785" w:type="dxa"/>
          </w:tcPr>
          <w:p>
            <w:pPr/>
            <w:r>
              <w:rPr>
                <w:sz w:val="16"/>
              </w:rPr>
              <w:t xml:space="preserve">Director</w:t>
            </w:r>
          </w:p>
        </w:tc>
        <w:tc>
          <w:tcPr>
            <w:tcW w:w="2150" w:type="dxa"/>
          </w:tcPr>
          <w:p>
            <w:pPr/>
            <w:hyperlink r:id="rId46" w:history="1">
              <w:r>
                <w:rPr>
                  <w:rStyle w:val="Hyperlink"/>
                  <w:sz w:val="16"/>
                </w:rPr>
                <w:t xml:space="preserve">nacso.org.na</w:t>
              </w:r>
            </w:hyperlink>
          </w:p>
        </w:tc>
      </w:tr>
      <w:tr>
        <w:tc>
          <w:tcPr>
            <w:tcW w:w="537" w:type="dxa"/>
          </w:tcPr>
          <w:p>
            <w:pPr/>
            <w:r>
              <w:rPr>
                <w:sz w:val="16"/>
              </w:rPr>
              <w:t xml:space="preserve">N04</w:t>
            </w:r>
          </w:p>
        </w:tc>
        <w:tc>
          <w:tcPr>
            <w:tcW w:w="2137" w:type="dxa"/>
          </w:tcPr>
          <w:p>
            <w:pPr/>
            <w:r>
              <w:rPr>
                <w:sz w:val="16"/>
              </w:rPr>
              <w:t xml:space="preserve">Community Conservation Fund of Namibia (CCFN)</w:t>
            </w:r>
          </w:p>
        </w:tc>
        <w:tc>
          <w:tcPr>
            <w:tcW w:w="1075" w:type="dxa"/>
          </w:tcPr>
          <w:p>
            <w:pPr/>
            <w:r>
              <w:rPr>
                <w:sz w:val="16"/>
              </w:rPr>
              <w:t xml:space="preserve">Namibia</w:t>
            </w:r>
          </w:p>
        </w:tc>
        <w:tc>
          <w:tcPr>
            <w:tcW w:w="1397" w:type="dxa"/>
          </w:tcPr>
          <w:p>
            <w:pPr/>
            <w:r>
              <w:rPr>
                <w:sz w:val="16"/>
              </w:rPr>
              <w:t xml:space="preserve">Community fund</w:t>
            </w:r>
          </w:p>
        </w:tc>
        <w:tc>
          <w:tcPr>
            <w:tcW w:w="2374" w:type="dxa"/>
          </w:tcPr>
          <w:p>
            <w:pPr/>
            <w:r>
              <w:rPr>
                <w:sz w:val="16"/>
              </w:rPr>
              <w:t xml:space="preserve">Wildlife Credits; community guarantee fund management</w:t>
            </w:r>
          </w:p>
        </w:tc>
        <w:tc>
          <w:tcPr>
            <w:tcW w:w="1505" w:type="dxa"/>
          </w:tcPr>
          <w:p>
            <w:pPr/>
            <w:r>
              <w:rPr>
                <w:sz w:val="16"/>
              </w:rPr>
              <w:t xml:space="preserve">Windhoek</w:t>
            </w:r>
          </w:p>
        </w:tc>
        <w:tc>
          <w:tcPr>
            <w:tcW w:w="1785" w:type="dxa"/>
          </w:tcPr>
          <w:p>
            <w:pPr/>
            <w:r>
              <w:rPr>
                <w:sz w:val="16"/>
              </w:rPr>
              <w:t xml:space="preserve">Executive Director</w:t>
            </w:r>
          </w:p>
        </w:tc>
        <w:tc>
          <w:tcPr>
            <w:tcW w:w="2150" w:type="dxa"/>
          </w:tcPr>
          <w:p>
            <w:pPr/>
            <w:hyperlink r:id="rId47" w:history="1">
              <w:r>
                <w:rPr>
                  <w:rStyle w:val="Hyperlink"/>
                  <w:sz w:val="16"/>
                </w:rPr>
                <w:t xml:space="preserve">ccfn.org.na</w:t>
              </w:r>
            </w:hyperlink>
          </w:p>
        </w:tc>
      </w:tr>
      <w:tr>
        <w:tc>
          <w:tcPr>
            <w:tcW w:w="537" w:type="dxa"/>
          </w:tcPr>
          <w:p>
            <w:pPr/>
            <w:r>
              <w:rPr>
                <w:sz w:val="16"/>
              </w:rPr>
              <w:t xml:space="preserve">N05</w:t>
            </w:r>
          </w:p>
        </w:tc>
        <w:tc>
          <w:tcPr>
            <w:tcW w:w="2137" w:type="dxa"/>
          </w:tcPr>
          <w:p>
            <w:pPr/>
            <w:r>
              <w:rPr>
                <w:sz w:val="16"/>
              </w:rPr>
              <w:t xml:space="preserve">Ministry of Environment Forestry and Tourism (MEFT)</w:t>
            </w:r>
          </w:p>
        </w:tc>
        <w:tc>
          <w:tcPr>
            <w:tcW w:w="1075" w:type="dxa"/>
          </w:tcPr>
          <w:p>
            <w:pPr/>
            <w:r>
              <w:rPr>
                <w:sz w:val="16"/>
              </w:rPr>
              <w:t xml:space="preserve">Namibia</w:t>
            </w:r>
          </w:p>
        </w:tc>
        <w:tc>
          <w:tcPr>
            <w:tcW w:w="1397" w:type="dxa"/>
          </w:tcPr>
          <w:p>
            <w:pPr/>
            <w:r>
              <w:rPr>
                <w:sz w:val="16"/>
              </w:rPr>
              <w:t xml:space="preserve">Government</w:t>
            </w:r>
          </w:p>
        </w:tc>
        <w:tc>
          <w:tcPr>
            <w:tcW w:w="2374" w:type="dxa"/>
          </w:tcPr>
          <w:p>
            <w:pPr/>
            <w:r>
              <w:rPr>
                <w:sz w:val="16"/>
              </w:rPr>
              <w:t xml:space="preserve">Concessions; conservancy policy; KAZA NCU</w:t>
            </w:r>
          </w:p>
        </w:tc>
        <w:tc>
          <w:tcPr>
            <w:tcW w:w="1505" w:type="dxa"/>
          </w:tcPr>
          <w:p>
            <w:pPr/>
            <w:r>
              <w:rPr>
                <w:sz w:val="16"/>
              </w:rPr>
              <w:t xml:space="preserve">Windhoek / Katima Mulilo</w:t>
            </w:r>
          </w:p>
        </w:tc>
        <w:tc>
          <w:tcPr>
            <w:tcW w:w="1785" w:type="dxa"/>
          </w:tcPr>
          <w:p>
            <w:pPr/>
            <w:r>
              <w:rPr>
                <w:sz w:val="16"/>
              </w:rPr>
              <w:t xml:space="preserve">KAZA National Coordinator</w:t>
            </w:r>
          </w:p>
        </w:tc>
        <w:tc>
          <w:tcPr>
            <w:tcW w:w="2150" w:type="dxa"/>
          </w:tcPr>
          <w:p>
            <w:pPr/>
            <w:hyperlink r:id="rId48" w:history="1">
              <w:r>
                <w:rPr>
                  <w:rStyle w:val="Hyperlink"/>
                  <w:sz w:val="16"/>
                </w:rPr>
                <w:t xml:space="preserve">meft.gov.na</w:t>
              </w:r>
            </w:hyperlink>
          </w:p>
        </w:tc>
      </w:tr>
      <w:tr>
        <w:tc>
          <w:tcPr>
            <w:tcW w:w="537" w:type="dxa"/>
          </w:tcPr>
          <w:p>
            <w:pPr/>
            <w:r>
              <w:rPr>
                <w:sz w:val="16"/>
              </w:rPr>
              <w:t xml:space="preserve">N06</w:t>
            </w:r>
          </w:p>
        </w:tc>
        <w:tc>
          <w:tcPr>
            <w:tcW w:w="2137" w:type="dxa"/>
          </w:tcPr>
          <w:p>
            <w:pPr/>
            <w:r>
              <w:rPr>
                <w:sz w:val="16"/>
              </w:rPr>
              <w:t xml:space="preserve">Namibia Tourism Board (NTB)</w:t>
            </w:r>
          </w:p>
        </w:tc>
        <w:tc>
          <w:tcPr>
            <w:tcW w:w="1075" w:type="dxa"/>
          </w:tcPr>
          <w:p>
            <w:pPr/>
            <w:r>
              <w:rPr>
                <w:sz w:val="16"/>
              </w:rPr>
              <w:t xml:space="preserve">Namibia</w:t>
            </w:r>
          </w:p>
        </w:tc>
        <w:tc>
          <w:tcPr>
            <w:tcW w:w="1397" w:type="dxa"/>
          </w:tcPr>
          <w:p>
            <w:pPr/>
            <w:r>
              <w:rPr>
                <w:sz w:val="16"/>
              </w:rPr>
              <w:t xml:space="preserve">Tourism board</w:t>
            </w:r>
          </w:p>
        </w:tc>
        <w:tc>
          <w:tcPr>
            <w:tcW w:w="2374" w:type="dxa"/>
          </w:tcPr>
          <w:p>
            <w:pPr/>
            <w:r>
              <w:rPr>
                <w:sz w:val="16"/>
              </w:rPr>
              <w:t xml:space="preserve">Licensing simplification; hub roundtable</w:t>
            </w:r>
          </w:p>
        </w:tc>
        <w:tc>
          <w:tcPr>
            <w:tcW w:w="1505" w:type="dxa"/>
          </w:tcPr>
          <w:p>
            <w:pPr/>
            <w:r>
              <w:rPr>
                <w:sz w:val="16"/>
              </w:rPr>
              <w:t xml:space="preserve">Windhoek / Katima Mulilo</w:t>
            </w:r>
          </w:p>
        </w:tc>
        <w:tc>
          <w:tcPr>
            <w:tcW w:w="1785" w:type="dxa"/>
          </w:tcPr>
          <w:p>
            <w:pPr/>
            <w:r>
              <w:rPr>
                <w:sz w:val="16"/>
              </w:rPr>
              <w:t xml:space="preserve">Industry Services Manager</w:t>
            </w:r>
          </w:p>
        </w:tc>
        <w:tc>
          <w:tcPr>
            <w:tcW w:w="2150" w:type="dxa"/>
          </w:tcPr>
          <w:p>
            <w:pPr/>
            <w:hyperlink r:id="rId49" w:history="1">
              <w:r>
                <w:rPr>
                  <w:rStyle w:val="Hyperlink"/>
                  <w:sz w:val="16"/>
                </w:rPr>
                <w:t xml:space="preserve">namibiatourism.com.na</w:t>
              </w:r>
            </w:hyperlink>
          </w:p>
        </w:tc>
      </w:tr>
      <w:tr>
        <w:tc>
          <w:tcPr>
            <w:tcW w:w="537" w:type="dxa"/>
          </w:tcPr>
          <w:p>
            <w:pPr/>
            <w:r>
              <w:rPr>
                <w:sz w:val="16"/>
              </w:rPr>
              <w:t xml:space="preserve">N07</w:t>
            </w:r>
          </w:p>
        </w:tc>
        <w:tc>
          <w:tcPr>
            <w:tcW w:w="2137" w:type="dxa"/>
          </w:tcPr>
          <w:p>
            <w:pPr/>
            <w:r>
              <w:rPr>
                <w:sz w:val="16"/>
              </w:rPr>
              <w:t xml:space="preserve">Federation of Namibian Tourism Associations (FENATA)</w:t>
            </w:r>
          </w:p>
        </w:tc>
        <w:tc>
          <w:tcPr>
            <w:tcW w:w="1075" w:type="dxa"/>
          </w:tcPr>
          <w:p>
            <w:pPr/>
            <w:r>
              <w:rPr>
                <w:sz w:val="16"/>
              </w:rPr>
              <w:t xml:space="preserve">Namibia</w:t>
            </w:r>
          </w:p>
        </w:tc>
        <w:tc>
          <w:tcPr>
            <w:tcW w:w="1397" w:type="dxa"/>
          </w:tcPr>
          <w:p>
            <w:pPr/>
            <w:r>
              <w:rPr>
                <w:sz w:val="16"/>
              </w:rPr>
              <w:t xml:space="preserve">Industry association</w:t>
            </w:r>
          </w:p>
        </w:tc>
        <w:tc>
          <w:tcPr>
            <w:tcW w:w="2374" w:type="dxa"/>
          </w:tcPr>
          <w:p>
            <w:pPr/>
            <w:r>
              <w:rPr>
                <w:sz w:val="16"/>
              </w:rPr>
              <w:t xml:space="preserve">Operator mobilisation; Compact</w:t>
            </w:r>
          </w:p>
        </w:tc>
        <w:tc>
          <w:tcPr>
            <w:tcW w:w="1505" w:type="dxa"/>
          </w:tcPr>
          <w:p>
            <w:pPr/>
            <w:r>
              <w:rPr>
                <w:sz w:val="16"/>
              </w:rPr>
              <w:t xml:space="preserve">Windhoek</w:t>
            </w:r>
          </w:p>
        </w:tc>
        <w:tc>
          <w:tcPr>
            <w:tcW w:w="1785" w:type="dxa"/>
          </w:tcPr>
          <w:p>
            <w:pPr/>
            <w:r>
              <w:rPr>
                <w:sz w:val="16"/>
              </w:rPr>
              <w:t xml:space="preserve">Chief Executive Officer</w:t>
            </w:r>
          </w:p>
        </w:tc>
        <w:tc>
          <w:tcPr>
            <w:tcW w:w="2150" w:type="dxa"/>
          </w:tcPr>
          <w:p>
            <w:pPr/>
            <w:r>
              <w:rPr>
                <w:sz w:val="16"/>
              </w:rPr>
              <w:t xml:space="preserve">to confirm</w:t>
            </w:r>
          </w:p>
        </w:tc>
      </w:tr>
      <w:tr>
        <w:tc>
          <w:tcPr>
            <w:tcW w:w="537" w:type="dxa"/>
          </w:tcPr>
          <w:p>
            <w:pPr/>
            <w:r>
              <w:rPr>
                <w:sz w:val="16"/>
              </w:rPr>
              <w:t xml:space="preserve">N08</w:t>
            </w:r>
          </w:p>
        </w:tc>
        <w:tc>
          <w:tcPr>
            <w:tcW w:w="2137" w:type="dxa"/>
          </w:tcPr>
          <w:p>
            <w:pPr/>
            <w:r>
              <w:rPr>
                <w:sz w:val="16"/>
              </w:rPr>
              <w:t xml:space="preserve">Bank Windhoek</w:t>
            </w:r>
          </w:p>
        </w:tc>
        <w:tc>
          <w:tcPr>
            <w:tcW w:w="1075" w:type="dxa"/>
          </w:tcPr>
          <w:p>
            <w:pPr/>
            <w:r>
              <w:rPr>
                <w:sz w:val="16"/>
              </w:rPr>
              <w:t xml:space="preserve">Namibia</w:t>
            </w:r>
          </w:p>
        </w:tc>
        <w:tc>
          <w:tcPr>
            <w:tcW w:w="1397" w:type="dxa"/>
          </w:tcPr>
          <w:p>
            <w:pPr/>
            <w:r>
              <w:rPr>
                <w:sz w:val="16"/>
              </w:rPr>
              <w:t xml:space="preserve">Commercial bank</w:t>
            </w:r>
          </w:p>
        </w:tc>
        <w:tc>
          <w:tcPr>
            <w:tcW w:w="2374" w:type="dxa"/>
          </w:tcPr>
          <w:p>
            <w:pPr/>
            <w:r>
              <w:rPr>
                <w:sz w:val="16"/>
              </w:rPr>
              <w:t xml:space="preserve">Partner lender (CGS participant)</w:t>
            </w:r>
          </w:p>
        </w:tc>
        <w:tc>
          <w:tcPr>
            <w:tcW w:w="1505" w:type="dxa"/>
          </w:tcPr>
          <w:p>
            <w:pPr/>
            <w:r>
              <w:rPr>
                <w:sz w:val="16"/>
              </w:rPr>
              <w:t xml:space="preserve">Katima Mulilo / Rundu</w:t>
            </w:r>
          </w:p>
        </w:tc>
        <w:tc>
          <w:tcPr>
            <w:tcW w:w="1785" w:type="dxa"/>
          </w:tcPr>
          <w:p>
            <w:pPr/>
            <w:r>
              <w:rPr>
                <w:sz w:val="16"/>
              </w:rPr>
              <w:t xml:space="preserve">Head of SME Banking</w:t>
            </w:r>
          </w:p>
        </w:tc>
        <w:tc>
          <w:tcPr>
            <w:tcW w:w="2150" w:type="dxa"/>
          </w:tcPr>
          <w:p>
            <w:pPr/>
            <w:hyperlink r:id="rId50" w:history="1">
              <w:r>
                <w:rPr>
                  <w:rStyle w:val="Hyperlink"/>
                  <w:sz w:val="16"/>
                </w:rPr>
                <w:t xml:space="preserve">bankwindhoek.com.na</w:t>
              </w:r>
            </w:hyperlink>
          </w:p>
        </w:tc>
      </w:tr>
      <w:tr>
        <w:tc>
          <w:tcPr>
            <w:tcW w:w="537" w:type="dxa"/>
          </w:tcPr>
          <w:p>
            <w:pPr/>
            <w:r>
              <w:rPr>
                <w:sz w:val="16"/>
              </w:rPr>
              <w:t xml:space="preserve">N09</w:t>
            </w:r>
          </w:p>
        </w:tc>
        <w:tc>
          <w:tcPr>
            <w:tcW w:w="2137" w:type="dxa"/>
          </w:tcPr>
          <w:p>
            <w:pPr/>
            <w:r>
              <w:rPr>
                <w:sz w:val="16"/>
              </w:rPr>
              <w:t xml:space="preserve">First National Bank Namibia</w:t>
            </w:r>
          </w:p>
        </w:tc>
        <w:tc>
          <w:tcPr>
            <w:tcW w:w="1075" w:type="dxa"/>
          </w:tcPr>
          <w:p>
            <w:pPr/>
            <w:r>
              <w:rPr>
                <w:sz w:val="16"/>
              </w:rPr>
              <w:t xml:space="preserve">Namibia</w:t>
            </w:r>
          </w:p>
        </w:tc>
        <w:tc>
          <w:tcPr>
            <w:tcW w:w="1397" w:type="dxa"/>
          </w:tcPr>
          <w:p>
            <w:pPr/>
            <w:r>
              <w:rPr>
                <w:sz w:val="16"/>
              </w:rPr>
              <w:t xml:space="preserve">Commercial bank</w:t>
            </w:r>
          </w:p>
        </w:tc>
        <w:tc>
          <w:tcPr>
            <w:tcW w:w="2374" w:type="dxa"/>
          </w:tcPr>
          <w:p>
            <w:pPr/>
            <w:r>
              <w:rPr>
                <w:sz w:val="16"/>
              </w:rPr>
              <w:t xml:space="preserve">Partner lender (CGS participant)</w:t>
            </w:r>
          </w:p>
        </w:tc>
        <w:tc>
          <w:tcPr>
            <w:tcW w:w="1505" w:type="dxa"/>
          </w:tcPr>
          <w:p>
            <w:pPr/>
            <w:r>
              <w:rPr>
                <w:sz w:val="16"/>
              </w:rPr>
              <w:t xml:space="preserve">Katima Mulilo / Rundu</w:t>
            </w:r>
          </w:p>
        </w:tc>
        <w:tc>
          <w:tcPr>
            <w:tcW w:w="1785" w:type="dxa"/>
          </w:tcPr>
          <w:p>
            <w:pPr/>
            <w:r>
              <w:rPr>
                <w:sz w:val="16"/>
              </w:rPr>
              <w:t xml:space="preserve">Head of Small Business</w:t>
            </w:r>
          </w:p>
        </w:tc>
        <w:tc>
          <w:tcPr>
            <w:tcW w:w="2150" w:type="dxa"/>
          </w:tcPr>
          <w:p>
            <w:pPr/>
            <w:hyperlink r:id="rId51" w:history="1">
              <w:r>
                <w:rPr>
                  <w:rStyle w:val="Hyperlink"/>
                  <w:sz w:val="16"/>
                </w:rPr>
                <w:t xml:space="preserve">fnbnamibia.com.na</w:t>
              </w:r>
            </w:hyperlink>
          </w:p>
        </w:tc>
      </w:tr>
      <w:tr>
        <w:tc>
          <w:tcPr>
            <w:tcW w:w="537" w:type="dxa"/>
          </w:tcPr>
          <w:p>
            <w:pPr/>
            <w:r>
              <w:rPr>
                <w:sz w:val="16"/>
              </w:rPr>
              <w:t xml:space="preserve">N10</w:t>
            </w:r>
          </w:p>
        </w:tc>
        <w:tc>
          <w:tcPr>
            <w:tcW w:w="2137" w:type="dxa"/>
          </w:tcPr>
          <w:p>
            <w:pPr/>
            <w:r>
              <w:rPr>
                <w:sz w:val="16"/>
              </w:rPr>
              <w:t xml:space="preserve">Namibia Special Risks Insurance Association (NASRIA)</w:t>
            </w:r>
          </w:p>
        </w:tc>
        <w:tc>
          <w:tcPr>
            <w:tcW w:w="1075" w:type="dxa"/>
          </w:tcPr>
          <w:p>
            <w:pPr/>
            <w:r>
              <w:rPr>
                <w:sz w:val="16"/>
              </w:rPr>
              <w:t xml:space="preserve">Namibia</w:t>
            </w:r>
          </w:p>
        </w:tc>
        <w:tc>
          <w:tcPr>
            <w:tcW w:w="1397" w:type="dxa"/>
          </w:tcPr>
          <w:p>
            <w:pPr/>
            <w:r>
              <w:rPr>
                <w:sz w:val="16"/>
              </w:rPr>
              <w:t xml:space="preserve">Guarantee / insurer</w:t>
            </w:r>
          </w:p>
        </w:tc>
        <w:tc>
          <w:tcPr>
            <w:tcW w:w="2374" w:type="dxa"/>
          </w:tcPr>
          <w:p>
            <w:pPr/>
            <w:r>
              <w:rPr>
                <w:sz w:val="16"/>
              </w:rPr>
              <w:t xml:space="preserve">CGS risk partner</w:t>
            </w:r>
          </w:p>
        </w:tc>
        <w:tc>
          <w:tcPr>
            <w:tcW w:w="1505" w:type="dxa"/>
          </w:tcPr>
          <w:p>
            <w:pPr/>
            <w:r>
              <w:rPr>
                <w:sz w:val="16"/>
              </w:rPr>
              <w:t xml:space="preserve">Windhoek</w:t>
            </w:r>
          </w:p>
        </w:tc>
        <w:tc>
          <w:tcPr>
            <w:tcW w:w="1785" w:type="dxa"/>
          </w:tcPr>
          <w:p>
            <w:pPr/>
            <w:r>
              <w:rPr>
                <w:sz w:val="16"/>
              </w:rPr>
              <w:t xml:space="preserve">Credit Guarantee Manager</w:t>
            </w:r>
          </w:p>
        </w:tc>
        <w:tc>
          <w:tcPr>
            <w:tcW w:w="2150" w:type="dxa"/>
          </w:tcPr>
          <w:p>
            <w:pPr/>
            <w:hyperlink r:id="rId52" w:history="1">
              <w:r>
                <w:rPr>
                  <w:rStyle w:val="Hyperlink"/>
                  <w:sz w:val="16"/>
                </w:rPr>
                <w:t xml:space="preserve">nasria.com.na</w:t>
              </w:r>
            </w:hyperlink>
          </w:p>
        </w:tc>
      </w:tr>
      <w:tr>
        <w:tc>
          <w:tcPr>
            <w:tcW w:w="537" w:type="dxa"/>
          </w:tcPr>
          <w:p>
            <w:pPr/>
            <w:r>
              <w:rPr>
                <w:sz w:val="16"/>
              </w:rPr>
              <w:t xml:space="preserve">N11</w:t>
            </w:r>
          </w:p>
        </w:tc>
        <w:tc>
          <w:tcPr>
            <w:tcW w:w="2137" w:type="dxa"/>
          </w:tcPr>
          <w:p>
            <w:pPr/>
            <w:r>
              <w:rPr>
                <w:sz w:val="16"/>
              </w:rPr>
              <w:t xml:space="preserve">Gondwana Collection</w:t>
            </w:r>
          </w:p>
        </w:tc>
        <w:tc>
          <w:tcPr>
            <w:tcW w:w="1075" w:type="dxa"/>
          </w:tcPr>
          <w:p>
            <w:pPr/>
            <w:r>
              <w:rPr>
                <w:sz w:val="16"/>
              </w:rPr>
              <w:t xml:space="preserve">Namibia</w:t>
            </w:r>
          </w:p>
        </w:tc>
        <w:tc>
          <w:tcPr>
            <w:tcW w:w="1397" w:type="dxa"/>
          </w:tcPr>
          <w:p>
            <w:pPr/>
            <w:r>
              <w:rPr>
                <w:sz w:val="16"/>
              </w:rPr>
              <w:t xml:space="preserve">Large operator</w:t>
            </w:r>
          </w:p>
        </w:tc>
        <w:tc>
          <w:tcPr>
            <w:tcW w:w="2374" w:type="dxa"/>
          </w:tcPr>
          <w:p>
            <w:pPr/>
            <w:r>
              <w:rPr>
                <w:sz w:val="16"/>
              </w:rPr>
              <w:t xml:space="preserve">Anchor; local procurement</w:t>
            </w:r>
          </w:p>
        </w:tc>
        <w:tc>
          <w:tcPr>
            <w:tcW w:w="1505" w:type="dxa"/>
          </w:tcPr>
          <w:p>
            <w:pPr/>
            <w:r>
              <w:rPr>
                <w:sz w:val="16"/>
              </w:rPr>
              <w:t xml:space="preserve">Windhoek / Zambezi lodges</w:t>
            </w:r>
          </w:p>
        </w:tc>
        <w:tc>
          <w:tcPr>
            <w:tcW w:w="1785" w:type="dxa"/>
          </w:tcPr>
          <w:p>
            <w:pPr/>
            <w:r>
              <w:rPr>
                <w:sz w:val="16"/>
              </w:rPr>
              <w:t xml:space="preserve">Sustainability Manager</w:t>
            </w:r>
          </w:p>
        </w:tc>
        <w:tc>
          <w:tcPr>
            <w:tcW w:w="2150" w:type="dxa"/>
          </w:tcPr>
          <w:p>
            <w:pPr/>
            <w:hyperlink r:id="rId53" w:history="1">
              <w:r>
                <w:rPr>
                  <w:rStyle w:val="Hyperlink"/>
                  <w:sz w:val="16"/>
                </w:rPr>
                <w:t xml:space="preserve">gondwana-collection.com</w:t>
              </w:r>
            </w:hyperlink>
          </w:p>
        </w:tc>
      </w:tr>
      <w:tr>
        <w:tc>
          <w:tcPr>
            <w:tcW w:w="537" w:type="dxa"/>
          </w:tcPr>
          <w:p>
            <w:pPr/>
            <w:r>
              <w:rPr>
                <w:sz w:val="16"/>
              </w:rPr>
              <w:t xml:space="preserve">Z01</w:t>
            </w:r>
          </w:p>
        </w:tc>
        <w:tc>
          <w:tcPr>
            <w:tcW w:w="2137" w:type="dxa"/>
          </w:tcPr>
          <w:p>
            <w:pPr/>
            <w:r>
              <w:rPr>
                <w:sz w:val="16"/>
              </w:rPr>
              <w:t xml:space="preserve">Citizens Economic Empowerment Commission (CEEC)</w:t>
            </w:r>
          </w:p>
        </w:tc>
        <w:tc>
          <w:tcPr>
            <w:tcW w:w="1075" w:type="dxa"/>
          </w:tcPr>
          <w:p>
            <w:pPr/>
            <w:r>
              <w:rPr>
                <w:sz w:val="16"/>
              </w:rPr>
              <w:t xml:space="preserve">Zambia</w:t>
            </w:r>
          </w:p>
        </w:tc>
        <w:tc>
          <w:tcPr>
            <w:tcW w:w="1397" w:type="dxa"/>
          </w:tcPr>
          <w:p>
            <w:pPr/>
            <w:r>
              <w:rPr>
                <w:sz w:val="16"/>
              </w:rPr>
              <w:t xml:space="preserve">DFI / empowerment</w:t>
            </w:r>
          </w:p>
        </w:tc>
        <w:tc>
          <w:tcPr>
            <w:tcW w:w="2374" w:type="dxa"/>
          </w:tcPr>
          <w:p>
            <w:pPr/>
            <w:r>
              <w:rPr>
                <w:sz w:val="16"/>
              </w:rPr>
              <w:t xml:space="preserve">Co-financing; vehicle loans; delivery partner</w:t>
            </w:r>
          </w:p>
        </w:tc>
        <w:tc>
          <w:tcPr>
            <w:tcW w:w="1505" w:type="dxa"/>
          </w:tcPr>
          <w:p>
            <w:pPr/>
            <w:r>
              <w:rPr>
                <w:sz w:val="16"/>
              </w:rPr>
              <w:t xml:space="preserve">Livingstone / Mongu</w:t>
            </w:r>
          </w:p>
        </w:tc>
        <w:tc>
          <w:tcPr>
            <w:tcW w:w="1785" w:type="dxa"/>
          </w:tcPr>
          <w:p>
            <w:pPr/>
            <w:r>
              <w:rPr>
                <w:sz w:val="16"/>
              </w:rPr>
              <w:t xml:space="preserve">Director General; Provincial Officers</w:t>
            </w:r>
          </w:p>
        </w:tc>
        <w:tc>
          <w:tcPr>
            <w:tcW w:w="2150" w:type="dxa"/>
          </w:tcPr>
          <w:p>
            <w:pPr/>
            <w:hyperlink r:id="rId54" w:history="1">
              <w:r>
                <w:rPr>
                  <w:rStyle w:val="Hyperlink"/>
                  <w:sz w:val="16"/>
                </w:rPr>
                <w:t xml:space="preserve">ceec.org.zm</w:t>
              </w:r>
            </w:hyperlink>
          </w:p>
        </w:tc>
      </w:tr>
      <w:tr>
        <w:tc>
          <w:tcPr>
            <w:tcW w:w="537" w:type="dxa"/>
          </w:tcPr>
          <w:p>
            <w:pPr/>
            <w:r>
              <w:rPr>
                <w:sz w:val="16"/>
              </w:rPr>
              <w:t xml:space="preserve">Z02</w:t>
            </w:r>
          </w:p>
        </w:tc>
        <w:tc>
          <w:tcPr>
            <w:tcW w:w="2137" w:type="dxa"/>
          </w:tcPr>
          <w:p>
            <w:pPr/>
            <w:r>
              <w:rPr>
                <w:sz w:val="16"/>
              </w:rPr>
              <w:t xml:space="preserve">Zambia Credit Guarantee Scheme (ZCGS)</w:t>
            </w:r>
          </w:p>
        </w:tc>
        <w:tc>
          <w:tcPr>
            <w:tcW w:w="1075" w:type="dxa"/>
          </w:tcPr>
          <w:p>
            <w:pPr/>
            <w:r>
              <w:rPr>
                <w:sz w:val="16"/>
              </w:rPr>
              <w:t xml:space="preserve">Zambia</w:t>
            </w:r>
          </w:p>
        </w:tc>
        <w:tc>
          <w:tcPr>
            <w:tcW w:w="1397" w:type="dxa"/>
          </w:tcPr>
          <w:p>
            <w:pPr/>
            <w:r>
              <w:rPr>
                <w:sz w:val="16"/>
              </w:rPr>
              <w:t xml:space="preserve">Guarantee</w:t>
            </w:r>
          </w:p>
        </w:tc>
        <w:tc>
          <w:tcPr>
            <w:tcW w:w="2374" w:type="dxa"/>
          </w:tcPr>
          <w:p>
            <w:pPr/>
            <w:r>
              <w:rPr>
                <w:sz w:val="16"/>
              </w:rPr>
              <w:t xml:space="preserve">Tourism window with women and youth uplift</w:t>
            </w:r>
          </w:p>
        </w:tc>
        <w:tc>
          <w:tcPr>
            <w:tcW w:w="1505" w:type="dxa"/>
          </w:tcPr>
          <w:p>
            <w:pPr/>
            <w:r>
              <w:rPr>
                <w:sz w:val="16"/>
              </w:rPr>
              <w:t xml:space="preserve">Lusaka</w:t>
            </w:r>
          </w:p>
        </w:tc>
        <w:tc>
          <w:tcPr>
            <w:tcW w:w="1785" w:type="dxa"/>
          </w:tcPr>
          <w:p>
            <w:pPr/>
            <w:r>
              <w:rPr>
                <w:sz w:val="16"/>
              </w:rPr>
              <w:t xml:space="preserve">Chief Executive Officer</w:t>
            </w:r>
          </w:p>
        </w:tc>
        <w:tc>
          <w:tcPr>
            <w:tcW w:w="2150" w:type="dxa"/>
          </w:tcPr>
          <w:p>
            <w:pPr/>
            <w:r>
              <w:rPr>
                <w:sz w:val="16"/>
              </w:rPr>
              <w:t xml:space="preserve">to confirm</w:t>
            </w:r>
          </w:p>
        </w:tc>
      </w:tr>
      <w:tr>
        <w:tc>
          <w:tcPr>
            <w:tcW w:w="537" w:type="dxa"/>
          </w:tcPr>
          <w:p>
            <w:pPr/>
            <w:r>
              <w:rPr>
                <w:sz w:val="16"/>
              </w:rPr>
              <w:t xml:space="preserve">Z03</w:t>
            </w:r>
          </w:p>
        </w:tc>
        <w:tc>
          <w:tcPr>
            <w:tcW w:w="2137" w:type="dxa"/>
          </w:tcPr>
          <w:p>
            <w:pPr/>
            <w:r>
              <w:rPr>
                <w:sz w:val="16"/>
              </w:rPr>
              <w:t xml:space="preserve">Bank of Zambia (SBGI pilot guarantee; NFIS II)</w:t>
            </w:r>
          </w:p>
        </w:tc>
        <w:tc>
          <w:tcPr>
            <w:tcW w:w="1075" w:type="dxa"/>
          </w:tcPr>
          <w:p>
            <w:pPr/>
            <w:r>
              <w:rPr>
                <w:sz w:val="16"/>
              </w:rPr>
              <w:t xml:space="preserve">Zambia</w:t>
            </w:r>
          </w:p>
        </w:tc>
        <w:tc>
          <w:tcPr>
            <w:tcW w:w="1397" w:type="dxa"/>
          </w:tcPr>
          <w:p>
            <w:pPr/>
            <w:r>
              <w:rPr>
                <w:sz w:val="16"/>
              </w:rPr>
              <w:t xml:space="preserve">Regulator</w:t>
            </w:r>
          </w:p>
        </w:tc>
        <w:tc>
          <w:tcPr>
            <w:tcW w:w="2374" w:type="dxa"/>
          </w:tcPr>
          <w:p>
            <w:pPr/>
            <w:r>
              <w:rPr>
                <w:sz w:val="16"/>
              </w:rPr>
              <w:t xml:space="preserve">Policy; guarantee pilot; disaggregated reporting</w:t>
            </w:r>
          </w:p>
        </w:tc>
        <w:tc>
          <w:tcPr>
            <w:tcW w:w="1505" w:type="dxa"/>
          </w:tcPr>
          <w:p>
            <w:pPr/>
            <w:r>
              <w:rPr>
                <w:sz w:val="16"/>
              </w:rPr>
              <w:t xml:space="preserve">Lusaka / Livingstone office</w:t>
            </w:r>
          </w:p>
        </w:tc>
        <w:tc>
          <w:tcPr>
            <w:tcW w:w="1785" w:type="dxa"/>
          </w:tcPr>
          <w:p>
            <w:pPr/>
            <w:r>
              <w:rPr>
                <w:sz w:val="16"/>
              </w:rPr>
              <w:t xml:space="preserve">Director Financial Inclusion</w:t>
            </w:r>
          </w:p>
        </w:tc>
        <w:tc>
          <w:tcPr>
            <w:tcW w:w="2150" w:type="dxa"/>
          </w:tcPr>
          <w:p>
            <w:pPr/>
            <w:hyperlink r:id="rId55" w:history="1">
              <w:r>
                <w:rPr>
                  <w:rStyle w:val="Hyperlink"/>
                  <w:sz w:val="16"/>
                </w:rPr>
                <w:t xml:space="preserve">boz.zm</w:t>
              </w:r>
            </w:hyperlink>
          </w:p>
        </w:tc>
      </w:tr>
      <w:tr>
        <w:tc>
          <w:tcPr>
            <w:tcW w:w="537" w:type="dxa"/>
          </w:tcPr>
          <w:p>
            <w:pPr/>
            <w:r>
              <w:rPr>
                <w:sz w:val="16"/>
              </w:rPr>
              <w:t xml:space="preserve">Z04</w:t>
            </w:r>
          </w:p>
        </w:tc>
        <w:tc>
          <w:tcPr>
            <w:tcW w:w="2137" w:type="dxa"/>
          </w:tcPr>
          <w:p>
            <w:pPr/>
            <w:r>
              <w:rPr>
                <w:sz w:val="16"/>
              </w:rPr>
              <w:t xml:space="preserve">FNB Zambia</w:t>
            </w:r>
          </w:p>
        </w:tc>
        <w:tc>
          <w:tcPr>
            <w:tcW w:w="1075" w:type="dxa"/>
          </w:tcPr>
          <w:p>
            <w:pPr/>
            <w:r>
              <w:rPr>
                <w:sz w:val="16"/>
              </w:rPr>
              <w:t xml:space="preserve">Zambia</w:t>
            </w:r>
          </w:p>
        </w:tc>
        <w:tc>
          <w:tcPr>
            <w:tcW w:w="1397" w:type="dxa"/>
          </w:tcPr>
          <w:p>
            <w:pPr/>
            <w:r>
              <w:rPr>
                <w:sz w:val="16"/>
              </w:rPr>
              <w:t xml:space="preserve">Commercial bank</w:t>
            </w:r>
          </w:p>
        </w:tc>
        <w:tc>
          <w:tcPr>
            <w:tcW w:w="2374" w:type="dxa"/>
          </w:tcPr>
          <w:p>
            <w:pPr/>
            <w:r>
              <w:rPr>
                <w:sz w:val="16"/>
              </w:rPr>
              <w:t xml:space="preserve">Partner lender (ZCGS K100m partnership; women and youth focus)</w:t>
            </w:r>
          </w:p>
        </w:tc>
        <w:tc>
          <w:tcPr>
            <w:tcW w:w="1505" w:type="dxa"/>
          </w:tcPr>
          <w:p>
            <w:pPr/>
            <w:r>
              <w:rPr>
                <w:sz w:val="16"/>
              </w:rPr>
              <w:t xml:space="preserve">Livingstone</w:t>
            </w:r>
          </w:p>
        </w:tc>
        <w:tc>
          <w:tcPr>
            <w:tcW w:w="1785" w:type="dxa"/>
          </w:tcPr>
          <w:p>
            <w:pPr/>
            <w:r>
              <w:rPr>
                <w:sz w:val="16"/>
              </w:rPr>
              <w:t xml:space="preserve">Head of Business Banking</w:t>
            </w:r>
          </w:p>
        </w:tc>
        <w:tc>
          <w:tcPr>
            <w:tcW w:w="2150" w:type="dxa"/>
          </w:tcPr>
          <w:p>
            <w:pPr/>
            <w:hyperlink r:id="rId56" w:history="1">
              <w:r>
                <w:rPr>
                  <w:rStyle w:val="Hyperlink"/>
                  <w:sz w:val="16"/>
                </w:rPr>
                <w:t xml:space="preserve">fnbzambia.co.zm</w:t>
              </w:r>
            </w:hyperlink>
          </w:p>
        </w:tc>
      </w:tr>
      <w:tr>
        <w:tc>
          <w:tcPr>
            <w:tcW w:w="537" w:type="dxa"/>
          </w:tcPr>
          <w:p>
            <w:pPr/>
            <w:r>
              <w:rPr>
                <w:sz w:val="16"/>
              </w:rPr>
              <w:t xml:space="preserve">Z05</w:t>
            </w:r>
          </w:p>
        </w:tc>
        <w:tc>
          <w:tcPr>
            <w:tcW w:w="2137" w:type="dxa"/>
          </w:tcPr>
          <w:p>
            <w:pPr/>
            <w:r>
              <w:rPr>
                <w:sz w:val="16"/>
              </w:rPr>
              <w:t xml:space="preserve">Absa Bank Zambia</w:t>
            </w:r>
          </w:p>
        </w:tc>
        <w:tc>
          <w:tcPr>
            <w:tcW w:w="1075" w:type="dxa"/>
          </w:tcPr>
          <w:p>
            <w:pPr/>
            <w:r>
              <w:rPr>
                <w:sz w:val="16"/>
              </w:rPr>
              <w:t xml:space="preserve">Zambia</w:t>
            </w:r>
          </w:p>
        </w:tc>
        <w:tc>
          <w:tcPr>
            <w:tcW w:w="1397" w:type="dxa"/>
          </w:tcPr>
          <w:p>
            <w:pPr/>
            <w:r>
              <w:rPr>
                <w:sz w:val="16"/>
              </w:rPr>
              <w:t xml:space="preserve">Commercial bank</w:t>
            </w:r>
          </w:p>
        </w:tc>
        <w:tc>
          <w:tcPr>
            <w:tcW w:w="2374" w:type="dxa"/>
          </w:tcPr>
          <w:p>
            <w:pPr/>
            <w:r>
              <w:rPr>
                <w:sz w:val="16"/>
              </w:rPr>
              <w:t xml:space="preserve">Partner lender (CEEC facility)</w:t>
            </w:r>
          </w:p>
        </w:tc>
        <w:tc>
          <w:tcPr>
            <w:tcW w:w="1505" w:type="dxa"/>
          </w:tcPr>
          <w:p>
            <w:pPr/>
            <w:r>
              <w:rPr>
                <w:sz w:val="16"/>
              </w:rPr>
              <w:t xml:space="preserve">Livingstone</w:t>
            </w:r>
          </w:p>
        </w:tc>
        <w:tc>
          <w:tcPr>
            <w:tcW w:w="1785" w:type="dxa"/>
          </w:tcPr>
          <w:p>
            <w:pPr/>
            <w:r>
              <w:rPr>
                <w:sz w:val="16"/>
              </w:rPr>
              <w:t xml:space="preserve">Head of SME</w:t>
            </w:r>
          </w:p>
        </w:tc>
        <w:tc>
          <w:tcPr>
            <w:tcW w:w="2150" w:type="dxa"/>
          </w:tcPr>
          <w:p>
            <w:pPr/>
            <w:hyperlink r:id="rId57" w:history="1">
              <w:r>
                <w:rPr>
                  <w:rStyle w:val="Hyperlink"/>
                  <w:sz w:val="16"/>
                </w:rPr>
                <w:t xml:space="preserve">absa.co.zm</w:t>
              </w:r>
            </w:hyperlink>
          </w:p>
        </w:tc>
      </w:tr>
      <w:tr>
        <w:tc>
          <w:tcPr>
            <w:tcW w:w="537" w:type="dxa"/>
          </w:tcPr>
          <w:p>
            <w:pPr/>
            <w:r>
              <w:rPr>
                <w:sz w:val="16"/>
              </w:rPr>
              <w:t xml:space="preserve">Z06</w:t>
            </w:r>
          </w:p>
        </w:tc>
        <w:tc>
          <w:tcPr>
            <w:tcW w:w="2137" w:type="dxa"/>
          </w:tcPr>
          <w:p>
            <w:pPr/>
            <w:r>
              <w:rPr>
                <w:sz w:val="16"/>
              </w:rPr>
              <w:t xml:space="preserve">Stanbic Bank Zambia</w:t>
            </w:r>
          </w:p>
        </w:tc>
        <w:tc>
          <w:tcPr>
            <w:tcW w:w="1075" w:type="dxa"/>
          </w:tcPr>
          <w:p>
            <w:pPr/>
            <w:r>
              <w:rPr>
                <w:sz w:val="16"/>
              </w:rPr>
              <w:t xml:space="preserve">Zambia</w:t>
            </w:r>
          </w:p>
        </w:tc>
        <w:tc>
          <w:tcPr>
            <w:tcW w:w="1397" w:type="dxa"/>
          </w:tcPr>
          <w:p>
            <w:pPr/>
            <w:r>
              <w:rPr>
                <w:sz w:val="16"/>
              </w:rPr>
              <w:t xml:space="preserve">Commercial bank</w:t>
            </w:r>
          </w:p>
        </w:tc>
        <w:tc>
          <w:tcPr>
            <w:tcW w:w="2374" w:type="dxa"/>
          </w:tcPr>
          <w:p>
            <w:pPr/>
            <w:r>
              <w:rPr>
                <w:sz w:val="16"/>
              </w:rPr>
              <w:t xml:space="preserve">Supplier finance replication</w:t>
            </w:r>
          </w:p>
        </w:tc>
        <w:tc>
          <w:tcPr>
            <w:tcW w:w="1505" w:type="dxa"/>
          </w:tcPr>
          <w:p>
            <w:pPr/>
            <w:r>
              <w:rPr>
                <w:sz w:val="16"/>
              </w:rPr>
              <w:t xml:space="preserve">Livingstone</w:t>
            </w:r>
          </w:p>
        </w:tc>
        <w:tc>
          <w:tcPr>
            <w:tcW w:w="1785" w:type="dxa"/>
          </w:tcPr>
          <w:p>
            <w:pPr/>
            <w:r>
              <w:rPr>
                <w:sz w:val="16"/>
              </w:rPr>
              <w:t xml:space="preserve">Head of Business Banking</w:t>
            </w:r>
          </w:p>
        </w:tc>
        <w:tc>
          <w:tcPr>
            <w:tcW w:w="2150" w:type="dxa"/>
          </w:tcPr>
          <w:p>
            <w:pPr/>
            <w:hyperlink r:id="rId58" w:history="1">
              <w:r>
                <w:rPr>
                  <w:rStyle w:val="Hyperlink"/>
                  <w:sz w:val="16"/>
                </w:rPr>
                <w:t xml:space="preserve">stanbicbank.co.zm</w:t>
              </w:r>
            </w:hyperlink>
          </w:p>
        </w:tc>
      </w:tr>
      <w:tr>
        <w:tc>
          <w:tcPr>
            <w:tcW w:w="537" w:type="dxa"/>
          </w:tcPr>
          <w:p>
            <w:pPr/>
            <w:r>
              <w:rPr>
                <w:sz w:val="16"/>
              </w:rPr>
              <w:t xml:space="preserve">Z07</w:t>
            </w:r>
          </w:p>
        </w:tc>
        <w:tc>
          <w:tcPr>
            <w:tcW w:w="2137" w:type="dxa"/>
          </w:tcPr>
          <w:p>
            <w:pPr/>
            <w:r>
              <w:rPr>
                <w:sz w:val="16"/>
              </w:rPr>
              <w:t xml:space="preserve">FINCA Zambia</w:t>
            </w:r>
          </w:p>
        </w:tc>
        <w:tc>
          <w:tcPr>
            <w:tcW w:w="1075" w:type="dxa"/>
          </w:tcPr>
          <w:p>
            <w:pPr/>
            <w:r>
              <w:rPr>
                <w:sz w:val="16"/>
              </w:rPr>
              <w:t xml:space="preserve">Zambia</w:t>
            </w:r>
          </w:p>
        </w:tc>
        <w:tc>
          <w:tcPr>
            <w:tcW w:w="1397" w:type="dxa"/>
          </w:tcPr>
          <w:p>
            <w:pPr/>
            <w:r>
              <w:rPr>
                <w:sz w:val="16"/>
              </w:rPr>
              <w:t xml:space="preserve">MFI</w:t>
            </w:r>
          </w:p>
        </w:tc>
        <w:tc>
          <w:tcPr>
            <w:tcW w:w="2374" w:type="dxa"/>
          </w:tcPr>
          <w:p>
            <w:pPr/>
            <w:r>
              <w:rPr>
                <w:sz w:val="16"/>
              </w:rPr>
              <w:t xml:space="preserve">Micro lending; women and youth (prior UNCDF guarantee)</w:t>
            </w:r>
          </w:p>
        </w:tc>
        <w:tc>
          <w:tcPr>
            <w:tcW w:w="1505" w:type="dxa"/>
          </w:tcPr>
          <w:p>
            <w:pPr/>
            <w:r>
              <w:rPr>
                <w:sz w:val="16"/>
              </w:rPr>
              <w:t xml:space="preserve">Livingstone</w:t>
            </w:r>
          </w:p>
        </w:tc>
        <w:tc>
          <w:tcPr>
            <w:tcW w:w="1785" w:type="dxa"/>
          </w:tcPr>
          <w:p>
            <w:pPr/>
            <w:r>
              <w:rPr>
                <w:sz w:val="16"/>
              </w:rPr>
              <w:t xml:space="preserve">Chief Executive Officer</w:t>
            </w:r>
          </w:p>
        </w:tc>
        <w:tc>
          <w:tcPr>
            <w:tcW w:w="2150" w:type="dxa"/>
          </w:tcPr>
          <w:p>
            <w:pPr/>
            <w:hyperlink r:id="rId59" w:history="1">
              <w:r>
                <w:rPr>
                  <w:rStyle w:val="Hyperlink"/>
                  <w:sz w:val="16"/>
                </w:rPr>
                <w:t xml:space="preserve">finca.org</w:t>
              </w:r>
            </w:hyperlink>
          </w:p>
        </w:tc>
      </w:tr>
      <w:tr>
        <w:tc>
          <w:tcPr>
            <w:tcW w:w="537" w:type="dxa"/>
          </w:tcPr>
          <w:p>
            <w:pPr/>
            <w:r>
              <w:rPr>
                <w:sz w:val="16"/>
              </w:rPr>
              <w:t xml:space="preserve">Z08</w:t>
            </w:r>
          </w:p>
        </w:tc>
        <w:tc>
          <w:tcPr>
            <w:tcW w:w="2137" w:type="dxa"/>
          </w:tcPr>
          <w:p>
            <w:pPr/>
            <w:r>
              <w:rPr>
                <w:sz w:val="16"/>
              </w:rPr>
              <w:t xml:space="preserve">Ministry of Tourism / GREAT project PIU</w:t>
            </w:r>
          </w:p>
        </w:tc>
        <w:tc>
          <w:tcPr>
            <w:tcW w:w="1075" w:type="dxa"/>
          </w:tcPr>
          <w:p>
            <w:pPr/>
            <w:r>
              <w:rPr>
                <w:sz w:val="16"/>
              </w:rPr>
              <w:t xml:space="preserve">Zambia</w:t>
            </w:r>
          </w:p>
        </w:tc>
        <w:tc>
          <w:tcPr>
            <w:tcW w:w="1397" w:type="dxa"/>
          </w:tcPr>
          <w:p>
            <w:pPr/>
            <w:r>
              <w:rPr>
                <w:sz w:val="16"/>
              </w:rPr>
              <w:t xml:space="preserve">Government</w:t>
            </w:r>
          </w:p>
        </w:tc>
        <w:tc>
          <w:tcPr>
            <w:tcW w:w="2374" w:type="dxa"/>
          </w:tcPr>
          <w:p>
            <w:pPr/>
            <w:r>
              <w:rPr>
                <w:sz w:val="16"/>
              </w:rPr>
              <w:t xml:space="preserve">Matching grants co-ordination; KAZA NCU</w:t>
            </w:r>
          </w:p>
        </w:tc>
        <w:tc>
          <w:tcPr>
            <w:tcW w:w="1505" w:type="dxa"/>
          </w:tcPr>
          <w:p>
            <w:pPr/>
            <w:r>
              <w:rPr>
                <w:sz w:val="16"/>
              </w:rPr>
              <w:t xml:space="preserve">Lusaka / Livingstone</w:t>
            </w:r>
          </w:p>
        </w:tc>
        <w:tc>
          <w:tcPr>
            <w:tcW w:w="1785" w:type="dxa"/>
          </w:tcPr>
          <w:p>
            <w:pPr/>
            <w:r>
              <w:rPr>
                <w:sz w:val="16"/>
              </w:rPr>
              <w:t xml:space="preserve">Project Coordinator; KAZA National Coordinator</w:t>
            </w:r>
          </w:p>
        </w:tc>
        <w:tc>
          <w:tcPr>
            <w:tcW w:w="2150" w:type="dxa"/>
          </w:tcPr>
          <w:p>
            <w:pPr/>
            <w:hyperlink r:id="rId60" w:history="1">
              <w:r>
                <w:rPr>
                  <w:rStyle w:val="Hyperlink"/>
                  <w:sz w:val="16"/>
                </w:rPr>
                <w:t xml:space="preserve">mot.gov.zm</w:t>
              </w:r>
            </w:hyperlink>
          </w:p>
        </w:tc>
      </w:tr>
      <w:tr>
        <w:tc>
          <w:tcPr>
            <w:tcW w:w="537" w:type="dxa"/>
          </w:tcPr>
          <w:p>
            <w:pPr/>
            <w:r>
              <w:rPr>
                <w:sz w:val="16"/>
              </w:rPr>
              <w:t xml:space="preserve">Z09</w:t>
            </w:r>
          </w:p>
        </w:tc>
        <w:tc>
          <w:tcPr>
            <w:tcW w:w="2137" w:type="dxa"/>
          </w:tcPr>
          <w:p>
            <w:pPr/>
            <w:r>
              <w:rPr>
                <w:sz w:val="16"/>
              </w:rPr>
              <w:t xml:space="preserve">Zambia Tourism Agency</w:t>
            </w:r>
          </w:p>
        </w:tc>
        <w:tc>
          <w:tcPr>
            <w:tcW w:w="1075" w:type="dxa"/>
          </w:tcPr>
          <w:p>
            <w:pPr/>
            <w:r>
              <w:rPr>
                <w:sz w:val="16"/>
              </w:rPr>
              <w:t xml:space="preserve">Zambia</w:t>
            </w:r>
          </w:p>
        </w:tc>
        <w:tc>
          <w:tcPr>
            <w:tcW w:w="1397" w:type="dxa"/>
          </w:tcPr>
          <w:p>
            <w:pPr/>
            <w:r>
              <w:rPr>
                <w:sz w:val="16"/>
              </w:rPr>
              <w:t xml:space="preserve">Tourism board</w:t>
            </w:r>
          </w:p>
        </w:tc>
        <w:tc>
          <w:tcPr>
            <w:tcW w:w="2374" w:type="dxa"/>
          </w:tcPr>
          <w:p>
            <w:pPr/>
            <w:r>
              <w:rPr>
                <w:sz w:val="16"/>
              </w:rPr>
              <w:t xml:space="preserve">Hub roundtable; licensing</w:t>
            </w:r>
          </w:p>
        </w:tc>
        <w:tc>
          <w:tcPr>
            <w:tcW w:w="1505" w:type="dxa"/>
          </w:tcPr>
          <w:p>
            <w:pPr/>
            <w:r>
              <w:rPr>
                <w:sz w:val="16"/>
              </w:rPr>
              <w:t xml:space="preserve">Livingstone</w:t>
            </w:r>
          </w:p>
        </w:tc>
        <w:tc>
          <w:tcPr>
            <w:tcW w:w="1785" w:type="dxa"/>
          </w:tcPr>
          <w:p>
            <w:pPr/>
            <w:r>
              <w:rPr>
                <w:sz w:val="16"/>
              </w:rPr>
              <w:t xml:space="preserve">Director Product Development</w:t>
            </w:r>
          </w:p>
        </w:tc>
        <w:tc>
          <w:tcPr>
            <w:tcW w:w="2150" w:type="dxa"/>
          </w:tcPr>
          <w:p>
            <w:pPr/>
            <w:hyperlink r:id="rId61" w:history="1">
              <w:r>
                <w:rPr>
                  <w:rStyle w:val="Hyperlink"/>
                  <w:sz w:val="16"/>
                </w:rPr>
                <w:t xml:space="preserve">zambia.travel</w:t>
              </w:r>
            </w:hyperlink>
          </w:p>
        </w:tc>
      </w:tr>
      <w:tr>
        <w:tc>
          <w:tcPr>
            <w:tcW w:w="537" w:type="dxa"/>
          </w:tcPr>
          <w:p>
            <w:pPr/>
            <w:r>
              <w:rPr>
                <w:sz w:val="16"/>
              </w:rPr>
              <w:t xml:space="preserve">Z10</w:t>
            </w:r>
          </w:p>
        </w:tc>
        <w:tc>
          <w:tcPr>
            <w:tcW w:w="2137" w:type="dxa"/>
          </w:tcPr>
          <w:p>
            <w:pPr/>
            <w:r>
              <w:rPr>
                <w:sz w:val="16"/>
              </w:rPr>
              <w:t xml:space="preserve">Zambia Development Agency (ZDA)</w:t>
            </w:r>
          </w:p>
        </w:tc>
        <w:tc>
          <w:tcPr>
            <w:tcW w:w="1075" w:type="dxa"/>
          </w:tcPr>
          <w:p>
            <w:pPr/>
            <w:r>
              <w:rPr>
                <w:sz w:val="16"/>
              </w:rPr>
              <w:t xml:space="preserve">Zambia</w:t>
            </w:r>
          </w:p>
        </w:tc>
        <w:tc>
          <w:tcPr>
            <w:tcW w:w="1397" w:type="dxa"/>
          </w:tcPr>
          <w:p>
            <w:pPr/>
            <w:r>
              <w:rPr>
                <w:sz w:val="16"/>
              </w:rPr>
              <w:t xml:space="preserve">BSO</w:t>
            </w:r>
          </w:p>
        </w:tc>
        <w:tc>
          <w:tcPr>
            <w:tcW w:w="2374" w:type="dxa"/>
          </w:tcPr>
          <w:p>
            <w:pPr/>
            <w:r>
              <w:rPr>
                <w:sz w:val="16"/>
              </w:rPr>
              <w:t xml:space="preserve">MSME development; pipeline</w:t>
            </w:r>
          </w:p>
        </w:tc>
        <w:tc>
          <w:tcPr>
            <w:tcW w:w="1505" w:type="dxa"/>
          </w:tcPr>
          <w:p>
            <w:pPr/>
            <w:r>
              <w:rPr>
                <w:sz w:val="16"/>
              </w:rPr>
              <w:t xml:space="preserve">Lusaka / Livingstone</w:t>
            </w:r>
          </w:p>
        </w:tc>
        <w:tc>
          <w:tcPr>
            <w:tcW w:w="1785" w:type="dxa"/>
          </w:tcPr>
          <w:p>
            <w:pPr/>
            <w:r>
              <w:rPr>
                <w:sz w:val="16"/>
              </w:rPr>
              <w:t xml:space="preserve">Director MSME Development</w:t>
            </w:r>
          </w:p>
        </w:tc>
        <w:tc>
          <w:tcPr>
            <w:tcW w:w="2150" w:type="dxa"/>
          </w:tcPr>
          <w:p>
            <w:pPr/>
            <w:hyperlink r:id="rId62" w:history="1">
              <w:r>
                <w:rPr>
                  <w:rStyle w:val="Hyperlink"/>
                  <w:sz w:val="16"/>
                </w:rPr>
                <w:t xml:space="preserve">zda.org.zm</w:t>
              </w:r>
            </w:hyperlink>
          </w:p>
        </w:tc>
      </w:tr>
      <w:tr>
        <w:tc>
          <w:tcPr>
            <w:tcW w:w="537" w:type="dxa"/>
          </w:tcPr>
          <w:p>
            <w:pPr/>
            <w:r>
              <w:rPr>
                <w:sz w:val="16"/>
              </w:rPr>
              <w:t xml:space="preserve">Z11</w:t>
            </w:r>
          </w:p>
        </w:tc>
        <w:tc>
          <w:tcPr>
            <w:tcW w:w="2137" w:type="dxa"/>
          </w:tcPr>
          <w:p>
            <w:pPr/>
            <w:r>
              <w:rPr>
                <w:sz w:val="16"/>
              </w:rPr>
              <w:t xml:space="preserve">Tourism Council of Zambia / Livingstone Tourism Association</w:t>
            </w:r>
          </w:p>
        </w:tc>
        <w:tc>
          <w:tcPr>
            <w:tcW w:w="1075" w:type="dxa"/>
          </w:tcPr>
          <w:p>
            <w:pPr/>
            <w:r>
              <w:rPr>
                <w:sz w:val="16"/>
              </w:rPr>
              <w:t xml:space="preserve">Zambia</w:t>
            </w:r>
          </w:p>
        </w:tc>
        <w:tc>
          <w:tcPr>
            <w:tcW w:w="1397" w:type="dxa"/>
          </w:tcPr>
          <w:p>
            <w:pPr/>
            <w:r>
              <w:rPr>
                <w:sz w:val="16"/>
              </w:rPr>
              <w:t xml:space="preserve">Industry association</w:t>
            </w:r>
          </w:p>
        </w:tc>
        <w:tc>
          <w:tcPr>
            <w:tcW w:w="2374" w:type="dxa"/>
          </w:tcPr>
          <w:p>
            <w:pPr/>
            <w:r>
              <w:rPr>
                <w:sz w:val="16"/>
              </w:rPr>
              <w:t xml:space="preserve">Operator mobilisation; Compact</w:t>
            </w:r>
          </w:p>
        </w:tc>
        <w:tc>
          <w:tcPr>
            <w:tcW w:w="1505" w:type="dxa"/>
          </w:tcPr>
          <w:p>
            <w:pPr/>
            <w:r>
              <w:rPr>
                <w:sz w:val="16"/>
              </w:rPr>
              <w:t xml:space="preserve">Livingstone</w:t>
            </w:r>
          </w:p>
        </w:tc>
        <w:tc>
          <w:tcPr>
            <w:tcW w:w="1785" w:type="dxa"/>
          </w:tcPr>
          <w:p>
            <w:pPr/>
            <w:r>
              <w:rPr>
                <w:sz w:val="16"/>
              </w:rPr>
              <w:t xml:space="preserve">Chair</w:t>
            </w:r>
          </w:p>
        </w:tc>
        <w:tc>
          <w:tcPr>
            <w:tcW w:w="2150" w:type="dxa"/>
          </w:tcPr>
          <w:p>
            <w:pPr/>
            <w:r>
              <w:rPr>
                <w:sz w:val="16"/>
              </w:rPr>
              <w:t xml:space="preserve">to confirm</w:t>
            </w:r>
          </w:p>
        </w:tc>
      </w:tr>
      <w:tr>
        <w:tc>
          <w:tcPr>
            <w:tcW w:w="537" w:type="dxa"/>
          </w:tcPr>
          <w:p>
            <w:pPr/>
            <w:r>
              <w:rPr>
                <w:sz w:val="16"/>
              </w:rPr>
              <w:t xml:space="preserve">Z12</w:t>
            </w:r>
          </w:p>
        </w:tc>
        <w:tc>
          <w:tcPr>
            <w:tcW w:w="2137" w:type="dxa"/>
          </w:tcPr>
          <w:p>
            <w:pPr/>
            <w:r>
              <w:rPr>
                <w:sz w:val="16"/>
              </w:rPr>
              <w:t xml:space="preserve">Simalaha Community Conservancy (with Peace Parks)</w:t>
            </w:r>
          </w:p>
        </w:tc>
        <w:tc>
          <w:tcPr>
            <w:tcW w:w="1075" w:type="dxa"/>
          </w:tcPr>
          <w:p>
            <w:pPr/>
            <w:r>
              <w:rPr>
                <w:sz w:val="16"/>
              </w:rPr>
              <w:t xml:space="preserve">Zambia</w:t>
            </w:r>
          </w:p>
        </w:tc>
        <w:tc>
          <w:tcPr>
            <w:tcW w:w="1397" w:type="dxa"/>
          </w:tcPr>
          <w:p>
            <w:pPr/>
            <w:r>
              <w:rPr>
                <w:sz w:val="16"/>
              </w:rPr>
              <w:t xml:space="preserve">Community</w:t>
            </w:r>
          </w:p>
        </w:tc>
        <w:tc>
          <w:tcPr>
            <w:tcW w:w="2374" w:type="dxa"/>
          </w:tcPr>
          <w:p>
            <w:pPr/>
            <w:r>
              <w:rPr>
                <w:sz w:val="16"/>
              </w:rPr>
              <w:t xml:space="preserve">Community enterprise pilot</w:t>
            </w:r>
          </w:p>
        </w:tc>
        <w:tc>
          <w:tcPr>
            <w:tcW w:w="1505" w:type="dxa"/>
          </w:tcPr>
          <w:p>
            <w:pPr/>
            <w:r>
              <w:rPr>
                <w:sz w:val="16"/>
              </w:rPr>
              <w:t xml:space="preserve">Kazungula / Sesheke</w:t>
            </w:r>
          </w:p>
        </w:tc>
        <w:tc>
          <w:tcPr>
            <w:tcW w:w="1785" w:type="dxa"/>
          </w:tcPr>
          <w:p>
            <w:pPr/>
            <w:r>
              <w:rPr>
                <w:sz w:val="16"/>
              </w:rPr>
              <w:t xml:space="preserve">Conservancy Manager</w:t>
            </w:r>
          </w:p>
        </w:tc>
        <w:tc>
          <w:tcPr>
            <w:tcW w:w="2150" w:type="dxa"/>
          </w:tcPr>
          <w:p>
            <w:pPr/>
            <w:hyperlink r:id="rId27" w:history="1">
              <w:r>
                <w:rPr>
                  <w:rStyle w:val="Hyperlink"/>
                  <w:sz w:val="16"/>
                </w:rPr>
                <w:t xml:space="preserve">peaceparks.org</w:t>
              </w:r>
            </w:hyperlink>
          </w:p>
        </w:tc>
      </w:tr>
      <w:tr>
        <w:tc>
          <w:tcPr>
            <w:tcW w:w="537" w:type="dxa"/>
          </w:tcPr>
          <w:p>
            <w:pPr/>
            <w:r>
              <w:rPr>
                <w:sz w:val="16"/>
              </w:rPr>
              <w:t xml:space="preserve">W01</w:t>
            </w:r>
          </w:p>
        </w:tc>
        <w:tc>
          <w:tcPr>
            <w:tcW w:w="2137" w:type="dxa"/>
          </w:tcPr>
          <w:p>
            <w:pPr/>
            <w:r>
              <w:rPr>
                <w:sz w:val="16"/>
              </w:rPr>
              <w:t xml:space="preserve">Small and Medium Enterprises Development Corporation (SMEDCO)</w:t>
            </w:r>
          </w:p>
        </w:tc>
        <w:tc>
          <w:tcPr>
            <w:tcW w:w="1075" w:type="dxa"/>
          </w:tcPr>
          <w:p>
            <w:pPr/>
            <w:r>
              <w:rPr>
                <w:sz w:val="16"/>
              </w:rPr>
              <w:t xml:space="preserve">Zimbabwe</w:t>
            </w:r>
          </w:p>
        </w:tc>
        <w:tc>
          <w:tcPr>
            <w:tcW w:w="1397" w:type="dxa"/>
          </w:tcPr>
          <w:p>
            <w:pPr/>
            <w:r>
              <w:rPr>
                <w:sz w:val="16"/>
              </w:rPr>
              <w:t xml:space="preserve">DFI / BSO</w:t>
            </w:r>
          </w:p>
        </w:tc>
        <w:tc>
          <w:tcPr>
            <w:tcW w:w="2374" w:type="dxa"/>
          </w:tcPr>
          <w:p>
            <w:pPr/>
            <w:r>
              <w:rPr>
                <w:sz w:val="16"/>
              </w:rPr>
              <w:t xml:space="preserve">Delivery partner; on-lending</w:t>
            </w:r>
          </w:p>
        </w:tc>
        <w:tc>
          <w:tcPr>
            <w:tcW w:w="1505" w:type="dxa"/>
          </w:tcPr>
          <w:p>
            <w:pPr/>
            <w:r>
              <w:rPr>
                <w:sz w:val="16"/>
              </w:rPr>
              <w:t xml:space="preserve">Victoria Falls / Hwange / Bulawayo</w:t>
            </w:r>
          </w:p>
        </w:tc>
        <w:tc>
          <w:tcPr>
            <w:tcW w:w="1785" w:type="dxa"/>
          </w:tcPr>
          <w:p>
            <w:pPr/>
            <w:r>
              <w:rPr>
                <w:sz w:val="16"/>
              </w:rPr>
              <w:t xml:space="preserve">Provincial Manager Matabeleland North</w:t>
            </w:r>
          </w:p>
        </w:tc>
        <w:tc>
          <w:tcPr>
            <w:tcW w:w="2150" w:type="dxa"/>
          </w:tcPr>
          <w:p>
            <w:pPr/>
            <w:hyperlink r:id="rId63" w:history="1">
              <w:r>
                <w:rPr>
                  <w:rStyle w:val="Hyperlink"/>
                  <w:sz w:val="16"/>
                </w:rPr>
                <w:t xml:space="preserve">smedco.co.zw</w:t>
              </w:r>
            </w:hyperlink>
          </w:p>
        </w:tc>
      </w:tr>
      <w:tr>
        <w:tc>
          <w:tcPr>
            <w:tcW w:w="537" w:type="dxa"/>
          </w:tcPr>
          <w:p>
            <w:pPr/>
            <w:r>
              <w:rPr>
                <w:sz w:val="16"/>
              </w:rPr>
              <w:t xml:space="preserve">W02</w:t>
            </w:r>
          </w:p>
        </w:tc>
        <w:tc>
          <w:tcPr>
            <w:tcW w:w="2137" w:type="dxa"/>
          </w:tcPr>
          <w:p>
            <w:pPr/>
            <w:r>
              <w:rPr>
                <w:sz w:val="16"/>
              </w:rPr>
              <w:t xml:space="preserve">Export Credit Guarantee Corporation (ECGC) – MSME Credit Guarantee Scheme</w:t>
            </w:r>
          </w:p>
        </w:tc>
        <w:tc>
          <w:tcPr>
            <w:tcW w:w="1075" w:type="dxa"/>
          </w:tcPr>
          <w:p>
            <w:pPr/>
            <w:r>
              <w:rPr>
                <w:sz w:val="16"/>
              </w:rPr>
              <w:t xml:space="preserve">Zimbabwe</w:t>
            </w:r>
          </w:p>
        </w:tc>
        <w:tc>
          <w:tcPr>
            <w:tcW w:w="1397" w:type="dxa"/>
          </w:tcPr>
          <w:p>
            <w:pPr/>
            <w:r>
              <w:rPr>
                <w:sz w:val="16"/>
              </w:rPr>
              <w:t xml:space="preserve">Guarantee</w:t>
            </w:r>
          </w:p>
        </w:tc>
        <w:tc>
          <w:tcPr>
            <w:tcW w:w="2374" w:type="dxa"/>
          </w:tcPr>
          <w:p>
            <w:pPr/>
            <w:r>
              <w:rPr>
                <w:sz w:val="16"/>
              </w:rPr>
              <w:t xml:space="preserve">Tourism window; USD guarantees</w:t>
            </w:r>
          </w:p>
        </w:tc>
        <w:tc>
          <w:tcPr>
            <w:tcW w:w="1505" w:type="dxa"/>
          </w:tcPr>
          <w:p>
            <w:pPr/>
            <w:r>
              <w:rPr>
                <w:sz w:val="16"/>
              </w:rPr>
              <w:t xml:space="preserve">Harare / Bulawayo</w:t>
            </w:r>
          </w:p>
        </w:tc>
        <w:tc>
          <w:tcPr>
            <w:tcW w:w="1785" w:type="dxa"/>
          </w:tcPr>
          <w:p>
            <w:pPr/>
            <w:r>
              <w:rPr>
                <w:sz w:val="16"/>
              </w:rPr>
              <w:t xml:space="preserve">Managing Director</w:t>
            </w:r>
          </w:p>
        </w:tc>
        <w:tc>
          <w:tcPr>
            <w:tcW w:w="2150" w:type="dxa"/>
          </w:tcPr>
          <w:p>
            <w:pPr/>
            <w:hyperlink r:id="rId64" w:history="1">
              <w:r>
                <w:rPr>
                  <w:rStyle w:val="Hyperlink"/>
                  <w:sz w:val="16"/>
                </w:rPr>
                <w:t xml:space="preserve">ecgc.co.zw</w:t>
              </w:r>
            </w:hyperlink>
          </w:p>
        </w:tc>
      </w:tr>
      <w:tr>
        <w:tc>
          <w:tcPr>
            <w:tcW w:w="537" w:type="dxa"/>
          </w:tcPr>
          <w:p>
            <w:pPr/>
            <w:r>
              <w:rPr>
                <w:sz w:val="16"/>
              </w:rPr>
              <w:t xml:space="preserve">W03</w:t>
            </w:r>
          </w:p>
        </w:tc>
        <w:tc>
          <w:tcPr>
            <w:tcW w:w="2137" w:type="dxa"/>
          </w:tcPr>
          <w:p>
            <w:pPr/>
            <w:r>
              <w:rPr>
                <w:sz w:val="16"/>
              </w:rPr>
              <w:t xml:space="preserve">Zimbabwe Women's Microfinance Bank</w:t>
            </w:r>
          </w:p>
        </w:tc>
        <w:tc>
          <w:tcPr>
            <w:tcW w:w="1075" w:type="dxa"/>
          </w:tcPr>
          <w:p>
            <w:pPr/>
            <w:r>
              <w:rPr>
                <w:sz w:val="16"/>
              </w:rPr>
              <w:t xml:space="preserve">Zimbabwe</w:t>
            </w:r>
          </w:p>
        </w:tc>
        <w:tc>
          <w:tcPr>
            <w:tcW w:w="1397" w:type="dxa"/>
          </w:tcPr>
          <w:p>
            <w:pPr/>
            <w:r>
              <w:rPr>
                <w:sz w:val="16"/>
              </w:rPr>
              <w:t xml:space="preserve">MFI / women's bank</w:t>
            </w:r>
          </w:p>
        </w:tc>
        <w:tc>
          <w:tcPr>
            <w:tcW w:w="2374" w:type="dxa"/>
          </w:tcPr>
          <w:p>
            <w:pPr/>
            <w:r>
              <w:rPr>
                <w:sz w:val="16"/>
              </w:rPr>
              <w:t xml:space="preserve">Women's lending; seasonal product pilot</w:t>
            </w:r>
          </w:p>
        </w:tc>
        <w:tc>
          <w:tcPr>
            <w:tcW w:w="1505" w:type="dxa"/>
          </w:tcPr>
          <w:p>
            <w:pPr/>
            <w:r>
              <w:rPr>
                <w:sz w:val="16"/>
              </w:rPr>
              <w:t xml:space="preserve">Victoria Falls / Bulawayo</w:t>
            </w:r>
          </w:p>
        </w:tc>
        <w:tc>
          <w:tcPr>
            <w:tcW w:w="1785" w:type="dxa"/>
          </w:tcPr>
          <w:p>
            <w:pPr/>
            <w:r>
              <w:rPr>
                <w:sz w:val="16"/>
              </w:rPr>
              <w:t xml:space="preserve">Chief Executive Officer</w:t>
            </w:r>
          </w:p>
        </w:tc>
        <w:tc>
          <w:tcPr>
            <w:tcW w:w="2150" w:type="dxa"/>
          </w:tcPr>
          <w:p>
            <w:pPr/>
            <w:hyperlink r:id="rId65" w:history="1">
              <w:r>
                <w:rPr>
                  <w:rStyle w:val="Hyperlink"/>
                  <w:sz w:val="16"/>
                </w:rPr>
                <w:t xml:space="preserve">womensbank.co.zw</w:t>
              </w:r>
            </w:hyperlink>
          </w:p>
        </w:tc>
      </w:tr>
      <w:tr>
        <w:tc>
          <w:tcPr>
            <w:tcW w:w="537" w:type="dxa"/>
          </w:tcPr>
          <w:p>
            <w:pPr/>
            <w:r>
              <w:rPr>
                <w:sz w:val="16"/>
              </w:rPr>
              <w:t xml:space="preserve">W04</w:t>
            </w:r>
          </w:p>
        </w:tc>
        <w:tc>
          <w:tcPr>
            <w:tcW w:w="2137" w:type="dxa"/>
          </w:tcPr>
          <w:p>
            <w:pPr/>
            <w:r>
              <w:rPr>
                <w:sz w:val="16"/>
              </w:rPr>
              <w:t xml:space="preserve">CBZ Bank</w:t>
            </w:r>
          </w:p>
        </w:tc>
        <w:tc>
          <w:tcPr>
            <w:tcW w:w="1075" w:type="dxa"/>
          </w:tcPr>
          <w:p>
            <w:pPr/>
            <w:r>
              <w:rPr>
                <w:sz w:val="16"/>
              </w:rPr>
              <w:t xml:space="preserve">Zimbabwe</w:t>
            </w:r>
          </w:p>
        </w:tc>
        <w:tc>
          <w:tcPr>
            <w:tcW w:w="1397" w:type="dxa"/>
          </w:tcPr>
          <w:p>
            <w:pPr/>
            <w:r>
              <w:rPr>
                <w:sz w:val="16"/>
              </w:rPr>
              <w:t xml:space="preserve">Commercial bank</w:t>
            </w:r>
          </w:p>
        </w:tc>
        <w:tc>
          <w:tcPr>
            <w:tcW w:w="2374" w:type="dxa"/>
          </w:tcPr>
          <w:p>
            <w:pPr/>
            <w:r>
              <w:rPr>
                <w:sz w:val="16"/>
              </w:rPr>
              <w:t xml:space="preserve">Partner lender</w:t>
            </w:r>
          </w:p>
        </w:tc>
        <w:tc>
          <w:tcPr>
            <w:tcW w:w="1505" w:type="dxa"/>
          </w:tcPr>
          <w:p>
            <w:pPr/>
            <w:r>
              <w:rPr>
                <w:sz w:val="16"/>
              </w:rPr>
              <w:t xml:space="preserve">Victoria Falls</w:t>
            </w:r>
          </w:p>
        </w:tc>
        <w:tc>
          <w:tcPr>
            <w:tcW w:w="1785" w:type="dxa"/>
          </w:tcPr>
          <w:p>
            <w:pPr/>
            <w:r>
              <w:rPr>
                <w:sz w:val="16"/>
              </w:rPr>
              <w:t xml:space="preserve">Head of SME Banking</w:t>
            </w:r>
          </w:p>
        </w:tc>
        <w:tc>
          <w:tcPr>
            <w:tcW w:w="2150" w:type="dxa"/>
          </w:tcPr>
          <w:p>
            <w:pPr/>
            <w:hyperlink r:id="rId66" w:history="1">
              <w:r>
                <w:rPr>
                  <w:rStyle w:val="Hyperlink"/>
                  <w:sz w:val="16"/>
                </w:rPr>
                <w:t xml:space="preserve">cbz.co.zw</w:t>
              </w:r>
            </w:hyperlink>
          </w:p>
        </w:tc>
      </w:tr>
      <w:tr>
        <w:tc>
          <w:tcPr>
            <w:tcW w:w="537" w:type="dxa"/>
          </w:tcPr>
          <w:p>
            <w:pPr/>
            <w:r>
              <w:rPr>
                <w:sz w:val="16"/>
              </w:rPr>
              <w:t xml:space="preserve">W05</w:t>
            </w:r>
          </w:p>
        </w:tc>
        <w:tc>
          <w:tcPr>
            <w:tcW w:w="2137" w:type="dxa"/>
          </w:tcPr>
          <w:p>
            <w:pPr/>
            <w:r>
              <w:rPr>
                <w:sz w:val="16"/>
              </w:rPr>
              <w:t xml:space="preserve">Stanbic Bank Zimbabwe</w:t>
            </w:r>
          </w:p>
        </w:tc>
        <w:tc>
          <w:tcPr>
            <w:tcW w:w="1075" w:type="dxa"/>
          </w:tcPr>
          <w:p>
            <w:pPr/>
            <w:r>
              <w:rPr>
                <w:sz w:val="16"/>
              </w:rPr>
              <w:t xml:space="preserve">Zimbabwe</w:t>
            </w:r>
          </w:p>
        </w:tc>
        <w:tc>
          <w:tcPr>
            <w:tcW w:w="1397" w:type="dxa"/>
          </w:tcPr>
          <w:p>
            <w:pPr/>
            <w:r>
              <w:rPr>
                <w:sz w:val="16"/>
              </w:rPr>
              <w:t xml:space="preserve">Commercial bank</w:t>
            </w:r>
          </w:p>
        </w:tc>
        <w:tc>
          <w:tcPr>
            <w:tcW w:w="2374" w:type="dxa"/>
          </w:tcPr>
          <w:p>
            <w:pPr/>
            <w:r>
              <w:rPr>
                <w:sz w:val="16"/>
              </w:rPr>
              <w:t xml:space="preserve">Supplier finance replication</w:t>
            </w:r>
          </w:p>
        </w:tc>
        <w:tc>
          <w:tcPr>
            <w:tcW w:w="1505" w:type="dxa"/>
          </w:tcPr>
          <w:p>
            <w:pPr/>
            <w:r>
              <w:rPr>
                <w:sz w:val="16"/>
              </w:rPr>
              <w:t xml:space="preserve">Victoria Falls</w:t>
            </w:r>
          </w:p>
        </w:tc>
        <w:tc>
          <w:tcPr>
            <w:tcW w:w="1785" w:type="dxa"/>
          </w:tcPr>
          <w:p>
            <w:pPr/>
            <w:r>
              <w:rPr>
                <w:sz w:val="16"/>
              </w:rPr>
              <w:t xml:space="preserve">Head of Business Banking</w:t>
            </w:r>
          </w:p>
        </w:tc>
        <w:tc>
          <w:tcPr>
            <w:tcW w:w="2150" w:type="dxa"/>
          </w:tcPr>
          <w:p>
            <w:pPr/>
            <w:hyperlink r:id="rId67" w:history="1">
              <w:r>
                <w:rPr>
                  <w:rStyle w:val="Hyperlink"/>
                  <w:sz w:val="16"/>
                </w:rPr>
                <w:t xml:space="preserve">stanbicbank.co.zw</w:t>
              </w:r>
            </w:hyperlink>
          </w:p>
        </w:tc>
      </w:tr>
      <w:tr>
        <w:tc>
          <w:tcPr>
            <w:tcW w:w="537" w:type="dxa"/>
          </w:tcPr>
          <w:p>
            <w:pPr/>
            <w:r>
              <w:rPr>
                <w:sz w:val="16"/>
              </w:rPr>
              <w:t xml:space="preserve">W06</w:t>
            </w:r>
          </w:p>
        </w:tc>
        <w:tc>
          <w:tcPr>
            <w:tcW w:w="2137" w:type="dxa"/>
          </w:tcPr>
          <w:p>
            <w:pPr/>
            <w:r>
              <w:rPr>
                <w:sz w:val="16"/>
              </w:rPr>
              <w:t xml:space="preserve">Infrastructure Development Bank of Zimbabwe (IDBZ)</w:t>
            </w:r>
          </w:p>
        </w:tc>
        <w:tc>
          <w:tcPr>
            <w:tcW w:w="1075" w:type="dxa"/>
          </w:tcPr>
          <w:p>
            <w:pPr/>
            <w:r>
              <w:rPr>
                <w:sz w:val="16"/>
              </w:rPr>
              <w:t xml:space="preserve">Zimbabwe</w:t>
            </w:r>
          </w:p>
        </w:tc>
        <w:tc>
          <w:tcPr>
            <w:tcW w:w="1397" w:type="dxa"/>
          </w:tcPr>
          <w:p>
            <w:pPr/>
            <w:r>
              <w:rPr>
                <w:sz w:val="16"/>
              </w:rPr>
              <w:t xml:space="preserve">DFI</w:t>
            </w:r>
          </w:p>
        </w:tc>
        <w:tc>
          <w:tcPr>
            <w:tcW w:w="2374" w:type="dxa"/>
          </w:tcPr>
          <w:p>
            <w:pPr/>
            <w:r>
              <w:rPr>
                <w:sz w:val="16"/>
              </w:rPr>
              <w:t xml:space="preserve">Green finance (GCF accredited)</w:t>
            </w:r>
          </w:p>
        </w:tc>
        <w:tc>
          <w:tcPr>
            <w:tcW w:w="1505" w:type="dxa"/>
          </w:tcPr>
          <w:p>
            <w:pPr/>
            <w:r>
              <w:rPr>
                <w:sz w:val="16"/>
              </w:rPr>
              <w:t xml:space="preserve">Harare</w:t>
            </w:r>
          </w:p>
        </w:tc>
        <w:tc>
          <w:tcPr>
            <w:tcW w:w="1785" w:type="dxa"/>
          </w:tcPr>
          <w:p>
            <w:pPr/>
            <w:r>
              <w:rPr>
                <w:sz w:val="16"/>
              </w:rPr>
              <w:t xml:space="preserve">Head of Climate Finance</w:t>
            </w:r>
          </w:p>
        </w:tc>
        <w:tc>
          <w:tcPr>
            <w:tcW w:w="2150" w:type="dxa"/>
          </w:tcPr>
          <w:p>
            <w:pPr/>
            <w:hyperlink r:id="rId68" w:history="1">
              <w:r>
                <w:rPr>
                  <w:rStyle w:val="Hyperlink"/>
                  <w:sz w:val="16"/>
                </w:rPr>
                <w:t xml:space="preserve">idbz.co.zw</w:t>
              </w:r>
            </w:hyperlink>
          </w:p>
        </w:tc>
      </w:tr>
      <w:tr>
        <w:tc>
          <w:tcPr>
            <w:tcW w:w="537" w:type="dxa"/>
          </w:tcPr>
          <w:p>
            <w:pPr/>
            <w:r>
              <w:rPr>
                <w:sz w:val="16"/>
              </w:rPr>
              <w:t xml:space="preserve">W07</w:t>
            </w:r>
          </w:p>
        </w:tc>
        <w:tc>
          <w:tcPr>
            <w:tcW w:w="2137" w:type="dxa"/>
          </w:tcPr>
          <w:p>
            <w:pPr/>
            <w:r>
              <w:rPr>
                <w:sz w:val="16"/>
              </w:rPr>
              <w:t xml:space="preserve">Zimbabwe Tourism Authority (ZTA)</w:t>
            </w:r>
          </w:p>
        </w:tc>
        <w:tc>
          <w:tcPr>
            <w:tcW w:w="1075" w:type="dxa"/>
          </w:tcPr>
          <w:p>
            <w:pPr/>
            <w:r>
              <w:rPr>
                <w:sz w:val="16"/>
              </w:rPr>
              <w:t xml:space="preserve">Zimbabwe</w:t>
            </w:r>
          </w:p>
        </w:tc>
        <w:tc>
          <w:tcPr>
            <w:tcW w:w="1397" w:type="dxa"/>
          </w:tcPr>
          <w:p>
            <w:pPr/>
            <w:r>
              <w:rPr>
                <w:sz w:val="16"/>
              </w:rPr>
              <w:t xml:space="preserve">Tourism board</w:t>
            </w:r>
          </w:p>
        </w:tc>
        <w:tc>
          <w:tcPr>
            <w:tcW w:w="2374" w:type="dxa"/>
          </w:tcPr>
          <w:p>
            <w:pPr/>
            <w:r>
              <w:rPr>
                <w:sz w:val="16"/>
              </w:rPr>
              <w:t xml:space="preserve">Hub roundtable; licence rationalisation</w:t>
            </w:r>
          </w:p>
        </w:tc>
        <w:tc>
          <w:tcPr>
            <w:tcW w:w="1505" w:type="dxa"/>
          </w:tcPr>
          <w:p>
            <w:pPr/>
            <w:r>
              <w:rPr>
                <w:sz w:val="16"/>
              </w:rPr>
              <w:t xml:space="preserve">Victoria Falls</w:t>
            </w:r>
          </w:p>
        </w:tc>
        <w:tc>
          <w:tcPr>
            <w:tcW w:w="1785" w:type="dxa"/>
          </w:tcPr>
          <w:p>
            <w:pPr/>
            <w:r>
              <w:rPr>
                <w:sz w:val="16"/>
              </w:rPr>
              <w:t xml:space="preserve">Regional Manager</w:t>
            </w:r>
          </w:p>
        </w:tc>
        <w:tc>
          <w:tcPr>
            <w:tcW w:w="2150" w:type="dxa"/>
          </w:tcPr>
          <w:p>
            <w:pPr/>
            <w:hyperlink r:id="rId69" w:history="1">
              <w:r>
                <w:rPr>
                  <w:rStyle w:val="Hyperlink"/>
                  <w:sz w:val="16"/>
                </w:rPr>
                <w:t xml:space="preserve">zimbabwetourism.net</w:t>
              </w:r>
            </w:hyperlink>
          </w:p>
        </w:tc>
      </w:tr>
      <w:tr>
        <w:tc>
          <w:tcPr>
            <w:tcW w:w="537" w:type="dxa"/>
          </w:tcPr>
          <w:p>
            <w:pPr/>
            <w:r>
              <w:rPr>
                <w:sz w:val="16"/>
              </w:rPr>
              <w:t xml:space="preserve">W08</w:t>
            </w:r>
          </w:p>
        </w:tc>
        <w:tc>
          <w:tcPr>
            <w:tcW w:w="2137" w:type="dxa"/>
          </w:tcPr>
          <w:p>
            <w:pPr/>
            <w:r>
              <w:rPr>
                <w:sz w:val="16"/>
              </w:rPr>
              <w:t xml:space="preserve">Zimbabwe Parks and Wildlife Management Authority (ZimParks)</w:t>
            </w:r>
          </w:p>
        </w:tc>
        <w:tc>
          <w:tcPr>
            <w:tcW w:w="1075" w:type="dxa"/>
          </w:tcPr>
          <w:p>
            <w:pPr/>
            <w:r>
              <w:rPr>
                <w:sz w:val="16"/>
              </w:rPr>
              <w:t xml:space="preserve">Zimbabwe</w:t>
            </w:r>
          </w:p>
        </w:tc>
        <w:tc>
          <w:tcPr>
            <w:tcW w:w="1397" w:type="dxa"/>
          </w:tcPr>
          <w:p>
            <w:pPr/>
            <w:r>
              <w:rPr>
                <w:sz w:val="16"/>
              </w:rPr>
              <w:t xml:space="preserve">Government</w:t>
            </w:r>
          </w:p>
        </w:tc>
        <w:tc>
          <w:tcPr>
            <w:tcW w:w="2374" w:type="dxa"/>
          </w:tcPr>
          <w:p>
            <w:pPr/>
            <w:r>
              <w:rPr>
                <w:sz w:val="16"/>
              </w:rPr>
              <w:t xml:space="preserve">Concessions; KAZA NCU</w:t>
            </w:r>
          </w:p>
        </w:tc>
        <w:tc>
          <w:tcPr>
            <w:tcW w:w="1505" w:type="dxa"/>
          </w:tcPr>
          <w:p>
            <w:pPr/>
            <w:r>
              <w:rPr>
                <w:sz w:val="16"/>
              </w:rPr>
              <w:t xml:space="preserve">Harare / Hwange / Victoria Falls</w:t>
            </w:r>
          </w:p>
        </w:tc>
        <w:tc>
          <w:tcPr>
            <w:tcW w:w="1785" w:type="dxa"/>
          </w:tcPr>
          <w:p>
            <w:pPr/>
            <w:r>
              <w:rPr>
                <w:sz w:val="16"/>
              </w:rPr>
              <w:t xml:space="preserve">KAZA National Coordinator</w:t>
            </w:r>
          </w:p>
        </w:tc>
        <w:tc>
          <w:tcPr>
            <w:tcW w:w="2150" w:type="dxa"/>
          </w:tcPr>
          <w:p>
            <w:pPr/>
            <w:hyperlink r:id="rId70" w:history="1">
              <w:r>
                <w:rPr>
                  <w:rStyle w:val="Hyperlink"/>
                  <w:sz w:val="16"/>
                </w:rPr>
                <w:t xml:space="preserve">zimparks.org.zw</w:t>
              </w:r>
            </w:hyperlink>
          </w:p>
        </w:tc>
      </w:tr>
      <w:tr>
        <w:tc>
          <w:tcPr>
            <w:tcW w:w="537" w:type="dxa"/>
          </w:tcPr>
          <w:p>
            <w:pPr/>
            <w:r>
              <w:rPr>
                <w:sz w:val="16"/>
              </w:rPr>
              <w:t xml:space="preserve">W09</w:t>
            </w:r>
          </w:p>
        </w:tc>
        <w:tc>
          <w:tcPr>
            <w:tcW w:w="2137" w:type="dxa"/>
          </w:tcPr>
          <w:p>
            <w:pPr/>
            <w:r>
              <w:rPr>
                <w:sz w:val="16"/>
              </w:rPr>
              <w:t xml:space="preserve">CAMPFIRE Association</w:t>
            </w:r>
          </w:p>
        </w:tc>
        <w:tc>
          <w:tcPr>
            <w:tcW w:w="1075" w:type="dxa"/>
          </w:tcPr>
          <w:p>
            <w:pPr/>
            <w:r>
              <w:rPr>
                <w:sz w:val="16"/>
              </w:rPr>
              <w:t xml:space="preserve">Zimbabwe</w:t>
            </w:r>
          </w:p>
        </w:tc>
        <w:tc>
          <w:tcPr>
            <w:tcW w:w="1397" w:type="dxa"/>
          </w:tcPr>
          <w:p>
            <w:pPr/>
            <w:r>
              <w:rPr>
                <w:sz w:val="16"/>
              </w:rPr>
              <w:t xml:space="preserve">CBNRM</w:t>
            </w:r>
          </w:p>
        </w:tc>
        <w:tc>
          <w:tcPr>
            <w:tcW w:w="2374" w:type="dxa"/>
          </w:tcPr>
          <w:p>
            <w:pPr/>
            <w:r>
              <w:rPr>
                <w:sz w:val="16"/>
              </w:rPr>
              <w:t xml:space="preserve">Ward enterprises; community guarantee fund</w:t>
            </w:r>
          </w:p>
        </w:tc>
        <w:tc>
          <w:tcPr>
            <w:tcW w:w="1505" w:type="dxa"/>
          </w:tcPr>
          <w:p>
            <w:pPr/>
            <w:r>
              <w:rPr>
                <w:sz w:val="16"/>
              </w:rPr>
              <w:t xml:space="preserve">Harare / Hwange and Binga RDCs</w:t>
            </w:r>
          </w:p>
        </w:tc>
        <w:tc>
          <w:tcPr>
            <w:tcW w:w="1785" w:type="dxa"/>
          </w:tcPr>
          <w:p>
            <w:pPr/>
            <w:r>
              <w:rPr>
                <w:sz w:val="16"/>
              </w:rPr>
              <w:t xml:space="preserve">Director</w:t>
            </w:r>
          </w:p>
        </w:tc>
        <w:tc>
          <w:tcPr>
            <w:tcW w:w="2150" w:type="dxa"/>
          </w:tcPr>
          <w:p>
            <w:pPr/>
            <w:r>
              <w:rPr>
                <w:sz w:val="16"/>
              </w:rPr>
              <w:t xml:space="preserve">to confirm</w:t>
            </w:r>
          </w:p>
        </w:tc>
      </w:tr>
      <w:tr>
        <w:tc>
          <w:tcPr>
            <w:tcW w:w="537" w:type="dxa"/>
          </w:tcPr>
          <w:p>
            <w:pPr/>
            <w:r>
              <w:rPr>
                <w:sz w:val="16"/>
              </w:rPr>
              <w:t xml:space="preserve">W10</w:t>
            </w:r>
          </w:p>
        </w:tc>
        <w:tc>
          <w:tcPr>
            <w:tcW w:w="2137" w:type="dxa"/>
          </w:tcPr>
          <w:p>
            <w:pPr/>
            <w:r>
              <w:rPr>
                <w:sz w:val="16"/>
              </w:rPr>
              <w:t xml:space="preserve">Wild Horizons</w:t>
            </w:r>
          </w:p>
        </w:tc>
        <w:tc>
          <w:tcPr>
            <w:tcW w:w="1075" w:type="dxa"/>
          </w:tcPr>
          <w:p>
            <w:pPr/>
            <w:r>
              <w:rPr>
                <w:sz w:val="16"/>
              </w:rPr>
              <w:t xml:space="preserve">Zimbabwe</w:t>
            </w:r>
          </w:p>
        </w:tc>
        <w:tc>
          <w:tcPr>
            <w:tcW w:w="1397" w:type="dxa"/>
          </w:tcPr>
          <w:p>
            <w:pPr/>
            <w:r>
              <w:rPr>
                <w:sz w:val="16"/>
              </w:rPr>
              <w:t xml:space="preserve">Large operator</w:t>
            </w:r>
          </w:p>
        </w:tc>
        <w:tc>
          <w:tcPr>
            <w:tcW w:w="2374" w:type="dxa"/>
          </w:tcPr>
          <w:p>
            <w:pPr/>
            <w:r>
              <w:rPr>
                <w:sz w:val="16"/>
              </w:rPr>
              <w:t xml:space="preserve">Anchor; supplier finance</w:t>
            </w:r>
          </w:p>
        </w:tc>
        <w:tc>
          <w:tcPr>
            <w:tcW w:w="1505" w:type="dxa"/>
          </w:tcPr>
          <w:p>
            <w:pPr/>
            <w:r>
              <w:rPr>
                <w:sz w:val="16"/>
              </w:rPr>
              <w:t xml:space="preserve">Victoria Falls</w:t>
            </w:r>
          </w:p>
        </w:tc>
        <w:tc>
          <w:tcPr>
            <w:tcW w:w="1785" w:type="dxa"/>
          </w:tcPr>
          <w:p>
            <w:pPr/>
            <w:r>
              <w:rPr>
                <w:sz w:val="16"/>
              </w:rPr>
              <w:t xml:space="preserve">Operations / Procurement Director</w:t>
            </w:r>
          </w:p>
        </w:tc>
        <w:tc>
          <w:tcPr>
            <w:tcW w:w="2150" w:type="dxa"/>
          </w:tcPr>
          <w:p>
            <w:pPr/>
            <w:hyperlink r:id="rId71" w:history="1">
              <w:r>
                <w:rPr>
                  <w:rStyle w:val="Hyperlink"/>
                  <w:sz w:val="16"/>
                </w:rPr>
                <w:t xml:space="preserve">wildhorizons.co.za</w:t>
              </w:r>
            </w:hyperlink>
          </w:p>
        </w:tc>
      </w:tr>
      <w:tr>
        <w:tc>
          <w:tcPr>
            <w:tcW w:w="537" w:type="dxa"/>
          </w:tcPr>
          <w:p>
            <w:pPr/>
            <w:r>
              <w:rPr>
                <w:sz w:val="16"/>
              </w:rPr>
              <w:t xml:space="preserve">W11</w:t>
            </w:r>
          </w:p>
        </w:tc>
        <w:tc>
          <w:tcPr>
            <w:tcW w:w="2137" w:type="dxa"/>
          </w:tcPr>
          <w:p>
            <w:pPr/>
            <w:r>
              <w:rPr>
                <w:sz w:val="16"/>
              </w:rPr>
              <w:t xml:space="preserve">Africa Albida Tourism</w:t>
            </w:r>
          </w:p>
        </w:tc>
        <w:tc>
          <w:tcPr>
            <w:tcW w:w="1075" w:type="dxa"/>
          </w:tcPr>
          <w:p>
            <w:pPr/>
            <w:r>
              <w:rPr>
                <w:sz w:val="16"/>
              </w:rPr>
              <w:t xml:space="preserve">Zimbabwe</w:t>
            </w:r>
          </w:p>
        </w:tc>
        <w:tc>
          <w:tcPr>
            <w:tcW w:w="1397" w:type="dxa"/>
          </w:tcPr>
          <w:p>
            <w:pPr/>
            <w:r>
              <w:rPr>
                <w:sz w:val="16"/>
              </w:rPr>
              <w:t xml:space="preserve">Large operator</w:t>
            </w:r>
          </w:p>
        </w:tc>
        <w:tc>
          <w:tcPr>
            <w:tcW w:w="2374" w:type="dxa"/>
          </w:tcPr>
          <w:p>
            <w:pPr/>
            <w:r>
              <w:rPr>
                <w:sz w:val="16"/>
              </w:rPr>
              <w:t xml:space="preserve">Anchor; local procurement</w:t>
            </w:r>
          </w:p>
        </w:tc>
        <w:tc>
          <w:tcPr>
            <w:tcW w:w="1505" w:type="dxa"/>
          </w:tcPr>
          <w:p>
            <w:pPr/>
            <w:r>
              <w:rPr>
                <w:sz w:val="16"/>
              </w:rPr>
              <w:t xml:space="preserve">Victoria Falls</w:t>
            </w:r>
          </w:p>
        </w:tc>
        <w:tc>
          <w:tcPr>
            <w:tcW w:w="1785" w:type="dxa"/>
          </w:tcPr>
          <w:p>
            <w:pPr/>
            <w:r>
              <w:rPr>
                <w:sz w:val="16"/>
              </w:rPr>
              <w:t xml:space="preserve">Sustainability / Community Lead</w:t>
            </w:r>
          </w:p>
        </w:tc>
        <w:tc>
          <w:tcPr>
            <w:tcW w:w="2150" w:type="dxa"/>
          </w:tcPr>
          <w:p>
            <w:pPr/>
            <w:hyperlink r:id="rId72" w:history="1">
              <w:r>
                <w:rPr>
                  <w:rStyle w:val="Hyperlink"/>
                  <w:sz w:val="16"/>
                </w:rPr>
                <w:t xml:space="preserve">africaalbidatourism.com</w:t>
              </w:r>
            </w:hyperlink>
          </w:p>
        </w:tc>
      </w:tr>
      <w:tr>
        <w:tc>
          <w:tcPr>
            <w:tcW w:w="537" w:type="dxa"/>
          </w:tcPr>
          <w:p>
            <w:pPr/>
            <w:r>
              <w:rPr>
                <w:sz w:val="16"/>
              </w:rPr>
              <w:t xml:space="preserve">W12</w:t>
            </w:r>
          </w:p>
        </w:tc>
        <w:tc>
          <w:tcPr>
            <w:tcW w:w="2137" w:type="dxa"/>
          </w:tcPr>
          <w:p>
            <w:pPr/>
            <w:r>
              <w:rPr>
                <w:sz w:val="16"/>
              </w:rPr>
              <w:t xml:space="preserve">Tourism Business Council of Zimbabwe (TBCZ)</w:t>
            </w:r>
          </w:p>
        </w:tc>
        <w:tc>
          <w:tcPr>
            <w:tcW w:w="1075" w:type="dxa"/>
          </w:tcPr>
          <w:p>
            <w:pPr/>
            <w:r>
              <w:rPr>
                <w:sz w:val="16"/>
              </w:rPr>
              <w:t xml:space="preserve">Zimbabwe</w:t>
            </w:r>
          </w:p>
        </w:tc>
        <w:tc>
          <w:tcPr>
            <w:tcW w:w="1397" w:type="dxa"/>
          </w:tcPr>
          <w:p>
            <w:pPr/>
            <w:r>
              <w:rPr>
                <w:sz w:val="16"/>
              </w:rPr>
              <w:t xml:space="preserve">Industry association</w:t>
            </w:r>
          </w:p>
        </w:tc>
        <w:tc>
          <w:tcPr>
            <w:tcW w:w="2374" w:type="dxa"/>
          </w:tcPr>
          <w:p>
            <w:pPr/>
            <w:r>
              <w:rPr>
                <w:sz w:val="16"/>
              </w:rPr>
              <w:t xml:space="preserve">Operator mobilisation; Compact</w:t>
            </w:r>
          </w:p>
        </w:tc>
        <w:tc>
          <w:tcPr>
            <w:tcW w:w="1505" w:type="dxa"/>
          </w:tcPr>
          <w:p>
            <w:pPr/>
            <w:r>
              <w:rPr>
                <w:sz w:val="16"/>
              </w:rPr>
              <w:t xml:space="preserve">Harare / Victoria Falls chapter</w:t>
            </w:r>
          </w:p>
        </w:tc>
        <w:tc>
          <w:tcPr>
            <w:tcW w:w="1785" w:type="dxa"/>
          </w:tcPr>
          <w:p>
            <w:pPr/>
            <w:r>
              <w:rPr>
                <w:sz w:val="16"/>
              </w:rPr>
              <w:t xml:space="preserve">Chief Executive Officer</w:t>
            </w:r>
          </w:p>
        </w:tc>
        <w:tc>
          <w:tcPr>
            <w:tcW w:w="2150" w:type="dxa"/>
          </w:tcPr>
          <w:p>
            <w:pPr/>
            <w:r>
              <w:rPr>
                <w:sz w:val="16"/>
              </w:rPr>
              <w:t xml:space="preserve">to confirm</w:t>
            </w:r>
          </w:p>
        </w:tc>
      </w:tr>
      <w:tr>
        <w:tc>
          <w:tcPr>
            <w:tcW w:w="537" w:type="dxa"/>
          </w:tcPr>
          <w:p>
            <w:pPr/>
            <w:r>
              <w:rPr>
                <w:sz w:val="16"/>
              </w:rPr>
              <w:t xml:space="preserve">A01</w:t>
            </w:r>
          </w:p>
        </w:tc>
        <w:tc>
          <w:tcPr>
            <w:tcW w:w="2137" w:type="dxa"/>
          </w:tcPr>
          <w:p>
            <w:pPr/>
            <w:r>
              <w:rPr>
                <w:sz w:val="16"/>
              </w:rPr>
              <w:t xml:space="preserve">Fundo de Garantia de Crédito (FGC)</w:t>
            </w:r>
          </w:p>
        </w:tc>
        <w:tc>
          <w:tcPr>
            <w:tcW w:w="1075" w:type="dxa"/>
          </w:tcPr>
          <w:p>
            <w:pPr/>
            <w:r>
              <w:rPr>
                <w:sz w:val="16"/>
              </w:rPr>
              <w:t xml:space="preserve">Angola</w:t>
            </w:r>
          </w:p>
        </w:tc>
        <w:tc>
          <w:tcPr>
            <w:tcW w:w="1397" w:type="dxa"/>
          </w:tcPr>
          <w:p>
            <w:pPr/>
            <w:r>
              <w:rPr>
                <w:sz w:val="16"/>
              </w:rPr>
              <w:t xml:space="preserve">Guarantee</w:t>
            </w:r>
          </w:p>
        </w:tc>
        <w:tc>
          <w:tcPr>
            <w:tcW w:w="2374" w:type="dxa"/>
          </w:tcPr>
          <w:p>
            <w:pPr/>
            <w:r>
              <w:rPr>
                <w:sz w:val="16"/>
              </w:rPr>
              <w:t xml:space="preserve">KAZA guarantee window (Diversifica Mais model)</w:t>
            </w:r>
          </w:p>
        </w:tc>
        <w:tc>
          <w:tcPr>
            <w:tcW w:w="1505" w:type="dxa"/>
          </w:tcPr>
          <w:p>
            <w:pPr/>
            <w:r>
              <w:rPr>
                <w:sz w:val="16"/>
              </w:rPr>
              <w:t xml:space="preserve">Luanda</w:t>
            </w:r>
          </w:p>
        </w:tc>
        <w:tc>
          <w:tcPr>
            <w:tcW w:w="1785" w:type="dxa"/>
          </w:tcPr>
          <w:p>
            <w:pPr/>
            <w:r>
              <w:rPr>
                <w:sz w:val="16"/>
              </w:rPr>
              <w:t xml:space="preserve">Conselho de Administração / Director Comercial</w:t>
            </w:r>
          </w:p>
        </w:tc>
        <w:tc>
          <w:tcPr>
            <w:tcW w:w="2150" w:type="dxa"/>
          </w:tcPr>
          <w:p>
            <w:pPr/>
            <w:r>
              <w:rPr>
                <w:sz w:val="16"/>
              </w:rPr>
              <w:t xml:space="preserve">to confirm</w:t>
            </w:r>
          </w:p>
        </w:tc>
      </w:tr>
      <w:tr>
        <w:tc>
          <w:tcPr>
            <w:tcW w:w="537" w:type="dxa"/>
          </w:tcPr>
          <w:p>
            <w:pPr/>
            <w:r>
              <w:rPr>
                <w:sz w:val="16"/>
              </w:rPr>
              <w:t xml:space="preserve">A02</w:t>
            </w:r>
          </w:p>
        </w:tc>
        <w:tc>
          <w:tcPr>
            <w:tcW w:w="2137" w:type="dxa"/>
          </w:tcPr>
          <w:p>
            <w:pPr/>
            <w:r>
              <w:rPr>
                <w:sz w:val="16"/>
              </w:rPr>
              <w:t xml:space="preserve">Banco de Desenvolvimento de Angola (BDA)</w:t>
            </w:r>
          </w:p>
        </w:tc>
        <w:tc>
          <w:tcPr>
            <w:tcW w:w="1075" w:type="dxa"/>
          </w:tcPr>
          <w:p>
            <w:pPr/>
            <w:r>
              <w:rPr>
                <w:sz w:val="16"/>
              </w:rPr>
              <w:t xml:space="preserve">Angola</w:t>
            </w:r>
          </w:p>
        </w:tc>
        <w:tc>
          <w:tcPr>
            <w:tcW w:w="1397" w:type="dxa"/>
          </w:tcPr>
          <w:p>
            <w:pPr/>
            <w:r>
              <w:rPr>
                <w:sz w:val="16"/>
              </w:rPr>
              <w:t xml:space="preserve">DFI</w:t>
            </w:r>
          </w:p>
        </w:tc>
        <w:tc>
          <w:tcPr>
            <w:tcW w:w="2374" w:type="dxa"/>
          </w:tcPr>
          <w:p>
            <w:pPr/>
            <w:r>
              <w:rPr>
                <w:sz w:val="16"/>
              </w:rPr>
              <w:t xml:space="preserve">On-lending lines</w:t>
            </w:r>
          </w:p>
        </w:tc>
        <w:tc>
          <w:tcPr>
            <w:tcW w:w="1505" w:type="dxa"/>
          </w:tcPr>
          <w:p>
            <w:pPr/>
            <w:r>
              <w:rPr>
                <w:sz w:val="16"/>
              </w:rPr>
              <w:t xml:space="preserve">Luanda</w:t>
            </w:r>
          </w:p>
        </w:tc>
        <w:tc>
          <w:tcPr>
            <w:tcW w:w="1785" w:type="dxa"/>
          </w:tcPr>
          <w:p>
            <w:pPr/>
            <w:r>
              <w:rPr>
                <w:sz w:val="16"/>
              </w:rPr>
              <w:t xml:space="preserve">Director de Crédito às PME</w:t>
            </w:r>
          </w:p>
        </w:tc>
        <w:tc>
          <w:tcPr>
            <w:tcW w:w="2150" w:type="dxa"/>
          </w:tcPr>
          <w:p>
            <w:pPr/>
            <w:hyperlink r:id="rId73" w:history="1">
              <w:r>
                <w:rPr>
                  <w:rStyle w:val="Hyperlink"/>
                  <w:sz w:val="16"/>
                </w:rPr>
                <w:t xml:space="preserve">bda.ao</w:t>
              </w:r>
            </w:hyperlink>
          </w:p>
        </w:tc>
      </w:tr>
      <w:tr>
        <w:tc>
          <w:tcPr>
            <w:tcW w:w="537" w:type="dxa"/>
          </w:tcPr>
          <w:p>
            <w:pPr/>
            <w:r>
              <w:rPr>
                <w:sz w:val="16"/>
              </w:rPr>
              <w:t xml:space="preserve">A03</w:t>
            </w:r>
          </w:p>
        </w:tc>
        <w:tc>
          <w:tcPr>
            <w:tcW w:w="2137" w:type="dxa"/>
          </w:tcPr>
          <w:p>
            <w:pPr/>
            <w:r>
              <w:rPr>
                <w:sz w:val="16"/>
              </w:rPr>
              <w:t xml:space="preserve">Instituto Nacional de Apoio às MPME (INAPEM)</w:t>
            </w:r>
          </w:p>
        </w:tc>
        <w:tc>
          <w:tcPr>
            <w:tcW w:w="1075" w:type="dxa"/>
          </w:tcPr>
          <w:p>
            <w:pPr/>
            <w:r>
              <w:rPr>
                <w:sz w:val="16"/>
              </w:rPr>
              <w:t xml:space="preserve">Angola</w:t>
            </w:r>
          </w:p>
        </w:tc>
        <w:tc>
          <w:tcPr>
            <w:tcW w:w="1397" w:type="dxa"/>
          </w:tcPr>
          <w:p>
            <w:pPr/>
            <w:r>
              <w:rPr>
                <w:sz w:val="16"/>
              </w:rPr>
              <w:t xml:space="preserve">BSO</w:t>
            </w:r>
          </w:p>
        </w:tc>
        <w:tc>
          <w:tcPr>
            <w:tcW w:w="2374" w:type="dxa"/>
          </w:tcPr>
          <w:p>
            <w:pPr/>
            <w:r>
              <w:rPr>
                <w:sz w:val="16"/>
              </w:rPr>
              <w:t xml:space="preserve">Delivery partner; MSME certification</w:t>
            </w:r>
          </w:p>
        </w:tc>
        <w:tc>
          <w:tcPr>
            <w:tcW w:w="1505" w:type="dxa"/>
          </w:tcPr>
          <w:p>
            <w:pPr/>
            <w:r>
              <w:rPr>
                <w:sz w:val="16"/>
              </w:rPr>
              <w:t xml:space="preserve">Luanda / Menongue</w:t>
            </w:r>
          </w:p>
        </w:tc>
        <w:tc>
          <w:tcPr>
            <w:tcW w:w="1785" w:type="dxa"/>
          </w:tcPr>
          <w:p>
            <w:pPr/>
            <w:r>
              <w:rPr>
                <w:sz w:val="16"/>
              </w:rPr>
              <w:t xml:space="preserve">Director Provincial Cubango</w:t>
            </w:r>
          </w:p>
        </w:tc>
        <w:tc>
          <w:tcPr>
            <w:tcW w:w="2150" w:type="dxa"/>
          </w:tcPr>
          <w:p>
            <w:pPr/>
            <w:r>
              <w:rPr>
                <w:sz w:val="16"/>
              </w:rPr>
              <w:t xml:space="preserve">to confirm</w:t>
            </w:r>
          </w:p>
        </w:tc>
      </w:tr>
      <w:tr>
        <w:tc>
          <w:tcPr>
            <w:tcW w:w="537" w:type="dxa"/>
          </w:tcPr>
          <w:p>
            <w:pPr/>
            <w:r>
              <w:rPr>
                <w:sz w:val="16"/>
              </w:rPr>
              <w:t xml:space="preserve">A04</w:t>
            </w:r>
          </w:p>
        </w:tc>
        <w:tc>
          <w:tcPr>
            <w:tcW w:w="2137" w:type="dxa"/>
          </w:tcPr>
          <w:p>
            <w:pPr/>
            <w:r>
              <w:rPr>
                <w:sz w:val="16"/>
              </w:rPr>
              <w:t xml:space="preserve">KixiCrédito</w:t>
            </w:r>
          </w:p>
        </w:tc>
        <w:tc>
          <w:tcPr>
            <w:tcW w:w="1075" w:type="dxa"/>
          </w:tcPr>
          <w:p>
            <w:pPr/>
            <w:r>
              <w:rPr>
                <w:sz w:val="16"/>
              </w:rPr>
              <w:t xml:space="preserve">Angola</w:t>
            </w:r>
          </w:p>
        </w:tc>
        <w:tc>
          <w:tcPr>
            <w:tcW w:w="1397" w:type="dxa"/>
          </w:tcPr>
          <w:p>
            <w:pPr/>
            <w:r>
              <w:rPr>
                <w:sz w:val="16"/>
              </w:rPr>
              <w:t xml:space="preserve">MFI</w:t>
            </w:r>
          </w:p>
        </w:tc>
        <w:tc>
          <w:tcPr>
            <w:tcW w:w="2374" w:type="dxa"/>
          </w:tcPr>
          <w:p>
            <w:pPr/>
            <w:r>
              <w:rPr>
                <w:sz w:val="16"/>
              </w:rPr>
              <w:t xml:space="preserve">Micro lending; group loans</w:t>
            </w:r>
          </w:p>
        </w:tc>
        <w:tc>
          <w:tcPr>
            <w:tcW w:w="1505" w:type="dxa"/>
          </w:tcPr>
          <w:p>
            <w:pPr/>
            <w:r>
              <w:rPr>
                <w:sz w:val="16"/>
              </w:rPr>
              <w:t xml:space="preserve">Menongue</w:t>
            </w:r>
          </w:p>
        </w:tc>
        <w:tc>
          <w:tcPr>
            <w:tcW w:w="1785" w:type="dxa"/>
          </w:tcPr>
          <w:p>
            <w:pPr/>
            <w:r>
              <w:rPr>
                <w:sz w:val="16"/>
              </w:rPr>
              <w:t xml:space="preserve">Director Geral</w:t>
            </w:r>
          </w:p>
        </w:tc>
        <w:tc>
          <w:tcPr>
            <w:tcW w:w="2150" w:type="dxa"/>
          </w:tcPr>
          <w:p>
            <w:pPr/>
            <w:r>
              <w:rPr>
                <w:sz w:val="16"/>
              </w:rPr>
              <w:t xml:space="preserve">to confirm</w:t>
            </w:r>
          </w:p>
        </w:tc>
      </w:tr>
      <w:tr>
        <w:tc>
          <w:tcPr>
            <w:tcW w:w="537" w:type="dxa"/>
          </w:tcPr>
          <w:p>
            <w:pPr/>
            <w:r>
              <w:rPr>
                <w:sz w:val="16"/>
              </w:rPr>
              <w:t xml:space="preserve">A05</w:t>
            </w:r>
          </w:p>
        </w:tc>
        <w:tc>
          <w:tcPr>
            <w:tcW w:w="2137" w:type="dxa"/>
          </w:tcPr>
          <w:p>
            <w:pPr/>
            <w:r>
              <w:rPr>
                <w:sz w:val="16"/>
              </w:rPr>
              <w:t xml:space="preserve">Ministério do Turismo (MINTUR) / Okavango Tourism Pole</w:t>
            </w:r>
          </w:p>
        </w:tc>
        <w:tc>
          <w:tcPr>
            <w:tcW w:w="1075" w:type="dxa"/>
          </w:tcPr>
          <w:p>
            <w:pPr/>
            <w:r>
              <w:rPr>
                <w:sz w:val="16"/>
              </w:rPr>
              <w:t xml:space="preserve">Angola</w:t>
            </w:r>
          </w:p>
        </w:tc>
        <w:tc>
          <w:tcPr>
            <w:tcW w:w="1397" w:type="dxa"/>
          </w:tcPr>
          <w:p>
            <w:pPr/>
            <w:r>
              <w:rPr>
                <w:sz w:val="16"/>
              </w:rPr>
              <w:t xml:space="preserve">Government</w:t>
            </w:r>
          </w:p>
        </w:tc>
        <w:tc>
          <w:tcPr>
            <w:tcW w:w="2374" w:type="dxa"/>
          </w:tcPr>
          <w:p>
            <w:pPr/>
            <w:r>
              <w:rPr>
                <w:sz w:val="16"/>
              </w:rPr>
              <w:t xml:space="preserve">Tourism policy; licensing</w:t>
            </w:r>
          </w:p>
        </w:tc>
        <w:tc>
          <w:tcPr>
            <w:tcW w:w="1505" w:type="dxa"/>
          </w:tcPr>
          <w:p>
            <w:pPr/>
            <w:r>
              <w:rPr>
                <w:sz w:val="16"/>
              </w:rPr>
              <w:t xml:space="preserve">Luanda / Menongue</w:t>
            </w:r>
          </w:p>
        </w:tc>
        <w:tc>
          <w:tcPr>
            <w:tcW w:w="1785" w:type="dxa"/>
          </w:tcPr>
          <w:p>
            <w:pPr/>
            <w:r>
              <w:rPr>
                <w:sz w:val="16"/>
              </w:rPr>
              <w:t xml:space="preserve">Director Nacional de Turismo</w:t>
            </w:r>
          </w:p>
        </w:tc>
        <w:tc>
          <w:tcPr>
            <w:tcW w:w="2150" w:type="dxa"/>
          </w:tcPr>
          <w:p>
            <w:pPr/>
            <w:r>
              <w:rPr>
                <w:sz w:val="16"/>
              </w:rPr>
              <w:t xml:space="preserve">to confirm</w:t>
            </w:r>
          </w:p>
        </w:tc>
      </w:tr>
      <w:tr>
        <w:tc>
          <w:tcPr>
            <w:tcW w:w="537" w:type="dxa"/>
          </w:tcPr>
          <w:p>
            <w:pPr/>
            <w:r>
              <w:rPr>
                <w:sz w:val="16"/>
              </w:rPr>
              <w:t xml:space="preserve">A06</w:t>
            </w:r>
          </w:p>
        </w:tc>
        <w:tc>
          <w:tcPr>
            <w:tcW w:w="2137" w:type="dxa"/>
          </w:tcPr>
          <w:p>
            <w:pPr/>
            <w:r>
              <w:rPr>
                <w:sz w:val="16"/>
              </w:rPr>
              <w:t xml:space="preserve">INBAC / Ministry of Environment</w:t>
            </w:r>
          </w:p>
        </w:tc>
        <w:tc>
          <w:tcPr>
            <w:tcW w:w="1075" w:type="dxa"/>
          </w:tcPr>
          <w:p>
            <w:pPr/>
            <w:r>
              <w:rPr>
                <w:sz w:val="16"/>
              </w:rPr>
              <w:t xml:space="preserve">Angola</w:t>
            </w:r>
          </w:p>
        </w:tc>
        <w:tc>
          <w:tcPr>
            <w:tcW w:w="1397" w:type="dxa"/>
          </w:tcPr>
          <w:p>
            <w:pPr/>
            <w:r>
              <w:rPr>
                <w:sz w:val="16"/>
              </w:rPr>
              <w:t xml:space="preserve">Government</w:t>
            </w:r>
          </w:p>
        </w:tc>
        <w:tc>
          <w:tcPr>
            <w:tcW w:w="2374" w:type="dxa"/>
          </w:tcPr>
          <w:p>
            <w:pPr/>
            <w:r>
              <w:rPr>
                <w:sz w:val="16"/>
              </w:rPr>
              <w:t xml:space="preserve">Conservation areas; KAZA NCU</w:t>
            </w:r>
          </w:p>
        </w:tc>
        <w:tc>
          <w:tcPr>
            <w:tcW w:w="1505" w:type="dxa"/>
          </w:tcPr>
          <w:p>
            <w:pPr/>
            <w:r>
              <w:rPr>
                <w:sz w:val="16"/>
              </w:rPr>
              <w:t xml:space="preserve">Luanda / Menongue</w:t>
            </w:r>
          </w:p>
        </w:tc>
        <w:tc>
          <w:tcPr>
            <w:tcW w:w="1785" w:type="dxa"/>
          </w:tcPr>
          <w:p>
            <w:pPr/>
            <w:r>
              <w:rPr>
                <w:sz w:val="16"/>
              </w:rPr>
              <w:t xml:space="preserve">KAZA National Coordinator</w:t>
            </w:r>
          </w:p>
        </w:tc>
        <w:tc>
          <w:tcPr>
            <w:tcW w:w="2150" w:type="dxa"/>
          </w:tcPr>
          <w:p>
            <w:pPr/>
            <w:r>
              <w:rPr>
                <w:sz w:val="16"/>
              </w:rPr>
              <w:t xml:space="preserve">to confirm</w:t>
            </w:r>
          </w:p>
        </w:tc>
      </w:tr>
      <w:tr>
        <w:tc>
          <w:tcPr>
            <w:tcW w:w="537" w:type="dxa"/>
          </w:tcPr>
          <w:p>
            <w:pPr/>
            <w:r>
              <w:rPr>
                <w:sz w:val="16"/>
              </w:rPr>
              <w:t xml:space="preserve">A07</w:t>
            </w:r>
          </w:p>
        </w:tc>
        <w:tc>
          <w:tcPr>
            <w:tcW w:w="2137" w:type="dxa"/>
          </w:tcPr>
          <w:p>
            <w:pPr/>
            <w:r>
              <w:rPr>
                <w:sz w:val="16"/>
              </w:rPr>
              <w:t xml:space="preserve">Banco Sol / Banco BPC</w:t>
            </w:r>
          </w:p>
        </w:tc>
        <w:tc>
          <w:tcPr>
            <w:tcW w:w="1075" w:type="dxa"/>
          </w:tcPr>
          <w:p>
            <w:pPr/>
            <w:r>
              <w:rPr>
                <w:sz w:val="16"/>
              </w:rPr>
              <w:t xml:space="preserve">Angola</w:t>
            </w:r>
          </w:p>
        </w:tc>
        <w:tc>
          <w:tcPr>
            <w:tcW w:w="1397" w:type="dxa"/>
          </w:tcPr>
          <w:p>
            <w:pPr/>
            <w:r>
              <w:rPr>
                <w:sz w:val="16"/>
              </w:rPr>
              <w:t xml:space="preserve">Commercial bank</w:t>
            </w:r>
          </w:p>
        </w:tc>
        <w:tc>
          <w:tcPr>
            <w:tcW w:w="2374" w:type="dxa"/>
          </w:tcPr>
          <w:p>
            <w:pPr/>
            <w:r>
              <w:rPr>
                <w:sz w:val="16"/>
              </w:rPr>
              <w:t xml:space="preserve">Partner lender with provincial footprint</w:t>
            </w:r>
          </w:p>
        </w:tc>
        <w:tc>
          <w:tcPr>
            <w:tcW w:w="1505" w:type="dxa"/>
          </w:tcPr>
          <w:p>
            <w:pPr/>
            <w:r>
              <w:rPr>
                <w:sz w:val="16"/>
              </w:rPr>
              <w:t xml:space="preserve">Menongue</w:t>
            </w:r>
          </w:p>
        </w:tc>
        <w:tc>
          <w:tcPr>
            <w:tcW w:w="1785" w:type="dxa"/>
          </w:tcPr>
          <w:p>
            <w:pPr/>
            <w:r>
              <w:rPr>
                <w:sz w:val="16"/>
              </w:rPr>
              <w:t xml:space="preserve">Director de Banca de Pequenos Negócios</w:t>
            </w:r>
          </w:p>
        </w:tc>
        <w:tc>
          <w:tcPr>
            <w:tcW w:w="2150" w:type="dxa"/>
          </w:tcPr>
          <w:p>
            <w:pPr/>
            <w:r>
              <w:rPr>
                <w:sz w:val="16"/>
              </w:rPr>
              <w:t xml:space="preserve">to confirm</w:t>
            </w:r>
          </w:p>
        </w:tc>
      </w:tr>
      <w:tr>
        <w:tc>
          <w:tcPr>
            <w:tcW w:w="537" w:type="dxa"/>
          </w:tcPr>
          <w:p>
            <w:pPr/>
            <w:r>
              <w:rPr>
                <w:sz w:val="16"/>
              </w:rPr>
              <w:t xml:space="preserve">A08</w:t>
            </w:r>
          </w:p>
        </w:tc>
        <w:tc>
          <w:tcPr>
            <w:tcW w:w="2137" w:type="dxa"/>
          </w:tcPr>
          <w:p>
            <w:pPr/>
            <w:r>
              <w:rPr>
                <w:sz w:val="16"/>
              </w:rPr>
              <w:t xml:space="preserve">The HALO Trust</w:t>
            </w:r>
          </w:p>
        </w:tc>
        <w:tc>
          <w:tcPr>
            <w:tcW w:w="1075" w:type="dxa"/>
          </w:tcPr>
          <w:p>
            <w:pPr/>
            <w:r>
              <w:rPr>
                <w:sz w:val="16"/>
              </w:rPr>
              <w:t xml:space="preserve">Angola</w:t>
            </w:r>
          </w:p>
        </w:tc>
        <w:tc>
          <w:tcPr>
            <w:tcW w:w="1397" w:type="dxa"/>
          </w:tcPr>
          <w:p>
            <w:pPr/>
            <w:r>
              <w:rPr>
                <w:sz w:val="16"/>
              </w:rPr>
              <w:t xml:space="preserve">NGO</w:t>
            </w:r>
          </w:p>
        </w:tc>
        <w:tc>
          <w:tcPr>
            <w:tcW w:w="2374" w:type="dxa"/>
          </w:tcPr>
          <w:p>
            <w:pPr/>
            <w:r>
              <w:rPr>
                <w:sz w:val="16"/>
              </w:rPr>
              <w:t xml:space="preserve">Access and community engagement in Cuando and Cubango</w:t>
            </w:r>
          </w:p>
        </w:tc>
        <w:tc>
          <w:tcPr>
            <w:tcW w:w="1505" w:type="dxa"/>
          </w:tcPr>
          <w:p>
            <w:pPr/>
            <w:r>
              <w:rPr>
                <w:sz w:val="16"/>
              </w:rPr>
              <w:t xml:space="preserve">Menongue</w:t>
            </w:r>
          </w:p>
        </w:tc>
        <w:tc>
          <w:tcPr>
            <w:tcW w:w="1785" w:type="dxa"/>
          </w:tcPr>
          <w:p>
            <w:pPr/>
            <w:r>
              <w:rPr>
                <w:sz w:val="16"/>
              </w:rPr>
              <w:t xml:space="preserve">Angola Programme Manager</w:t>
            </w:r>
          </w:p>
        </w:tc>
        <w:tc>
          <w:tcPr>
            <w:tcW w:w="2150" w:type="dxa"/>
          </w:tcPr>
          <w:p>
            <w:pPr/>
            <w:hyperlink r:id="rId74" w:history="1">
              <w:r>
                <w:rPr>
                  <w:rStyle w:val="Hyperlink"/>
                  <w:sz w:val="16"/>
                </w:rPr>
                <w:t xml:space="preserve">halotrust.org</w:t>
              </w:r>
            </w:hyperlink>
          </w:p>
        </w:tc>
      </w:tr>
    </w:tbl>
    <w:p>
      <w:pPr>
        <w:sectPr>
          <w:pgSz w:w="15840" w:h="12240" w:orient="landscape"/>
          <w:pgMar w:top="1440" w:right="1440" w:bottom="1440" w:left="1440" w:header="720" w:footer="720" w:gutter="0"/>
        </w:sectPr>
      </w:pPr>
    </w:p>
    <w:p>
      <w:pPr>
        <w:pStyle w:val="Heading2"/>
      </w:pPr>
      <w:r>
        <w:t xml:space="preserve">Annex B. Sources</w:t>
      </w:r>
    </w:p>
    <w:p>
      <w:pPr/>
      <w:r>
        <w:t xml:space="preserve">The sources were consulted in October 2026. Figures from the earlier </w:t>
      </w:r>
      <w:r>
        <w:rPr>
          <w:i/>
        </w:rPr>
        <w:t xml:space="preserve">Financial Landscape Analysis</w:t>
      </w:r>
      <w:r>
        <w:t xml:space="preserve"> (GIZ Works repository, October 2026) carry that report's references.</w:t>
      </w:r>
    </w:p>
    <w:p>
      <w:pPr>
        <w:pStyle w:val="ListParagraph"/>
        <w:numPr>
          <w:ilvl w:val="0"/>
          <w:numId w:val="26"/>
        </w:numPr>
      </w:pPr>
      <w:r>
        <w:t xml:space="preserve">ATTA (2026). </w:t>
      </w:r>
      <w:hyperlink r:id="rId3" w:history="1">
        <w:r>
          <w:rPr>
            <w:rStyle w:val="Hyperlink"/>
          </w:rPr>
          <w:t xml:space="preserve">KAZA launches regenerative tourism initiative backed by Germany and EU</w:t>
        </w:r>
      </w:hyperlink>
      <w:r>
        <w:t xml:space="preserve">.</w:t>
      </w:r>
    </w:p>
    <w:p>
      <w:pPr>
        <w:pStyle w:val="ListParagraph"/>
        <w:numPr>
          <w:ilvl w:val="0"/>
          <w:numId w:val="26"/>
        </w:numPr>
      </w:pPr>
      <w:r>
        <w:t xml:space="preserve">Africa Portal (2023). </w:t>
      </w:r>
      <w:hyperlink r:id="rId8" w:history="1">
        <w:r>
          <w:rPr>
            <w:rStyle w:val="Hyperlink"/>
          </w:rPr>
          <w:t xml:space="preserve">Why men and youth shun savings groups</w:t>
        </w:r>
      </w:hyperlink>
      <w:r>
        <w:t xml:space="preserve">.</w:t>
      </w:r>
    </w:p>
    <w:p>
      <w:pPr>
        <w:pStyle w:val="ListParagraph"/>
        <w:numPr>
          <w:ilvl w:val="0"/>
          <w:numId w:val="26"/>
        </w:numPr>
      </w:pPr>
      <w:r>
        <w:t xml:space="preserve">AFI (2023). </w:t>
      </w:r>
      <w:hyperlink r:id="rId7" w:history="1">
        <w:r>
          <w:rPr>
            <w:rStyle w:val="Hyperlink"/>
          </w:rPr>
          <w:t xml:space="preserve">Zambia: Increasing women's financial inclusion and closing the women's SME credit gap</w:t>
        </w:r>
      </w:hyperlink>
      <w:r>
        <w:t xml:space="preserve">.</w:t>
      </w:r>
    </w:p>
    <w:p>
      <w:pPr>
        <w:pStyle w:val="ListParagraph"/>
        <w:numPr>
          <w:ilvl w:val="0"/>
          <w:numId w:val="26"/>
        </w:numPr>
      </w:pPr>
      <w:r>
        <w:t xml:space="preserve">African Business (2024). </w:t>
      </w:r>
      <w:hyperlink r:id="rId75" w:history="1">
        <w:r>
          <w:rPr>
            <w:rStyle w:val="Hyperlink"/>
          </w:rPr>
          <w:t xml:space="preserve">AFAWA fast-tracks lending to women-led businesses</w:t>
        </w:r>
      </w:hyperlink>
      <w:r>
        <w:t xml:space="preserve">.</w:t>
      </w:r>
    </w:p>
    <w:p>
      <w:pPr>
        <w:pStyle w:val="ListParagraph"/>
        <w:numPr>
          <w:ilvl w:val="0"/>
          <w:numId w:val="26"/>
        </w:numPr>
      </w:pPr>
      <w:r>
        <w:t xml:space="preserve">Botswana Laws (2022). </w:t>
      </w:r>
      <w:hyperlink r:id="rId14" w:history="1">
        <w:r>
          <w:rPr>
            <w:rStyle w:val="Hyperlink"/>
          </w:rPr>
          <w:t xml:space="preserve">Movable Property (Security Interests) Act, Act 5 of 2022</w:t>
        </w:r>
      </w:hyperlink>
      <w:r>
        <w:t xml:space="preserve">.</w:t>
      </w:r>
    </w:p>
    <w:p>
      <w:pPr>
        <w:pStyle w:val="ListParagraph"/>
        <w:numPr>
          <w:ilvl w:val="0"/>
          <w:numId w:val="26"/>
        </w:numPr>
      </w:pPr>
      <w:r>
        <w:t xml:space="preserve">Daily News Botswana (2025). </w:t>
      </w:r>
      <w:hyperlink r:id="rId17" w:history="1">
        <w:r>
          <w:rPr>
            <w:rStyle w:val="Hyperlink"/>
          </w:rPr>
          <w:t xml:space="preserve">Wilderness, Stanbic sign MoU on supplier financing model</w:t>
        </w:r>
      </w:hyperlink>
      <w:r>
        <w:t xml:space="preserve">.</w:t>
      </w:r>
    </w:p>
    <w:p>
      <w:pPr>
        <w:pStyle w:val="ListParagraph"/>
        <w:numPr>
          <w:ilvl w:val="0"/>
          <w:numId w:val="26"/>
        </w:numPr>
      </w:pPr>
      <w:r>
        <w:t xml:space="preserve">IFC (2024). </w:t>
      </w:r>
      <w:hyperlink r:id="rId76" w:history="1">
        <w:r>
          <w:rPr>
            <w:rStyle w:val="Hyperlink"/>
          </w:rPr>
          <w:t xml:space="preserve">Botswana Secured Transactions and Collateral Registry Project</w:t>
        </w:r>
      </w:hyperlink>
      <w:r>
        <w:t xml:space="preserve">.</w:t>
      </w:r>
    </w:p>
    <w:p>
      <w:pPr>
        <w:pStyle w:val="ListParagraph"/>
        <w:numPr>
          <w:ilvl w:val="0"/>
          <w:numId w:val="26"/>
        </w:numPr>
      </w:pPr>
      <w:r>
        <w:t xml:space="preserve">IndexMundi, from World Bank Enterprise Surveys. </w:t>
      </w:r>
      <w:hyperlink r:id="rId4" w:history="1">
        <w:r>
          <w:rPr>
            <w:rStyle w:val="Hyperlink"/>
          </w:rPr>
          <w:t xml:space="preserve">Firms with female participation in ownership, Africa</w:t>
        </w:r>
      </w:hyperlink>
      <w:r>
        <w:t xml:space="preserve">.</w:t>
      </w:r>
    </w:p>
    <w:p>
      <w:pPr>
        <w:pStyle w:val="ListParagraph"/>
        <w:numPr>
          <w:ilvl w:val="0"/>
          <w:numId w:val="26"/>
        </w:numPr>
      </w:pPr>
      <w:r>
        <w:t xml:space="preserve">Mining Weekly (2026). </w:t>
      </w:r>
      <w:hyperlink r:id="rId16" w:history="1">
        <w:r>
          <w:rPr>
            <w:rStyle w:val="Hyperlink"/>
          </w:rPr>
          <w:t xml:space="preserve">South African suppliers are financing their own customers</w:t>
        </w:r>
      </w:hyperlink>
      <w:r>
        <w:t xml:space="preserve">.</w:t>
      </w:r>
    </w:p>
    <w:p>
      <w:pPr>
        <w:pStyle w:val="ListParagraph"/>
        <w:numPr>
          <w:ilvl w:val="0"/>
          <w:numId w:val="26"/>
        </w:numPr>
      </w:pPr>
      <w:r>
        <w:t xml:space="preserve">NACSO (2019). </w:t>
      </w:r>
      <w:hyperlink r:id="rId13" w:history="1">
        <w:r>
          <w:rPr>
            <w:rStyle w:val="Hyperlink"/>
          </w:rPr>
          <w:t xml:space="preserve">Wildlife Credit for conservancies</w:t>
        </w:r>
      </w:hyperlink>
      <w:r>
        <w:t xml:space="preserve">.</w:t>
      </w:r>
    </w:p>
    <w:p>
      <w:pPr>
        <w:pStyle w:val="ListParagraph"/>
        <w:numPr>
          <w:ilvl w:val="0"/>
          <w:numId w:val="26"/>
        </w:numPr>
      </w:pPr>
      <w:r>
        <w:t xml:space="preserve">Namibian Sun (2025). </w:t>
      </w:r>
      <w:hyperlink r:id="rId77" w:history="1">
        <w:r>
          <w:rPr>
            <w:rStyle w:val="Hyperlink"/>
          </w:rPr>
          <w:t xml:space="preserve">Community conservation creates over 2,000 jobs</w:t>
        </w:r>
      </w:hyperlink>
      <w:r>
        <w:t xml:space="preserve">.</w:t>
      </w:r>
    </w:p>
    <w:p>
      <w:pPr>
        <w:pStyle w:val="ListParagraph"/>
        <w:numPr>
          <w:ilvl w:val="0"/>
          <w:numId w:val="26"/>
        </w:numPr>
      </w:pPr>
      <w:r>
        <w:t xml:space="preserve">SME South Africa. </w:t>
      </w:r>
      <w:hyperlink r:id="rId15" w:history="1">
        <w:r>
          <w:rPr>
            <w:rStyle w:val="Hyperlink"/>
          </w:rPr>
          <w:t xml:space="preserve">How to develop a tourism business payment plan</w:t>
        </w:r>
      </w:hyperlink>
      <w:r>
        <w:t xml:space="preserve">.</w:t>
      </w:r>
    </w:p>
    <w:p>
      <w:pPr>
        <w:pStyle w:val="ListParagraph"/>
        <w:numPr>
          <w:ilvl w:val="0"/>
          <w:numId w:val="26"/>
        </w:numPr>
      </w:pPr>
      <w:r>
        <w:t xml:space="preserve">Statistics Botswana (2025). </w:t>
      </w:r>
      <w:hyperlink r:id="rId5" w:history="1">
        <w:r>
          <w:rPr>
            <w:rStyle w:val="Hyperlink"/>
          </w:rPr>
          <w:t xml:space="preserve">Botswana Multi-Topic Household Survey 2024/25 stats brief</w:t>
        </w:r>
      </w:hyperlink>
      <w:r>
        <w:t xml:space="preserve">.</w:t>
      </w:r>
    </w:p>
    <w:p>
      <w:pPr>
        <w:pStyle w:val="ListParagraph"/>
        <w:numPr>
          <w:ilvl w:val="0"/>
          <w:numId w:val="26"/>
        </w:numPr>
      </w:pPr>
      <w:r>
        <w:t xml:space="preserve">The Brief (2026). </w:t>
      </w:r>
      <w:hyperlink r:id="rId11" w:history="1">
        <w:r>
          <w:rPr>
            <w:rStyle w:val="Hyperlink"/>
          </w:rPr>
          <w:t xml:space="preserve">Credit guarantee scheme disburses N$145m to 153 SMEs</w:t>
        </w:r>
      </w:hyperlink>
      <w:r>
        <w:t xml:space="preserve">.</w:t>
      </w:r>
    </w:p>
    <w:p>
      <w:pPr>
        <w:pStyle w:val="ListParagraph"/>
        <w:numPr>
          <w:ilvl w:val="0"/>
          <w:numId w:val="26"/>
        </w:numPr>
      </w:pPr>
      <w:r>
        <w:t xml:space="preserve">The Herald. </w:t>
      </w:r>
      <w:hyperlink r:id="rId78" w:history="1">
        <w:r>
          <w:rPr>
            <w:rStyle w:val="Hyperlink"/>
          </w:rPr>
          <w:t xml:space="preserve">Women's Bank rolls out USD loans</w:t>
        </w:r>
      </w:hyperlink>
      <w:r>
        <w:t xml:space="preserve">; </w:t>
      </w:r>
      <w:hyperlink r:id="rId79" w:history="1">
        <w:r>
          <w:rPr>
            <w:rStyle w:val="Hyperlink"/>
          </w:rPr>
          <w:t xml:space="preserve">Low uptake for tourism fund</w:t>
        </w:r>
      </w:hyperlink>
      <w:r>
        <w:t xml:space="preserve">.</w:t>
      </w:r>
    </w:p>
    <w:p>
      <w:pPr>
        <w:pStyle w:val="ListParagraph"/>
        <w:numPr>
          <w:ilvl w:val="0"/>
          <w:numId w:val="26"/>
        </w:numPr>
      </w:pPr>
      <w:r>
        <w:t xml:space="preserve">The New Humanitarian. </w:t>
      </w:r>
      <w:hyperlink r:id="rId10" w:history="1">
        <w:r>
          <w:rPr>
            <w:rStyle w:val="Hyperlink"/>
          </w:rPr>
          <w:t xml:space="preserve">Women and land in Zimbabwe</w:t>
        </w:r>
      </w:hyperlink>
      <w:r>
        <w:t xml:space="preserve">.</w:t>
      </w:r>
    </w:p>
    <w:p>
      <w:pPr>
        <w:pStyle w:val="ListParagraph"/>
        <w:numPr>
          <w:ilvl w:val="0"/>
          <w:numId w:val="26"/>
        </w:numPr>
      </w:pPr>
      <w:r>
        <w:t xml:space="preserve">TravelNam. </w:t>
      </w:r>
      <w:hyperlink r:id="rId9" w:history="1">
        <w:r>
          <w:rPr>
            <w:rStyle w:val="Hyperlink"/>
          </w:rPr>
          <w:t xml:space="preserve">The increasing role of women in conservancies</w:t>
        </w:r>
      </w:hyperlink>
      <w:r>
        <w:t xml:space="preserve">.</w:t>
      </w:r>
    </w:p>
    <w:p>
      <w:pPr>
        <w:pStyle w:val="ListParagraph"/>
        <w:numPr>
          <w:ilvl w:val="0"/>
          <w:numId w:val="26"/>
        </w:numPr>
      </w:pPr>
      <w:r>
        <w:t xml:space="preserve">UNCDF. </w:t>
      </w:r>
      <w:hyperlink r:id="rId80" w:history="1">
        <w:r>
          <w:rPr>
            <w:rStyle w:val="Hyperlink"/>
          </w:rPr>
          <w:t xml:space="preserve">UNCDF's first portfolio guarantee launches in Zambia</w:t>
        </w:r>
      </w:hyperlink>
      <w:r>
        <w:t xml:space="preserve">.</w:t>
      </w:r>
    </w:p>
    <w:p>
      <w:pPr>
        <w:pStyle w:val="ListParagraph"/>
        <w:numPr>
          <w:ilvl w:val="0"/>
          <w:numId w:val="26"/>
        </w:numPr>
      </w:pPr>
      <w:r>
        <w:t xml:space="preserve">UNFPA Botswana (2024). </w:t>
      </w:r>
      <w:hyperlink r:id="rId6" w:history="1">
        <w:r>
          <w:rPr>
            <w:rStyle w:val="Hyperlink"/>
          </w:rPr>
          <w:t xml:space="preserve">Youth and population dynamics policy brief</w:t>
        </w:r>
      </w:hyperlink>
      <w:r>
        <w:t xml:space="preserve">.</w:t>
      </w:r>
    </w:p>
    <w:p>
      <w:pPr>
        <w:pStyle w:val="ListParagraph"/>
        <w:numPr>
          <w:ilvl w:val="0"/>
          <w:numId w:val="26"/>
        </w:numPr>
      </w:pPr>
      <w:r>
        <w:t xml:space="preserve">World Bank (2023). </w:t>
      </w:r>
      <w:hyperlink r:id="rId81" w:history="1">
        <w:r>
          <w:rPr>
            <w:rStyle w:val="Hyperlink"/>
          </w:rPr>
          <w:t xml:space="preserve">Zambia receives USD 100 million for green, resilient and transformational tourism</w:t>
        </w:r>
      </w:hyperlink>
      <w:r>
        <w:t xml:space="preserve">.</w:t>
      </w:r>
    </w:p>
    <w:p>
      <w:pPr>
        <w:pStyle w:val="ListParagraph"/>
        <w:numPr>
          <w:ilvl w:val="0"/>
          <w:numId w:val="26"/>
        </w:numPr>
      </w:pPr>
      <w:r>
        <w:t xml:space="preserve">Zambia Monitor (2025). </w:t>
      </w:r>
      <w:hyperlink r:id="rId12" w:history="1">
        <w:r>
          <w:rPr>
            <w:rStyle w:val="Hyperlink"/>
          </w:rPr>
          <w:t xml:space="preserve">ZCGS, FNB Zambia sign K100 million partnership for MSMEs</w:t>
        </w:r>
      </w:hyperlink>
      <w:r>
        <w:t xml:space="preserve">.</w:t>
      </w:r>
    </w:p>
    <w:p>
      <w:pPr>
        <w:pStyle w:val="ListParagraph"/>
        <w:numPr>
          <w:ilvl w:val="0"/>
          <w:numId w:val="26"/>
        </w:numPr>
      </w:pPr>
      <w:r>
        <w:t xml:space="preserve">ZimLII. </w:t>
      </w:r>
      <w:hyperlink r:id="rId82" w:history="1">
        <w:r>
          <w:rPr>
            <w:rStyle w:val="Hyperlink"/>
          </w:rPr>
          <w:t xml:space="preserve">Movable Property Security Interests Act (Zimbabwe)</w:t>
        </w:r>
      </w:hyperlink>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atta.travel/resource/kaza-launches-regenerative-tourism-initiative-backed-by-germany-and-eu.html" TargetMode="External"/><Relationship Id="rId4" Type="http://schemas.openxmlformats.org/officeDocument/2006/relationships/hyperlink" Target="https://www.indexmundi.com/facts/indicators/IC.FRM.FEMO.ZS/rankings/africa" TargetMode="External"/><Relationship Id="rId5" Type="http://schemas.openxmlformats.org/officeDocument/2006/relationships/hyperlink" Target="https://statsbots.org.bw/sites/default/files/Botswana%20Multitopic%20Household%20Survey%20Stats%20Brief%202025.pdf" TargetMode="External"/><Relationship Id="rId6" Type="http://schemas.openxmlformats.org/officeDocument/2006/relationships/hyperlink" Target="https://botswana.unfpa.org/sites/default/files/pub-pdf/2date26-date3/Youth%20and%20Population%20Dynamics%20%20Policy%20Brief%20Botswana%20D4%20%281%29%20%282%29.pdf" TargetMode="External"/><Relationship Id="rId7" Type="http://schemas.openxmlformats.org/officeDocument/2006/relationships/hyperlink" Target="https://www.afi-global.org/wp-content/uploads/2023/07/Zambia-Increasing-Womens-Financial-Inclusion-and-Closing-the-Womens-SME-Credit-Gap-Through-Enabling-Financial-Policy-and-Regulation.pdf" TargetMode="External"/><Relationship Id="rId8" Type="http://schemas.openxmlformats.org/officeDocument/2006/relationships/hyperlink" Target="https://africaportal.org/wp-content/uploads/2023/05/Why_Men__Youth_Shun_Savings_Groups-1.pdf" TargetMode="External"/><Relationship Id="rId9" Type="http://schemas.openxmlformats.org/officeDocument/2006/relationships/hyperlink" Target="https://travelnam.com/?p=1571" TargetMode="External"/><Relationship Id="rId10" Type="http://schemas.openxmlformats.org/officeDocument/2006/relationships/hyperlink" Target="https://www.thenewhumanitarian.org/node/179416" TargetMode="External"/><Relationship Id="rId11" Type="http://schemas.openxmlformats.org/officeDocument/2006/relationships/hyperlink" Target="https://thebrief.com.na/2026/04/credit-guarantee-scheme-disburses-n145m-to-153-smes/" TargetMode="External"/><Relationship Id="rId12" Type="http://schemas.openxmlformats.org/officeDocument/2006/relationships/hyperlink" Target="https://www.zambiamonitor.com/?p=69748" TargetMode="External"/><Relationship Id="rId13" Type="http://schemas.openxmlformats.org/officeDocument/2006/relationships/hyperlink" Target="https://www.nacso.org.na/news/2019/07/wildlife-credit-for-conservancies" TargetMode="External"/><Relationship Id="rId14" Type="http://schemas.openxmlformats.org/officeDocument/2006/relationships/hyperlink" Target="https://botswanalaws.com/bulletin/principal-legislation/bulletin-2022/act-5-of-2022-movable-property-security-interests-act" TargetMode="External"/><Relationship Id="rId15" Type="http://schemas.openxmlformats.org/officeDocument/2006/relationships/hyperlink" Target="https://smesouthafrica.co.za/?p=79358" TargetMode="External"/><Relationship Id="rId16" Type="http://schemas.openxmlformats.org/officeDocument/2006/relationships/hyperlink" Target="https://www.miningweekly.com/article/south-african-suppliers-are-financing-their-own-customers-2026-10-01" TargetMode="External"/><Relationship Id="rId17" Type="http://schemas.openxmlformats.org/officeDocument/2006/relationships/hyperlink" Target="https://dailynews.gov.bw/news-detail/87299" TargetMode="External"/><Relationship Id="rId18" Type="http://schemas.openxmlformats.org/officeDocument/2006/relationships/image" Target="media/image1.png"/><Relationship Id="rId19" Type="http://schemas.openxmlformats.org/officeDocument/2006/relationships/hyperlink" Target="https://kavangozambezi.org" TargetMode="External"/><Relationship Id="rId20" Type="http://schemas.openxmlformats.org/officeDocument/2006/relationships/hyperlink" Target="https://giz.de" TargetMode="External"/><Relationship Id="rId21" Type="http://schemas.openxmlformats.org/officeDocument/2006/relationships/hyperlink" Target="https://eeas.europa.eu" TargetMode="External"/><Relationship Id="rId22" Type="http://schemas.openxmlformats.org/officeDocument/2006/relationships/hyperlink" Target="https://kfw.de" TargetMode="External"/><Relationship Id="rId23" Type="http://schemas.openxmlformats.org/officeDocument/2006/relationships/hyperlink" Target="https://africanguaranteefund.com" TargetMode="External"/><Relationship Id="rId24" Type="http://schemas.openxmlformats.org/officeDocument/2006/relationships/hyperlink" Target="https://afdb.org" TargetMode="External"/><Relationship Id="rId25" Type="http://schemas.openxmlformats.org/officeDocument/2006/relationships/hyperlink" Target="https://ifc.org" TargetMode="External"/><Relationship Id="rId26" Type="http://schemas.openxmlformats.org/officeDocument/2006/relationships/hyperlink" Target="https://worldbank.org" TargetMode="External"/><Relationship Id="rId27" Type="http://schemas.openxmlformats.org/officeDocument/2006/relationships/hyperlink" Target="https://peaceparks.org" TargetMode="External"/><Relationship Id="rId28" Type="http://schemas.openxmlformats.org/officeDocument/2006/relationships/hyperlink" Target="https://wwf.panda.org" TargetMode="External"/><Relationship Id="rId29" Type="http://schemas.openxmlformats.org/officeDocument/2006/relationships/hyperlink" Target="https://awf.org" TargetMode="External"/><Relationship Id="rId30" Type="http://schemas.openxmlformats.org/officeDocument/2006/relationships/hyperlink" Target="https://conservation.org" TargetMode="External"/><Relationship Id="rId31" Type="http://schemas.openxmlformats.org/officeDocument/2006/relationships/hyperlink" Target="https://atta.travel" TargetMode="External"/><Relationship Id="rId32" Type="http://schemas.openxmlformats.org/officeDocument/2006/relationships/hyperlink" Target="https://ceda.co.bw" TargetMode="External"/><Relationship Id="rId33" Type="http://schemas.openxmlformats.org/officeDocument/2006/relationships/hyperlink" Target="https://lea.co.bw" TargetMode="External"/><Relationship Id="rId34" Type="http://schemas.openxmlformats.org/officeDocument/2006/relationships/hyperlink" Target="https://ndb.bw" TargetMode="External"/><Relationship Id="rId35" Type="http://schemas.openxmlformats.org/officeDocument/2006/relationships/hyperlink" Target="https://stanbicbank.co.bw" TargetMode="External"/><Relationship Id="rId36" Type="http://schemas.openxmlformats.org/officeDocument/2006/relationships/hyperlink" Target="https://absa.co.bw" TargetMode="External"/><Relationship Id="rId37" Type="http://schemas.openxmlformats.org/officeDocument/2006/relationships/hyperlink" Target="https://fnbbotswana.co.bw" TargetMode="External"/><Relationship Id="rId38" Type="http://schemas.openxmlformats.org/officeDocument/2006/relationships/hyperlink" Target="https://letshego.com" TargetMode="External"/><Relationship Id="rId39" Type="http://schemas.openxmlformats.org/officeDocument/2006/relationships/hyperlink" Target="https://botswanatourism.co.bw" TargetMode="External"/><Relationship Id="rId40" Type="http://schemas.openxmlformats.org/officeDocument/2006/relationships/hyperlink" Target="https://hatab.bw" TargetMode="External"/><Relationship Id="rId41" Type="http://schemas.openxmlformats.org/officeDocument/2006/relationships/hyperlink" Target="https://wildernessdestinations.com" TargetMode="External"/><Relationship Id="rId42" Type="http://schemas.openxmlformats.org/officeDocument/2006/relationships/hyperlink" Target="https://gov.bw" TargetMode="External"/><Relationship Id="rId43" Type="http://schemas.openxmlformats.org/officeDocument/2006/relationships/hyperlink" Target="https://bankofbotswana.bw" TargetMode="External"/><Relationship Id="rId44" Type="http://schemas.openxmlformats.org/officeDocument/2006/relationships/hyperlink" Target="https://dbn.com.na" TargetMode="External"/><Relationship Id="rId45" Type="http://schemas.openxmlformats.org/officeDocument/2006/relationships/hyperlink" Target="https://eif.org.na" TargetMode="External"/><Relationship Id="rId46" Type="http://schemas.openxmlformats.org/officeDocument/2006/relationships/hyperlink" Target="https://nacso.org.na" TargetMode="External"/><Relationship Id="rId47" Type="http://schemas.openxmlformats.org/officeDocument/2006/relationships/hyperlink" Target="https://ccfn.org.na" TargetMode="External"/><Relationship Id="rId48" Type="http://schemas.openxmlformats.org/officeDocument/2006/relationships/hyperlink" Target="https://meft.gov.na" TargetMode="External"/><Relationship Id="rId49" Type="http://schemas.openxmlformats.org/officeDocument/2006/relationships/hyperlink" Target="https://namibiatourism.com.na" TargetMode="External"/><Relationship Id="rId50" Type="http://schemas.openxmlformats.org/officeDocument/2006/relationships/hyperlink" Target="https://bankwindhoek.com.na" TargetMode="External"/><Relationship Id="rId51" Type="http://schemas.openxmlformats.org/officeDocument/2006/relationships/hyperlink" Target="https://fnbnamibia.com.na" TargetMode="External"/><Relationship Id="rId52" Type="http://schemas.openxmlformats.org/officeDocument/2006/relationships/hyperlink" Target="https://nasria.com.na" TargetMode="External"/><Relationship Id="rId53" Type="http://schemas.openxmlformats.org/officeDocument/2006/relationships/hyperlink" Target="https://gondwana-collection.com" TargetMode="External"/><Relationship Id="rId54" Type="http://schemas.openxmlformats.org/officeDocument/2006/relationships/hyperlink" Target="https://ceec.org.zm" TargetMode="External"/><Relationship Id="rId55" Type="http://schemas.openxmlformats.org/officeDocument/2006/relationships/hyperlink" Target="https://boz.zm" TargetMode="External"/><Relationship Id="rId56" Type="http://schemas.openxmlformats.org/officeDocument/2006/relationships/hyperlink" Target="https://fnbzambia.co.zm" TargetMode="External"/><Relationship Id="rId57" Type="http://schemas.openxmlformats.org/officeDocument/2006/relationships/hyperlink" Target="https://absa.co.zm" TargetMode="External"/><Relationship Id="rId58" Type="http://schemas.openxmlformats.org/officeDocument/2006/relationships/hyperlink" Target="https://stanbicbank.co.zm" TargetMode="External"/><Relationship Id="rId59" Type="http://schemas.openxmlformats.org/officeDocument/2006/relationships/hyperlink" Target="https://finca.org" TargetMode="External"/><Relationship Id="rId60" Type="http://schemas.openxmlformats.org/officeDocument/2006/relationships/hyperlink" Target="https://mot.gov.zm" TargetMode="External"/><Relationship Id="rId61" Type="http://schemas.openxmlformats.org/officeDocument/2006/relationships/hyperlink" Target="https://zambia.travel" TargetMode="External"/><Relationship Id="rId62" Type="http://schemas.openxmlformats.org/officeDocument/2006/relationships/hyperlink" Target="https://zda.org.zm" TargetMode="External"/><Relationship Id="rId63" Type="http://schemas.openxmlformats.org/officeDocument/2006/relationships/hyperlink" Target="https://smedco.co.zw" TargetMode="External"/><Relationship Id="rId64" Type="http://schemas.openxmlformats.org/officeDocument/2006/relationships/hyperlink" Target="https://ecgc.co.zw" TargetMode="External"/><Relationship Id="rId65" Type="http://schemas.openxmlformats.org/officeDocument/2006/relationships/hyperlink" Target="https://womensbank.co.zw" TargetMode="External"/><Relationship Id="rId66" Type="http://schemas.openxmlformats.org/officeDocument/2006/relationships/hyperlink" Target="https://cbz.co.zw" TargetMode="External"/><Relationship Id="rId67" Type="http://schemas.openxmlformats.org/officeDocument/2006/relationships/hyperlink" Target="https://stanbicbank.co.zw" TargetMode="External"/><Relationship Id="rId68" Type="http://schemas.openxmlformats.org/officeDocument/2006/relationships/hyperlink" Target="https://idbz.co.zw" TargetMode="External"/><Relationship Id="rId69" Type="http://schemas.openxmlformats.org/officeDocument/2006/relationships/hyperlink" Target="https://zimbabwetourism.net" TargetMode="External"/><Relationship Id="rId70" Type="http://schemas.openxmlformats.org/officeDocument/2006/relationships/hyperlink" Target="https://zimparks.org.zw" TargetMode="External"/><Relationship Id="rId71" Type="http://schemas.openxmlformats.org/officeDocument/2006/relationships/hyperlink" Target="https://wildhorizons.co.za" TargetMode="External"/><Relationship Id="rId72" Type="http://schemas.openxmlformats.org/officeDocument/2006/relationships/hyperlink" Target="https://africaalbidatourism.com" TargetMode="External"/><Relationship Id="rId73" Type="http://schemas.openxmlformats.org/officeDocument/2006/relationships/hyperlink" Target="https://bda.ao" TargetMode="External"/><Relationship Id="rId74" Type="http://schemas.openxmlformats.org/officeDocument/2006/relationships/hyperlink" Target="https://halotrust.org" TargetMode="External"/><Relationship Id="rId75" Type="http://schemas.openxmlformats.org/officeDocument/2006/relationships/hyperlink" Target="https://african.business/2024/04/partner-content/afawa-fast-tracks-lending-to-women-led-businesses" TargetMode="External"/><Relationship Id="rId76" Type="http://schemas.openxmlformats.org/officeDocument/2006/relationships/hyperlink" Target="https://disclosures.ifc.org/project-detail/AS/607303/botswana-secured-transactions-and-collateral-registry-project" TargetMode="External"/><Relationship Id="rId77" Type="http://schemas.openxmlformats.org/officeDocument/2006/relationships/hyperlink" Target="https://namibiansun.com/tourism/community-conservation-creates-over-2-000-jobs2025-03-11150675" TargetMode="External"/><Relationship Id="rId78" Type="http://schemas.openxmlformats.org/officeDocument/2006/relationships/hyperlink" Target="https://www.heraldonline.co.zw/womens-bank-rolls-out-usd-loans/" TargetMode="External"/><Relationship Id="rId79" Type="http://schemas.openxmlformats.org/officeDocument/2006/relationships/hyperlink" Target="https://www.heraldonline.co.zw/low-uptake-for-tourism-fund/" TargetMode="External"/><Relationship Id="rId80" Type="http://schemas.openxmlformats.org/officeDocument/2006/relationships/hyperlink" Target="https://www.uncdf.org/article/8069/uncdfs-first-portfolio-guarantee-launches-in-zambia-to-improve-access-to-finance-for-msmes" TargetMode="External"/><Relationship Id="rId81" Type="http://schemas.openxmlformats.org/officeDocument/2006/relationships/hyperlink" Target="https://www.worldbank.org/en/news/press-release/2023/06/12/zambia-afe-receives-100-million-boost-for-green-resilient-and-transformational-tourism-development" TargetMode="External"/><Relationship Id="rId82" Type="http://schemas.openxmlformats.org/officeDocument/2006/relationships/hyperlink" Target="https://zimlii.org/akn/zw/act/2017/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KAZA Tourism MSME Financial Barriers &amp; Opportunities Report</dc:title>
  <dc:description>Claude Docs node/01130ec7-8596@16 docx-w6</dc:description>
  <cp:revision>16</cp:revision>
</cp:coreProperties>
</file>