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left"/>
        <w:rPr/>
      </w:pPr>
      <w:r>
        <w:rPr>
          <w:b/>
          <w:color w:val="1F3A5F"/>
          <w:sz w:val="44"/>
        </w:rPr>
        <w:t>KAZA Tourism MSME Financial Barriers &amp; Opportunities Report</w:t>
      </w:r>
    </w:p>
    <w:p>
      <w:pPr>
        <w:pStyle w:val="Normal"/>
        <w:rPr/>
      </w:pPr>
      <w:r>
        <w:rPr>
          <w:sz w:val="24"/>
        </w:rPr>
        <w:t>Access to finance for women-, youth- and community-led tourism MSMEs in the Kavango Zambezi Transfrontier Conservation Area</w:t>
      </w:r>
    </w:p>
    <w:p>
      <w:pPr>
        <w:pStyle w:val="Normal"/>
        <w:rPr/>
      </w:pPr>
      <w:r>
        <w:rPr>
          <w:color w:val="595959"/>
          <w:sz w:val="21"/>
        </w:rPr>
        <w:t>Angola · Botswana · Namibia · Zambia · Zimbabwe  |  Desk review, October 2026</w:t>
      </w:r>
    </w:p>
    <w:p>
      <w:pPr>
        <w:pStyle w:val="Normal"/>
        <w:spacing w:before="480" w:after="160"/>
        <w:rPr/>
      </w:pPr>
      <w:r>
        <w:rPr>
          <w:b/>
          <w:sz w:val="28"/>
        </w:rPr>
        <w:t>Contents</w:t>
      </w:r>
    </w:p>
    <w:sdt>
      <w:sdtPr>
        <w:docPartObj>
          <w:docPartGallery w:val="Table of Contents"/>
          <w:docPartUnique w:val="true"/>
        </w:docPartObj>
      </w:sdtPr>
      <w:sdtContent>
        <w:p>
          <w:pPr>
            <w:pStyle w:val="TOC1"/>
            <w:tabs>
              <w:tab w:val="clear" w:pos="9412"/>
              <w:tab w:val="right" w:pos="9411" w:leader="dot"/>
            </w:tabs>
            <w:rPr/>
          </w:pPr>
          <w:r>
            <w:fldChar w:fldCharType="begin"/>
          </w:r>
          <w:r>
            <w:rPr>
              <w:webHidden/>
              <w:rStyle w:val="IndexLink"/>
            </w:rPr>
            <w:instrText xml:space="preserve"> TOC \z \o "1-2" \u \h</w:instrText>
          </w:r>
          <w:r>
            <w:rPr>
              <w:webHidden/>
              <w:rStyle w:val="IndexLink"/>
            </w:rPr>
            <w:fldChar w:fldCharType="separate"/>
          </w:r>
          <w:hyperlink w:anchor="__RefHeading___Toc9508_1627482358">
            <w:r>
              <w:rPr>
                <w:webHidden/>
                <w:rStyle w:val="IndexLink"/>
              </w:rPr>
              <w:t>Executive summary</w:t>
              <w:tab/>
              <w:t>4</w:t>
            </w:r>
          </w:hyperlink>
        </w:p>
        <w:p>
          <w:pPr>
            <w:pStyle w:val="TOC1"/>
            <w:tabs>
              <w:tab w:val="clear" w:pos="9412"/>
              <w:tab w:val="right" w:pos="9411" w:leader="dot"/>
            </w:tabs>
            <w:rPr/>
          </w:pPr>
          <w:hyperlink w:anchor="__RefHeading___Toc9510_1627482358">
            <w:r>
              <w:rPr>
                <w:webHidden/>
                <w:rStyle w:val="IndexLink"/>
              </w:rPr>
              <w:t>1. Scope and method</w:t>
              <w:tab/>
              <w:t>5</w:t>
            </w:r>
          </w:hyperlink>
        </w:p>
        <w:p>
          <w:pPr>
            <w:pStyle w:val="TOC1"/>
            <w:tabs>
              <w:tab w:val="clear" w:pos="9412"/>
              <w:tab w:val="right" w:pos="9411" w:leader="dot"/>
            </w:tabs>
            <w:rPr/>
          </w:pPr>
          <w:hyperlink w:anchor="__RefHeading___Toc9512_1627482358">
            <w:r>
              <w:rPr>
                <w:webHidden/>
                <w:rStyle w:val="IndexLink"/>
              </w:rPr>
              <w:t>2. The KAZA tourism MSME landscape</w:t>
              <w:tab/>
              <w:t>5</w:t>
            </w:r>
          </w:hyperlink>
        </w:p>
        <w:p>
          <w:pPr>
            <w:pStyle w:val="TOC2"/>
            <w:tabs>
              <w:tab w:val="clear" w:pos="9129"/>
              <w:tab w:val="right" w:pos="9411" w:leader="dot"/>
            </w:tabs>
            <w:rPr/>
          </w:pPr>
          <w:hyperlink w:anchor="__RefHeading___Toc9514_1627482358">
            <w:r>
              <w:rPr>
                <w:webHidden/>
                <w:rStyle w:val="IndexLink"/>
              </w:rPr>
              <w:t>2.1 MSME typology and who leads it</w:t>
              <w:tab/>
              <w:t>6</w:t>
            </w:r>
          </w:hyperlink>
        </w:p>
        <w:p>
          <w:pPr>
            <w:pStyle w:val="TOC2"/>
            <w:tabs>
              <w:tab w:val="clear" w:pos="9129"/>
              <w:tab w:val="right" w:pos="9411" w:leader="dot"/>
            </w:tabs>
            <w:rPr/>
          </w:pPr>
          <w:hyperlink w:anchor="__RefHeading___Toc9516_1627482358">
            <w:r>
              <w:rPr>
                <w:webHidden/>
                <w:rStyle w:val="IndexLink"/>
              </w:rPr>
              <w:t>2.2 Gender- and age-disaggregated data</w:t>
              <w:tab/>
              <w:t>6</w:t>
            </w:r>
          </w:hyperlink>
        </w:p>
        <w:p>
          <w:pPr>
            <w:pStyle w:val="TOC1"/>
            <w:tabs>
              <w:tab w:val="clear" w:pos="9412"/>
              <w:tab w:val="right" w:pos="9411" w:leader="dot"/>
            </w:tabs>
            <w:rPr/>
          </w:pPr>
          <w:hyperlink w:anchor="__RefHeading___Toc9518_1627482358">
            <w:r>
              <w:rPr>
                <w:webHidden/>
                <w:rStyle w:val="IndexLink"/>
              </w:rPr>
              <w:t>3. Financial institutions: risk views and willingness to lend to women and youth</w:t>
              <w:tab/>
              <w:t>8</w:t>
            </w:r>
          </w:hyperlink>
        </w:p>
        <w:p>
          <w:pPr>
            <w:pStyle w:val="TOC2"/>
            <w:tabs>
              <w:tab w:val="clear" w:pos="9129"/>
              <w:tab w:val="right" w:pos="9411" w:leader="dot"/>
            </w:tabs>
            <w:rPr/>
          </w:pPr>
          <w:hyperlink w:anchor="__RefHeading___Toc9520_1627482358">
            <w:r>
              <w:rPr>
                <w:webHidden/>
                <w:rStyle w:val="IndexLink"/>
              </w:rPr>
              <w:t>3.1 How lenders view risk by MSME category</w:t>
              <w:tab/>
              <w:t>8</w:t>
            </w:r>
          </w:hyperlink>
        </w:p>
        <w:p>
          <w:pPr>
            <w:pStyle w:val="TOC2"/>
            <w:tabs>
              <w:tab w:val="clear" w:pos="9129"/>
              <w:tab w:val="right" w:pos="9411" w:leader="dot"/>
            </w:tabs>
            <w:rPr/>
          </w:pPr>
          <w:hyperlink w:anchor="__RefHeading___Toc9522_1627482358">
            <w:r>
              <w:rPr>
                <w:webHidden/>
                <w:rStyle w:val="IndexLink"/>
              </w:rPr>
              <w:t>3.2 Willingness to adopt gender-lens and youth-inclusive strategies</w:t>
              <w:tab/>
              <w:t>9</w:t>
            </w:r>
          </w:hyperlink>
        </w:p>
        <w:p>
          <w:pPr>
            <w:pStyle w:val="TOC1"/>
            <w:tabs>
              <w:tab w:val="clear" w:pos="9412"/>
              <w:tab w:val="right" w:pos="9411" w:leader="dot"/>
            </w:tabs>
            <w:rPr/>
          </w:pPr>
          <w:hyperlink w:anchor="__RefHeading___Toc9524_1627482358">
            <w:r>
              <w:rPr>
                <w:webHidden/>
                <w:rStyle w:val="IndexLink"/>
              </w:rPr>
              <w:t>4. Systemic enablers, leverage points and informal finance</w:t>
              <w:tab/>
              <w:t>9</w:t>
            </w:r>
          </w:hyperlink>
        </w:p>
        <w:p>
          <w:pPr>
            <w:pStyle w:val="TOC2"/>
            <w:tabs>
              <w:tab w:val="clear" w:pos="9129"/>
              <w:tab w:val="right" w:pos="9411" w:leader="dot"/>
            </w:tabs>
            <w:rPr/>
          </w:pPr>
          <w:hyperlink w:anchor="__RefHeading___Toc9526_1627482358">
            <w:r>
              <w:rPr>
                <w:webHidden/>
                <w:rStyle w:val="IndexLink"/>
              </w:rPr>
              <w:t>4.1 Systemic enablers and leverage points</w:t>
              <w:tab/>
              <w:t>10</w:t>
            </w:r>
          </w:hyperlink>
        </w:p>
        <w:p>
          <w:pPr>
            <w:pStyle w:val="TOC2"/>
            <w:tabs>
              <w:tab w:val="clear" w:pos="9129"/>
              <w:tab w:val="right" w:pos="9411" w:leader="dot"/>
            </w:tabs>
            <w:rPr/>
          </w:pPr>
          <w:hyperlink w:anchor="__RefHeading___Toc9528_1627482358">
            <w:r>
              <w:rPr>
                <w:webHidden/>
                <w:rStyle w:val="IndexLink"/>
              </w:rPr>
              <w:t>4.2 Informal and community-based finance among women and youth</w:t>
              <w:tab/>
              <w:t>10</w:t>
            </w:r>
          </w:hyperlink>
        </w:p>
        <w:p>
          <w:pPr>
            <w:pStyle w:val="TOC1"/>
            <w:tabs>
              <w:tab w:val="clear" w:pos="9412"/>
              <w:tab w:val="right" w:pos="9411" w:leader="dot"/>
            </w:tabs>
            <w:rPr/>
          </w:pPr>
          <w:hyperlink w:anchor="__RefHeading___Toc9530_1627482358">
            <w:r>
              <w:rPr>
                <w:webHidden/>
                <w:rStyle w:val="IndexLink"/>
              </w:rPr>
              <w:t>5. Financing requirements by type, size and growth stage</w:t>
              <w:tab/>
              <w:t>11</w:t>
            </w:r>
          </w:hyperlink>
        </w:p>
        <w:p>
          <w:pPr>
            <w:pStyle w:val="TOC2"/>
            <w:tabs>
              <w:tab w:val="clear" w:pos="9129"/>
              <w:tab w:val="right" w:pos="9411" w:leader="dot"/>
            </w:tabs>
            <w:rPr/>
          </w:pPr>
          <w:hyperlink w:anchor="__RefHeading___Toc9532_1627482358">
            <w:r>
              <w:rPr>
                <w:webHidden/>
                <w:rStyle w:val="IndexLink"/>
              </w:rPr>
              <w:t>5.1 By growth stage</w:t>
              <w:tab/>
              <w:t>12</w:t>
            </w:r>
          </w:hyperlink>
        </w:p>
        <w:p>
          <w:pPr>
            <w:pStyle w:val="TOC2"/>
            <w:tabs>
              <w:tab w:val="clear" w:pos="9129"/>
              <w:tab w:val="right" w:pos="9411" w:leader="dot"/>
            </w:tabs>
            <w:rPr/>
          </w:pPr>
          <w:hyperlink w:anchor="__RefHeading___Toc9534_1627482358">
            <w:r>
              <w:rPr>
                <w:webHidden/>
                <w:rStyle w:val="IndexLink"/>
              </w:rPr>
              <w:t>5.2 By MSME type and size</w:t>
              <w:tab/>
              <w:t>12</w:t>
            </w:r>
          </w:hyperlink>
        </w:p>
        <w:p>
          <w:pPr>
            <w:pStyle w:val="TOC2"/>
            <w:tabs>
              <w:tab w:val="clear" w:pos="9129"/>
              <w:tab w:val="right" w:pos="9411" w:leader="dot"/>
            </w:tabs>
            <w:rPr/>
          </w:pPr>
          <w:hyperlink w:anchor="__RefHeading___Toc9536_1627482358">
            <w:r>
              <w:rPr>
                <w:webHidden/>
                <w:rStyle w:val="IndexLink"/>
              </w:rPr>
              <w:t>5.3 What this means for instruments</w:t>
              <w:tab/>
              <w:t>13</w:t>
            </w:r>
          </w:hyperlink>
        </w:p>
        <w:p>
          <w:pPr>
            <w:pStyle w:val="TOC1"/>
            <w:tabs>
              <w:tab w:val="clear" w:pos="9412"/>
              <w:tab w:val="right" w:pos="9411" w:leader="dot"/>
            </w:tabs>
            <w:rPr/>
          </w:pPr>
          <w:hyperlink w:anchor="__RefHeading___Toc9538_1627482358">
            <w:r>
              <w:rPr>
                <w:webHidden/>
                <w:rStyle w:val="IndexLink"/>
              </w:rPr>
              <w:t>6. Thematic assessments</w:t>
              <w:tab/>
              <w:t>13</w:t>
            </w:r>
          </w:hyperlink>
        </w:p>
        <w:p>
          <w:pPr>
            <w:pStyle w:val="TOC2"/>
            <w:tabs>
              <w:tab w:val="clear" w:pos="9129"/>
              <w:tab w:val="right" w:pos="9411" w:leader="dot"/>
            </w:tabs>
            <w:rPr/>
          </w:pPr>
          <w:hyperlink w:anchor="__RefHeading___Toc9540_1627482358">
            <w:r>
              <w:rPr>
                <w:webHidden/>
                <w:rStyle w:val="IndexLink"/>
              </w:rPr>
              <w:t>6.1 Tourism seasonality, cash flow and debt eligibility (i)</w:t>
              <w:tab/>
              <w:t>13</w:t>
            </w:r>
          </w:hyperlink>
        </w:p>
        <w:p>
          <w:pPr>
            <w:pStyle w:val="TOC2"/>
            <w:tabs>
              <w:tab w:val="clear" w:pos="9129"/>
              <w:tab w:val="right" w:pos="9411" w:leader="dot"/>
            </w:tabs>
            <w:rPr/>
          </w:pPr>
          <w:hyperlink w:anchor="__RefHeading___Toc9542_1627482358">
            <w:r>
              <w:rPr>
                <w:webHidden/>
                <w:rStyle w:val="IndexLink"/>
              </w:rPr>
              <w:t>6.2 Land tenure, asset ownership and alternative collateral (ii)</w:t>
              <w:tab/>
              <w:t>14</w:t>
            </w:r>
          </w:hyperlink>
        </w:p>
        <w:p>
          <w:pPr>
            <w:pStyle w:val="TOC2"/>
            <w:tabs>
              <w:tab w:val="clear" w:pos="9129"/>
              <w:tab w:val="right" w:pos="9411" w:leader="dot"/>
            </w:tabs>
            <w:rPr/>
          </w:pPr>
          <w:hyperlink w:anchor="__RefHeading___Toc9544_1627482358">
            <w:r>
              <w:rPr>
                <w:webHidden/>
                <w:rStyle w:val="IndexLink"/>
              </w:rPr>
              <w:t>6.3 Power imbalances between large operators and MSMEs (iii)</w:t>
              <w:tab/>
              <w:t>16</w:t>
            </w:r>
          </w:hyperlink>
        </w:p>
        <w:p>
          <w:pPr>
            <w:pStyle w:val="TOC2"/>
            <w:tabs>
              <w:tab w:val="clear" w:pos="9129"/>
              <w:tab w:val="right" w:pos="9411" w:leader="dot"/>
            </w:tabs>
            <w:rPr/>
          </w:pPr>
          <w:hyperlink w:anchor="__RefHeading___Toc9546_1627482358">
            <w:r>
              <w:rPr>
                <w:webHidden/>
                <w:rStyle w:val="IndexLink"/>
              </w:rPr>
              <w:t>6.4 Root causes (iv)</w:t>
              <w:tab/>
              <w:t>18</w:t>
            </w:r>
          </w:hyperlink>
        </w:p>
        <w:p>
          <w:pPr>
            <w:pStyle w:val="TOC2"/>
            <w:tabs>
              <w:tab w:val="clear" w:pos="9129"/>
              <w:tab w:val="right" w:pos="9411" w:leader="dot"/>
            </w:tabs>
            <w:rPr/>
          </w:pPr>
          <w:hyperlink w:anchor="__RefHeading___Toc9548_1627482358">
            <w:r>
              <w:rPr>
                <w:webHidden/>
                <w:rStyle w:val="IndexLink"/>
              </w:rPr>
              <w:t>6.5 How financial institutions view risk across MSME categories (v)</w:t>
              <w:tab/>
              <w:t>18</w:t>
            </w:r>
          </w:hyperlink>
        </w:p>
        <w:p>
          <w:pPr>
            <w:pStyle w:val="TOC2"/>
            <w:tabs>
              <w:tab w:val="clear" w:pos="9129"/>
              <w:tab w:val="right" w:pos="9411" w:leader="dot"/>
            </w:tabs>
            <w:rPr/>
          </w:pPr>
          <w:hyperlink w:anchor="__RefHeading___Toc9550_1627482358">
            <w:r>
              <w:rPr>
                <w:webHidden/>
                <w:rStyle w:val="IndexLink"/>
              </w:rPr>
              <w:t>6.6 Lender expectations, gaps and regenerative NBT knowledge (vi)</w:t>
              <w:tab/>
              <w:t>19</w:t>
            </w:r>
          </w:hyperlink>
        </w:p>
        <w:p>
          <w:pPr>
            <w:pStyle w:val="TOC2"/>
            <w:tabs>
              <w:tab w:val="clear" w:pos="9129"/>
              <w:tab w:val="right" w:pos="9411" w:leader="dot"/>
            </w:tabs>
            <w:rPr/>
          </w:pPr>
          <w:hyperlink w:anchor="__RefHeading___Toc9552_1627482358">
            <w:r>
              <w:rPr>
                <w:webHidden/>
                <w:rStyle w:val="IndexLink"/>
              </w:rPr>
              <w:t>6.7 Trust-building dialogue topics (vii)</w:t>
              <w:tab/>
              <w:t>19</w:t>
            </w:r>
          </w:hyperlink>
        </w:p>
        <w:p>
          <w:pPr>
            <w:pStyle w:val="TOC2"/>
            <w:tabs>
              <w:tab w:val="clear" w:pos="9129"/>
              <w:tab w:val="right" w:pos="9411" w:leader="dot"/>
            </w:tabs>
            <w:rPr/>
          </w:pPr>
          <w:hyperlink w:anchor="__RefHeading___Toc9554_1627482358">
            <w:r>
              <w:rPr>
                <w:webHidden/>
                <w:rStyle w:val="IndexLink"/>
              </w:rPr>
              <w:t>6.8 Barriers and opportunities for connecting MSMEs and capital providers (viii)</w:t>
              <w:tab/>
              <w:t>20</w:t>
            </w:r>
          </w:hyperlink>
        </w:p>
        <w:p>
          <w:pPr>
            <w:pStyle w:val="TOC2"/>
            <w:tabs>
              <w:tab w:val="clear" w:pos="9129"/>
              <w:tab w:val="right" w:pos="9411" w:leader="dot"/>
            </w:tabs>
            <w:rPr/>
          </w:pPr>
          <w:hyperlink w:anchor="__RefHeading___Toc9556_1627482358">
            <w:r>
              <w:rPr>
                <w:webHidden/>
                <w:rStyle w:val="IndexLink"/>
              </w:rPr>
              <w:t>6.9 Preferences: seed funding vs growth grants (ix)</w:t>
              <w:tab/>
              <w:t>21</w:t>
            </w:r>
          </w:hyperlink>
        </w:p>
        <w:p>
          <w:pPr>
            <w:pStyle w:val="TOC2"/>
            <w:tabs>
              <w:tab w:val="clear" w:pos="9129"/>
              <w:tab w:val="right" w:pos="9411" w:leader="dot"/>
            </w:tabs>
            <w:rPr/>
          </w:pPr>
          <w:hyperlink w:anchor="__RefHeading___Toc9558_1627482358">
            <w:r>
              <w:rPr>
                <w:webHidden/>
                <w:rStyle w:val="IndexLink"/>
              </w:rPr>
              <w:t>6.10 Realistic matching contribution capacity (x)</w:t>
              <w:tab/>
              <w:t>21</w:t>
            </w:r>
          </w:hyperlink>
        </w:p>
        <w:p>
          <w:pPr>
            <w:pStyle w:val="TOC2"/>
            <w:tabs>
              <w:tab w:val="clear" w:pos="9129"/>
              <w:tab w:val="right" w:pos="9411" w:leader="dot"/>
            </w:tabs>
            <w:rPr/>
          </w:pPr>
          <w:hyperlink w:anchor="__RefHeading___Toc9560_1627482358">
            <w:r>
              <w:rPr>
                <w:webHidden/>
                <w:rStyle w:val="IndexLink"/>
              </w:rPr>
              <w:t>6.11 Funding needs by type (xi)</w:t>
              <w:tab/>
              <w:t>22</w:t>
            </w:r>
          </w:hyperlink>
        </w:p>
        <w:p>
          <w:pPr>
            <w:pStyle w:val="TOC1"/>
            <w:tabs>
              <w:tab w:val="clear" w:pos="9412"/>
              <w:tab w:val="right" w:pos="9411" w:leader="dot"/>
            </w:tabs>
            <w:rPr/>
          </w:pPr>
          <w:hyperlink w:anchor="__RefHeading___Toc9562_1627482358">
            <w:r>
              <w:rPr>
                <w:webHidden/>
                <w:rStyle w:val="IndexLink"/>
              </w:rPr>
              <w:t>7. Recommendations</w:t>
              <w:tab/>
              <w:t>23</w:t>
            </w:r>
          </w:hyperlink>
        </w:p>
        <w:p>
          <w:pPr>
            <w:pStyle w:val="TOC1"/>
            <w:tabs>
              <w:tab w:val="clear" w:pos="9412"/>
              <w:tab w:val="right" w:pos="9411" w:leader="dot"/>
            </w:tabs>
            <w:rPr/>
          </w:pPr>
          <w:hyperlink w:anchor="__RefHeading___Toc9564_1627482358">
            <w:r>
              <w:rPr>
                <w:webHidden/>
                <w:rStyle w:val="IndexLink"/>
              </w:rPr>
              <w:t>8. Grant facility design: KAZA R-NBT Enterprise Facility</w:t>
              <w:tab/>
              <w:t>24</w:t>
            </w:r>
          </w:hyperlink>
        </w:p>
        <w:p>
          <w:pPr>
            <w:pStyle w:val="TOC2"/>
            <w:tabs>
              <w:tab w:val="clear" w:pos="9129"/>
              <w:tab w:val="right" w:pos="9411" w:leader="dot"/>
            </w:tabs>
            <w:rPr/>
          </w:pPr>
          <w:hyperlink w:anchor="__RefHeading___Toc9566_1627482358">
            <w:r>
              <w:rPr>
                <w:webHidden/>
                <w:rStyle w:val="IndexLink"/>
              </w:rPr>
              <w:t>8.1 Objectives</w:t>
              <w:tab/>
              <w:t>24</w:t>
            </w:r>
          </w:hyperlink>
        </w:p>
        <w:p>
          <w:pPr>
            <w:pStyle w:val="TOC2"/>
            <w:tabs>
              <w:tab w:val="clear" w:pos="9129"/>
              <w:tab w:val="right" w:pos="9411" w:leader="dot"/>
            </w:tabs>
            <w:rPr/>
          </w:pPr>
          <w:hyperlink w:anchor="__RefHeading___Toc9568_1627482358">
            <w:r>
              <w:rPr>
                <w:webHidden/>
                <w:rStyle w:val="IndexLink"/>
              </w:rPr>
              <w:t>8.2 Structure and allocation</w:t>
              <w:tab/>
              <w:t>24</w:t>
            </w:r>
          </w:hyperlink>
        </w:p>
        <w:p>
          <w:pPr>
            <w:pStyle w:val="TOC2"/>
            <w:tabs>
              <w:tab w:val="clear" w:pos="9129"/>
              <w:tab w:val="right" w:pos="9411" w:leader="dot"/>
            </w:tabs>
            <w:rPr/>
          </w:pPr>
          <w:hyperlink w:anchor="__RefHeading___Toc9570_1627482358">
            <w:r>
              <w:rPr>
                <w:webHidden/>
                <w:rStyle w:val="IndexLink"/>
              </w:rPr>
              <w:t>8.3 Window terms</w:t>
              <w:tab/>
              <w:t>25</w:t>
            </w:r>
          </w:hyperlink>
        </w:p>
        <w:p>
          <w:pPr>
            <w:pStyle w:val="TOC2"/>
            <w:tabs>
              <w:tab w:val="clear" w:pos="9129"/>
              <w:tab w:val="right" w:pos="9411" w:leader="dot"/>
            </w:tabs>
            <w:rPr/>
          </w:pPr>
          <w:hyperlink w:anchor="__RefHeading___Toc9572_1627482358">
            <w:r>
              <w:rPr>
                <w:webHidden/>
                <w:rStyle w:val="IndexLink"/>
              </w:rPr>
              <w:t>8.4 Eligibility and targeting</w:t>
              <w:tab/>
              <w:t>26</w:t>
            </w:r>
          </w:hyperlink>
        </w:p>
        <w:p>
          <w:pPr>
            <w:pStyle w:val="TOC2"/>
            <w:tabs>
              <w:tab w:val="clear" w:pos="9129"/>
              <w:tab w:val="right" w:pos="9411" w:leader="dot"/>
            </w:tabs>
            <w:rPr/>
          </w:pPr>
          <w:hyperlink w:anchor="__RefHeading___Toc9574_1627482358">
            <w:r>
              <w:rPr>
                <w:webHidden/>
                <w:rStyle w:val="IndexLink"/>
              </w:rPr>
              <w:t>8.5 Selection criteria and weights</w:t>
              <w:tab/>
              <w:t>26</w:t>
            </w:r>
          </w:hyperlink>
        </w:p>
        <w:p>
          <w:pPr>
            <w:pStyle w:val="TOC2"/>
            <w:tabs>
              <w:tab w:val="clear" w:pos="9129"/>
              <w:tab w:val="right" w:pos="9411" w:leader="dot"/>
            </w:tabs>
            <w:rPr/>
          </w:pPr>
          <w:hyperlink w:anchor="__RefHeading___Toc9576_1627482358">
            <w:r>
              <w:rPr>
                <w:webHidden/>
                <w:rStyle w:val="IndexLink"/>
              </w:rPr>
              <w:t>8.6 Governance and delivery</w:t>
              <w:tab/>
              <w:t>26</w:t>
            </w:r>
          </w:hyperlink>
        </w:p>
        <w:p>
          <w:pPr>
            <w:pStyle w:val="TOC2"/>
            <w:tabs>
              <w:tab w:val="clear" w:pos="9129"/>
              <w:tab w:val="right" w:pos="9411" w:leader="dot"/>
            </w:tabs>
            <w:rPr/>
          </w:pPr>
          <w:hyperlink w:anchor="__RefHeading___Toc9578_1627482358">
            <w:r>
              <w:rPr>
                <w:webHidden/>
                <w:rStyle w:val="IndexLink"/>
              </w:rPr>
              <w:t>8.7 Measurement, evaluation and learning</w:t>
              <w:tab/>
              <w:t>27</w:t>
            </w:r>
          </w:hyperlink>
        </w:p>
        <w:p>
          <w:pPr>
            <w:pStyle w:val="TOC2"/>
            <w:tabs>
              <w:tab w:val="clear" w:pos="9129"/>
              <w:tab w:val="right" w:pos="9411" w:leader="dot"/>
            </w:tabs>
            <w:rPr/>
          </w:pPr>
          <w:hyperlink w:anchor="__RefHeading___Toc9580_1627482358">
            <w:r>
              <w:rPr>
                <w:webHidden/>
                <w:rStyle w:val="IndexLink"/>
              </w:rPr>
              <w:t>8.8 Key risks and mitigations</w:t>
              <w:tab/>
              <w:t>28</w:t>
            </w:r>
          </w:hyperlink>
        </w:p>
        <w:p>
          <w:pPr>
            <w:pStyle w:val="TOC1"/>
            <w:tabs>
              <w:tab w:val="clear" w:pos="9412"/>
              <w:tab w:val="right" w:pos="9411" w:leader="dot"/>
            </w:tabs>
            <w:rPr/>
          </w:pPr>
          <w:hyperlink w:anchor="__RefHeading___Toc9582_1627482358">
            <w:r>
              <w:rPr>
                <w:webHidden/>
                <w:rStyle w:val="IndexLink"/>
              </w:rPr>
              <w:t>Annex A. Stakeholder contact database</w:t>
              <w:tab/>
              <w:t>29</w:t>
            </w:r>
          </w:hyperlink>
        </w:p>
        <w:p>
          <w:pPr>
            <w:pStyle w:val="TOC1"/>
            <w:tabs>
              <w:tab w:val="clear" w:pos="9412"/>
              <w:tab w:val="right" w:pos="9411" w:leader="dot"/>
            </w:tabs>
            <w:rPr/>
          </w:pPr>
          <w:hyperlink w:anchor="__RefHeading___Toc9584_1627482358">
            <w:r>
              <w:rPr>
                <w:webHidden/>
                <w:rStyle w:val="IndexLink"/>
              </w:rPr>
              <w:t>Annex B. Sources</w:t>
              <w:tab/>
              <w:t>35</w:t>
            </w:r>
          </w:hyperlink>
          <w:r>
            <w:rPr>
              <w:rStyle w:val="IndexLink"/>
            </w:rPr>
            <w:fldChar w:fldCharType="end"/>
          </w:r>
        </w:p>
      </w:sdtContent>
    </w:sdt>
    <w:p>
      <w:pPr>
        <w:pStyle w:val="Normal"/>
        <w:spacing w:before="480" w:after="160"/>
        <w:rPr/>
      </w:pPr>
      <w:r>
        <w:rPr>
          <w:b/>
          <w:sz w:val="28"/>
        </w:rPr>
        <w:t>List of tables</w:t>
      </w:r>
    </w:p>
    <w:p>
      <w:pPr>
        <w:pStyle w:val="TableofFigures"/>
        <w:tabs>
          <w:tab w:val="clear" w:pos="9412"/>
          <w:tab w:val="right" w:pos="9411" w:leader="dot"/>
        </w:tabs>
        <w:rPr/>
      </w:pPr>
      <w:r>
        <w:fldChar w:fldCharType="begin"/>
      </w:r>
      <w:r>
        <w:rPr/>
        <w:instrText xml:space="preserve"> TOC \c "Table" \h </w:instrText>
      </w:r>
      <w:r>
        <w:rPr/>
        <w:fldChar w:fldCharType="separate"/>
      </w:r>
      <w:hyperlink w:anchor="Table!0|sequence">
        <w:r>
          <w:rPr/>
          <w:t>Table 1: Grant facility windows at a glance</w:t>
          <w:tab/>
          <w:t>4</w:t>
        </w:r>
      </w:hyperlink>
    </w:p>
    <w:p>
      <w:pPr>
        <w:pStyle w:val="TableofFigures"/>
        <w:tabs>
          <w:tab w:val="clear" w:pos="9412"/>
          <w:tab w:val="right" w:pos="9411" w:leader="dot"/>
        </w:tabs>
        <w:rPr/>
      </w:pPr>
      <w:hyperlink w:anchor="Table!1|sequence">
        <w:r>
          <w:rPr/>
          <w:t>Table 2: MSME size classes used in this report</w:t>
          <w:tab/>
          <w:t>5</w:t>
        </w:r>
      </w:hyperlink>
    </w:p>
    <w:p>
      <w:pPr>
        <w:pStyle w:val="TableofFigures"/>
        <w:tabs>
          <w:tab w:val="clear" w:pos="9412"/>
          <w:tab w:val="right" w:pos="9411" w:leader="dot"/>
        </w:tabs>
        <w:rPr/>
      </w:pPr>
      <w:hyperlink w:anchor="Table!2|sequence">
        <w:r>
          <w:rPr/>
          <w:t>Table 3: KAZA tourism MSME typology and leadership patterns</w:t>
          <w:tab/>
          <w:t>6</w:t>
        </w:r>
      </w:hyperlink>
    </w:p>
    <w:p>
      <w:pPr>
        <w:pStyle w:val="TableofFigures"/>
        <w:tabs>
          <w:tab w:val="clear" w:pos="9412"/>
          <w:tab w:val="right" w:pos="9411" w:leader="dot"/>
        </w:tabs>
        <w:rPr/>
      </w:pPr>
      <w:hyperlink w:anchor="Table!3|sequence">
        <w:r>
          <w:rPr/>
          <w:t>Table 4: Gender- and age-disaggregated indicators by country</w:t>
          <w:tab/>
          <w:t>7</w:t>
        </w:r>
      </w:hyperlink>
    </w:p>
    <w:p>
      <w:pPr>
        <w:pStyle w:val="TableofFigures"/>
        <w:tabs>
          <w:tab w:val="clear" w:pos="9412"/>
          <w:tab w:val="right" w:pos="9411" w:leader="dot"/>
        </w:tabs>
        <w:rPr/>
      </w:pPr>
      <w:hyperlink w:anchor="Table!4|sequence">
        <w:r>
          <w:rPr/>
          <w:t>Table 5: Lender risk perceptions by MSME category</w:t>
          <w:tab/>
          <w:t>8</w:t>
        </w:r>
      </w:hyperlink>
    </w:p>
    <w:p>
      <w:pPr>
        <w:pStyle w:val="TableofFigures"/>
        <w:tabs>
          <w:tab w:val="clear" w:pos="9412"/>
          <w:tab w:val="right" w:pos="9411" w:leader="dot"/>
        </w:tabs>
        <w:rPr/>
      </w:pPr>
      <w:hyperlink w:anchor="Table!5|sequence">
        <w:r>
          <w:rPr/>
          <w:t>Table 6: Willingness of financial institutions to adopt gender-lens and youth-inclusive strategies</w:t>
          <w:tab/>
          <w:t>9</w:t>
        </w:r>
      </w:hyperlink>
    </w:p>
    <w:p>
      <w:pPr>
        <w:pStyle w:val="TableofFigures"/>
        <w:tabs>
          <w:tab w:val="clear" w:pos="9412"/>
          <w:tab w:val="right" w:pos="9411" w:leader="dot"/>
        </w:tabs>
        <w:rPr/>
      </w:pPr>
      <w:hyperlink w:anchor="Table!6|sequence">
        <w:r>
          <w:rPr/>
          <w:t>Table 7: Systemic enablers and leverage points</w:t>
          <w:tab/>
          <w:t>10</w:t>
        </w:r>
      </w:hyperlink>
    </w:p>
    <w:p>
      <w:pPr>
        <w:pStyle w:val="TableofFigures"/>
        <w:tabs>
          <w:tab w:val="clear" w:pos="9412"/>
          <w:tab w:val="right" w:pos="9411" w:leader="dot"/>
        </w:tabs>
        <w:rPr/>
      </w:pPr>
      <w:hyperlink w:anchor="Table!7|sequence">
        <w:r>
          <w:rPr/>
          <w:t>Table 8: Informal and community-based finance practices among women and youth</w:t>
          <w:tab/>
          <w:t>10</w:t>
        </w:r>
      </w:hyperlink>
    </w:p>
    <w:p>
      <w:pPr>
        <w:pStyle w:val="TableofFigures"/>
        <w:tabs>
          <w:tab w:val="clear" w:pos="9412"/>
          <w:tab w:val="right" w:pos="9411" w:leader="dot"/>
        </w:tabs>
        <w:rPr/>
      </w:pPr>
      <w:hyperlink w:anchor="Table!8|sequence">
        <w:r>
          <w:rPr/>
          <w:t>Table 9: Financing requirements by growth stage</w:t>
          <w:tab/>
          <w:t>12</w:t>
        </w:r>
      </w:hyperlink>
    </w:p>
    <w:p>
      <w:pPr>
        <w:pStyle w:val="TableofFigures"/>
        <w:tabs>
          <w:tab w:val="clear" w:pos="9412"/>
          <w:tab w:val="right" w:pos="9411" w:leader="dot"/>
        </w:tabs>
        <w:rPr/>
      </w:pPr>
      <w:hyperlink w:anchor="Table!9|sequence">
        <w:r>
          <w:rPr/>
          <w:t>Table 10: Ticket sizes by MSME type and size</w:t>
          <w:tab/>
          <w:t>12</w:t>
        </w:r>
      </w:hyperlink>
    </w:p>
    <w:p>
      <w:pPr>
        <w:pStyle w:val="TableofFigures"/>
        <w:tabs>
          <w:tab w:val="clear" w:pos="9412"/>
          <w:tab w:val="right" w:pos="9411" w:leader="dot"/>
        </w:tabs>
        <w:rPr/>
      </w:pPr>
      <w:hyperlink w:anchor="Table!10|sequence">
        <w:r>
          <w:rPr/>
          <w:t>Table 11: Debt product adaptations for tourism seasonality</w:t>
          <w:tab/>
          <w:t>14</w:t>
        </w:r>
      </w:hyperlink>
    </w:p>
    <w:p>
      <w:pPr>
        <w:pStyle w:val="TableofFigures"/>
        <w:tabs>
          <w:tab w:val="clear" w:pos="9412"/>
          <w:tab w:val="right" w:pos="9411" w:leader="dot"/>
        </w:tabs>
        <w:rPr/>
      </w:pPr>
      <w:hyperlink w:anchor="Table!11|sequence">
        <w:r>
          <w:rPr/>
          <w:t>Table 12: Alternative forms of collateral</w:t>
          <w:tab/>
          <w:t>15</w:t>
        </w:r>
      </w:hyperlink>
    </w:p>
    <w:p>
      <w:pPr>
        <w:pStyle w:val="TableofFigures"/>
        <w:tabs>
          <w:tab w:val="clear" w:pos="9412"/>
          <w:tab w:val="right" w:pos="9411" w:leader="dot"/>
        </w:tabs>
        <w:rPr/>
      </w:pPr>
      <w:hyperlink w:anchor="Table!12|sequence">
        <w:r>
          <w:rPr/>
          <w:t>Table 13: Supply chain finance instruments</w:t>
          <w:tab/>
          <w:t>17</w:t>
        </w:r>
      </w:hyperlink>
    </w:p>
    <w:p>
      <w:pPr>
        <w:pStyle w:val="TableofFigures"/>
        <w:tabs>
          <w:tab w:val="clear" w:pos="9412"/>
          <w:tab w:val="right" w:pos="9411" w:leader="dot"/>
        </w:tabs>
        <w:rPr/>
      </w:pPr>
      <w:hyperlink w:anchor="Table!13|sequence">
        <w:r>
          <w:rPr/>
          <w:t>Table 14: Root causes of the finance gap</w:t>
          <w:tab/>
          <w:t>18</w:t>
        </w:r>
      </w:hyperlink>
    </w:p>
    <w:p>
      <w:pPr>
        <w:pStyle w:val="TableofFigures"/>
        <w:tabs>
          <w:tab w:val="clear" w:pos="9412"/>
          <w:tab w:val="right" w:pos="9411" w:leader="dot"/>
        </w:tabs>
        <w:rPr/>
      </w:pPr>
      <w:hyperlink w:anchor="Table!14|sequence">
        <w:r>
          <w:rPr/>
          <w:t>Table 15: Lender expectations, MSME realities and bridges</w:t>
          <w:tab/>
          <w:t>19</w:t>
        </w:r>
      </w:hyperlink>
    </w:p>
    <w:p>
      <w:pPr>
        <w:pStyle w:val="TableofFigures"/>
        <w:tabs>
          <w:tab w:val="clear" w:pos="9412"/>
          <w:tab w:val="right" w:pos="9411" w:leader="dot"/>
        </w:tabs>
        <w:rPr/>
      </w:pPr>
      <w:hyperlink w:anchor="Table!15|sequence">
        <w:r>
          <w:rPr/>
          <w:t>Table 16: Barriers and opportunities for connecting MSMEs and capital providers</w:t>
          <w:tab/>
          <w:t>20</w:t>
        </w:r>
      </w:hyperlink>
    </w:p>
    <w:p>
      <w:pPr>
        <w:pStyle w:val="TableofFigures"/>
        <w:tabs>
          <w:tab w:val="clear" w:pos="9412"/>
          <w:tab w:val="right" w:pos="9411" w:leader="dot"/>
        </w:tabs>
        <w:rPr/>
      </w:pPr>
      <w:hyperlink w:anchor="Table!16|sequence">
        <w:r>
          <w:rPr/>
          <w:t>Table 17: Funding preferences by applicant group</w:t>
          <w:tab/>
          <w:t>21</w:t>
        </w:r>
      </w:hyperlink>
    </w:p>
    <w:p>
      <w:pPr>
        <w:pStyle w:val="TableofFigures"/>
        <w:tabs>
          <w:tab w:val="clear" w:pos="9412"/>
          <w:tab w:val="right" w:pos="9411" w:leader="dot"/>
        </w:tabs>
        <w:rPr/>
      </w:pPr>
      <w:hyperlink w:anchor="Table!17|sequence">
        <w:r>
          <w:rPr/>
          <w:t>Table 18: Recommended matching contributions by applicant type</w:t>
          <w:tab/>
          <w:t>21</w:t>
        </w:r>
      </w:hyperlink>
    </w:p>
    <w:p>
      <w:pPr>
        <w:pStyle w:val="TableofFigures"/>
        <w:tabs>
          <w:tab w:val="clear" w:pos="9412"/>
          <w:tab w:val="right" w:pos="9411" w:leader="dot"/>
        </w:tabs>
        <w:rPr/>
      </w:pPr>
      <w:hyperlink w:anchor="Table!18|sequence">
        <w:r>
          <w:rPr/>
          <w:t>Table 19: Funding needs by category</w:t>
          <w:tab/>
          <w:t>22</w:t>
        </w:r>
      </w:hyperlink>
    </w:p>
    <w:p>
      <w:pPr>
        <w:pStyle w:val="TableofFigures"/>
        <w:tabs>
          <w:tab w:val="clear" w:pos="9412"/>
          <w:tab w:val="right" w:pos="9411" w:leader="dot"/>
        </w:tabs>
        <w:rPr/>
      </w:pPr>
      <w:hyperlink w:anchor="Table!19|sequence">
        <w:r>
          <w:rPr/>
          <w:t>Table 20: Facility structure and allocation</w:t>
          <w:tab/>
          <w:t>25</w:t>
        </w:r>
      </w:hyperlink>
    </w:p>
    <w:p>
      <w:pPr>
        <w:pStyle w:val="TableofFigures"/>
        <w:tabs>
          <w:tab w:val="clear" w:pos="9412"/>
          <w:tab w:val="right" w:pos="9411" w:leader="dot"/>
        </w:tabs>
        <w:rPr/>
      </w:pPr>
      <w:hyperlink w:anchor="Table!20|sequence">
        <w:r>
          <w:rPr/>
          <w:t>Table 21: Grant window terms</w:t>
          <w:tab/>
          <w:t>25</w:t>
        </w:r>
      </w:hyperlink>
    </w:p>
    <w:p>
      <w:pPr>
        <w:pStyle w:val="TableofFigures"/>
        <w:tabs>
          <w:tab w:val="clear" w:pos="9412"/>
          <w:tab w:val="right" w:pos="9411" w:leader="dot"/>
        </w:tabs>
        <w:rPr/>
      </w:pPr>
      <w:hyperlink w:anchor="Table!21|sequence">
        <w:r>
          <w:rPr/>
          <w:t>Table 22: Selection criteria and weights</w:t>
          <w:tab/>
          <w:t>26</w:t>
        </w:r>
      </w:hyperlink>
    </w:p>
    <w:p>
      <w:pPr>
        <w:pStyle w:val="TableofFigures"/>
        <w:tabs>
          <w:tab w:val="clear" w:pos="9412"/>
          <w:tab w:val="right" w:pos="9411" w:leader="dot"/>
        </w:tabs>
        <w:rPr/>
      </w:pPr>
      <w:hyperlink w:anchor="Table!22|sequence">
        <w:r>
          <w:rPr/>
          <w:t>Table 23: Measurement indicators and indicative targets</w:t>
          <w:tab/>
          <w:t>27</w:t>
        </w:r>
      </w:hyperlink>
    </w:p>
    <w:p>
      <w:pPr>
        <w:pStyle w:val="TableofFigures"/>
        <w:tabs>
          <w:tab w:val="clear" w:pos="9412"/>
          <w:tab w:val="right" w:pos="9411" w:leader="dot"/>
        </w:tabs>
        <w:rPr/>
      </w:pPr>
      <w:hyperlink w:anchor="Table!23|sequence">
        <w:r>
          <w:rPr/>
          <w:t>Table 24: Key facility risks and mitigations</w:t>
          <w:tab/>
          <w:t>28</w:t>
        </w:r>
      </w:hyperlink>
    </w:p>
    <w:p>
      <w:pPr>
        <w:pStyle w:val="TableofFigures"/>
        <w:tabs>
          <w:tab w:val="clear" w:pos="9412"/>
          <w:tab w:val="right" w:pos="9411" w:leader="dot"/>
        </w:tabs>
        <w:rPr/>
      </w:pPr>
      <w:hyperlink w:anchor="Table!24|sequence">
        <w:r>
          <w:rPr/>
          <w:t>Table 25: Stakeholder contact database</w:t>
          <w:tab/>
          <w:t>29</w:t>
        </w:r>
      </w:hyperlink>
      <w:r>
        <w:rPr/>
        <w:fldChar w:fldCharType="end"/>
      </w:r>
    </w:p>
    <w:p>
      <w:pPr>
        <w:pStyle w:val="Normal"/>
        <w:spacing w:before="0" w:after="160"/>
        <w:rPr/>
      </w:pPr>
      <w:r>
        <w:rPr/>
      </w:r>
      <w:r>
        <w:br w:type="page"/>
      </w:r>
    </w:p>
    <w:p>
      <w:pPr>
        <w:pStyle w:val="Heading1"/>
        <w:spacing w:before="0" w:after="120"/>
        <w:rPr/>
      </w:pPr>
      <w:bookmarkStart w:id="0" w:name="__RefHeading___Toc9508_1627482358"/>
      <w:bookmarkEnd w:id="0"/>
      <w:r>
        <w:rPr/>
        <w:t>Executive summary</w:t>
      </w:r>
    </w:p>
    <w:p>
      <w:pPr>
        <w:pStyle w:val="Normal"/>
        <w:rPr/>
      </w:pPr>
      <w:r>
        <w:rPr/>
        <w:t>KAZA tourism MSMEs are not short of lenders. The finance on offer just doesn't fit them. Women- and youth-led MSMEs next to protected areas fall into the gap between village savings groups (loans under about USD 500) and bank SME lending (about USD 25,000 and up, secured on land). This report proposes a three-window grant facility, linked to guarantees, built to close that gap. It follows the Joint Action on Regenerative Nature-Based Tourism (R-NBT), launched in Maun in September 2026 by KAZA, the EU and Germany, with GIZ implementing (</w:t>
      </w:r>
      <w:hyperlink r:id="rId2">
        <w:r>
          <w:rPr>
            <w:rStyle w:val="Hyperlink"/>
          </w:rPr>
          <w:t>ATTA</w:t>
        </w:r>
      </w:hyperlink>
      <w:r>
        <w:rPr/>
        <w:t>).</w:t>
      </w:r>
    </w:p>
    <w:p>
      <w:pPr>
        <w:pStyle w:val="Normal"/>
        <w:rPr/>
      </w:pPr>
      <w:r>
        <w:rPr>
          <w:b/>
        </w:rPr>
        <w:t>Headline findings</w:t>
      </w:r>
    </w:p>
    <w:p>
      <w:pPr>
        <w:pStyle w:val="ListParagraph"/>
        <w:numPr>
          <w:ilvl w:val="0"/>
          <w:numId w:val="1"/>
        </w:numPr>
        <w:rPr/>
      </w:pPr>
      <w:r>
        <w:rPr>
          <w:b/>
        </w:rPr>
        <w:t>Women already own many firms, but not the collateral.</w:t>
      </w:r>
      <w:r>
        <w:rPr/>
        <w:t xml:space="preserve"> The World Bank Enterprise Surveys put women among the principal owners of 41–55% of formal firms in four KAZA states. Women still rarely hold land titles, and communal or customary land can't be mortgaged. The binding constraint is collateral, not entrepreneurship.</w:t>
      </w:r>
    </w:p>
    <w:p>
      <w:pPr>
        <w:pStyle w:val="ListParagraph"/>
        <w:numPr>
          <w:ilvl w:val="0"/>
          <w:numId w:val="1"/>
        </w:numPr>
        <w:rPr/>
      </w:pPr>
      <w:r>
        <w:rPr>
          <w:b/>
        </w:rPr>
        <w:t>Youth carry the highest risk rating.</w:t>
      </w:r>
      <w:r>
        <w:rPr/>
        <w:t xml:space="preserve"> Youth unemployment is 28.9% in Botswana (ages 15–35) and about 37% in Namibia (ages 15–24). Young founders have no credit history or assets, and lenders rate youth start-ups as the riskiest MSME category.</w:t>
      </w:r>
    </w:p>
    <w:p>
      <w:pPr>
        <w:pStyle w:val="ListParagraph"/>
        <w:numPr>
          <w:ilvl w:val="0"/>
          <w:numId w:val="1"/>
        </w:numPr>
        <w:rPr/>
      </w:pPr>
      <w:r>
        <w:rPr>
          <w:b/>
        </w:rPr>
        <w:t>Seasonality makes viable firms look unbankable.</w:t>
      </w:r>
      <w:r>
        <w:rPr/>
        <w:t xml:space="preserve"> About 60–75% of revenue arrives in the June–October dry season. Fixed monthly instalments fail in the green season, so lenders read seasonal firms as weak ones.</w:t>
      </w:r>
    </w:p>
    <w:p>
      <w:pPr>
        <w:pStyle w:val="ListParagraph"/>
        <w:numPr>
          <w:ilvl w:val="0"/>
          <w:numId w:val="1"/>
        </w:numPr>
        <w:rPr/>
      </w:pPr>
      <w:r>
        <w:rPr>
          <w:b/>
        </w:rPr>
        <w:t>Large operators set payment terms.</w:t>
      </w:r>
      <w:r>
        <w:rPr/>
        <w:t xml:space="preserve"> Invoices are typically paid in 30–90 days. MSME suppliers end up financing their buyers, and the first contract-backed model (Wilderness–Stanbic, Botswana, 2025) shows how to reverse this.</w:t>
      </w:r>
    </w:p>
    <w:p>
      <w:pPr>
        <w:pStyle w:val="ListParagraph"/>
        <w:numPr>
          <w:ilvl w:val="0"/>
          <w:numId w:val="1"/>
        </w:numPr>
        <w:rPr/>
      </w:pPr>
      <w:r>
        <w:rPr>
          <w:b/>
        </w:rPr>
        <w:t>Informal finance is large and mostly female.</w:t>
      </w:r>
      <w:r>
        <w:rPr/>
        <w:t xml:space="preserve"> Women are about 73% of savings-group members in rural Zambia, and Zambia counts over 800,000 savings-group members in total. Conservancy and CAMPFIRE revenues add community capital that could be pooled into guarantees.</w:t>
      </w:r>
    </w:p>
    <w:p>
      <w:pPr>
        <w:pStyle w:val="ListParagraph"/>
        <w:numPr>
          <w:ilvl w:val="0"/>
          <w:numId w:val="1"/>
        </w:numPr>
        <w:rPr/>
      </w:pPr>
      <w:r>
        <w:rPr>
          <w:b/>
        </w:rPr>
        <w:t>Lenders are interested if the risk is shared.</w:t>
      </w:r>
      <w:r>
        <w:rPr/>
        <w:t xml:space="preserve"> Credit guarantee schemes already target women and youth: Namibia's CGS gives 60% cover, and FNB Zambia's partnership with ZCGS puts women and youth first. Banks want first-loss cover, pipeline preparation and simpler sector data before they'll lend.</w:t>
      </w:r>
    </w:p>
    <w:p>
      <w:pPr>
        <w:pStyle w:val="Normal"/>
        <w:rPr/>
      </w:pPr>
      <w:r>
        <w:rPr>
          <w:b/>
        </w:rPr>
        <w:t>Grant facility at a glance</w:t>
      </w:r>
    </w:p>
    <w:p>
      <w:pPr>
        <w:pStyle w:val="Normal"/>
        <w:keepNext w:val="true"/>
        <w:rPr/>
      </w:pPr>
      <w:r>
        <w:rPr/>
        <w:t>The facility has three windows that step up in grant size and in what the applicant must put in. Seed grants of USD 2,000–15,000 ask a 10% match, which cash or in-kind contributions can meet. Growth grants ask 25–30%. Scale grants of up to USD 150,000 ask 50%, with at least half of that from a loan, so every scale grant also brings in debt.</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1</w:t>
      </w:r>
      <w:r>
        <w:rPr>
          <w:sz w:val="20"/>
          <w:b/>
          <w:color w:val="1F3A5F"/>
        </w:rPr>
        <w:fldChar w:fldCharType="end"/>
      </w:r>
      <w:r>
        <w:rPr>
          <w:b/>
          <w:color w:val="1F3A5F"/>
          <w:sz w:val="20"/>
        </w:rPr>
        <w:t>: Grant facility windows at a glance</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1566"/>
        <w:gridCol w:w="2985"/>
        <w:gridCol w:w="2307"/>
        <w:gridCol w:w="2553"/>
      </w:tblGrid>
      <w:tr>
        <w:trPr>
          <w:tblHeader w:val="true"/>
        </w:trPr>
        <w:tc>
          <w:tcPr>
            <w:tcW w:w="1566"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Window</w:t>
            </w:r>
          </w:p>
        </w:tc>
        <w:tc>
          <w:tcPr>
            <w:tcW w:w="2985"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For</w:t>
            </w:r>
          </w:p>
        </w:tc>
        <w:tc>
          <w:tcPr>
            <w:tcW w:w="2307"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Grant size (USD)</w:t>
            </w:r>
          </w:p>
        </w:tc>
        <w:tc>
          <w:tcPr>
            <w:tcW w:w="2553"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Matching contribution</w:t>
            </w:r>
          </w:p>
        </w:tc>
      </w:tr>
      <w:tr>
        <w:trPr/>
        <w:tc>
          <w:tcPr>
            <w:tcW w:w="15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A. Seed</w:t>
            </w:r>
          </w:p>
        </w:tc>
        <w:tc>
          <w:tcPr>
            <w:tcW w:w="298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Start-ups and community or VSLA-linked enterprises, women and youth first</w:t>
            </w:r>
          </w:p>
        </w:tc>
        <w:tc>
          <w:tcPr>
            <w:tcW w:w="230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2,000–15,000</w:t>
            </w:r>
          </w:p>
        </w:tc>
        <w:tc>
          <w:tcPr>
            <w:tcW w:w="255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10% (cash or in kind)</w:t>
            </w:r>
          </w:p>
        </w:tc>
      </w:tr>
      <w:tr>
        <w:trPr/>
        <w:tc>
          <w:tcPr>
            <w:tcW w:w="15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B. Growth</w:t>
            </w:r>
          </w:p>
        </w:tc>
        <w:tc>
          <w:tcPr>
            <w:tcW w:w="298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Emerging MSMEs with 2+ seasons of trading</w:t>
            </w:r>
          </w:p>
        </w:tc>
        <w:tc>
          <w:tcPr>
            <w:tcW w:w="230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15,000–75,000</w:t>
            </w:r>
          </w:p>
        </w:tc>
        <w:tc>
          <w:tcPr>
            <w:tcW w:w="255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25–30% (in kind allowed up to half)</w:t>
            </w:r>
          </w:p>
        </w:tc>
      </w:tr>
      <w:tr>
        <w:trPr/>
        <w:tc>
          <w:tcPr>
            <w:tcW w:w="15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 Scale and leverage</w:t>
            </w:r>
          </w:p>
        </w:tc>
        <w:tc>
          <w:tcPr>
            <w:tcW w:w="298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Scaling MSMEs and cooperatives with a lender's term sheet</w:t>
            </w:r>
          </w:p>
        </w:tc>
        <w:tc>
          <w:tcPr>
            <w:tcW w:w="230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50,000–150,000</w:t>
            </w:r>
          </w:p>
        </w:tc>
        <w:tc>
          <w:tcPr>
            <w:tcW w:w="255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50%, of which at least half is a loan</w:t>
            </w:r>
          </w:p>
        </w:tc>
      </w:tr>
    </w:tbl>
    <w:p>
      <w:pPr>
        <w:pStyle w:val="Normal"/>
        <w:spacing w:before="200" w:after="160"/>
        <w:rPr/>
      </w:pPr>
      <w:r>
        <w:rPr/>
        <w:t>The usual 20% and 50% matching rates suit growth and scaling firms. They exclude most women- and youth-led start-ups, so this report recommends 10% for Window A, with in-kind and VSLA savings counted as match.</w:t>
      </w:r>
    </w:p>
    <w:p>
      <w:pPr>
        <w:pStyle w:val="Normal"/>
        <w:rPr/>
      </w:pPr>
      <w:r>
        <w:rPr/>
        <w:t xml:space="preserve">The evidence comes from a desk review to October 2026, which builds on the project's earlier Financial Landscape Analysis. Figures marked </w:t>
      </w:r>
      <w:r>
        <w:rPr>
          <w:i/>
        </w:rPr>
        <w:t>indicative</w:t>
      </w:r>
      <w:r>
        <w:rPr/>
        <w:t xml:space="preserve"> are estimates from the literature and still need checking. Primary data still has to be collected through the planned MSME survey and the interviews with financial institutions.</w:t>
      </w:r>
    </w:p>
    <w:p>
      <w:pPr>
        <w:pStyle w:val="Heading1"/>
        <w:rPr/>
      </w:pPr>
      <w:bookmarkStart w:id="1" w:name="__RefHeading___Toc9510_1627482358"/>
      <w:bookmarkEnd w:id="1"/>
      <w:r>
        <w:rPr/>
        <w:t>1. Scope and method</w:t>
      </w:r>
    </w:p>
    <w:p>
      <w:pPr>
        <w:pStyle w:val="Normal"/>
        <w:rPr/>
      </w:pPr>
      <w:r>
        <w:rPr/>
        <w:t>This report covers tourism MSMEs and the financial institutions that serve them in the five KAZA Partner States. The focus throughout is on women, youth (ages 15–35, the AU and national definition) and communities next to protected areas.</w:t>
      </w:r>
    </w:p>
    <w:p>
      <w:pPr>
        <w:pStyle w:val="Normal"/>
        <w:rPr/>
      </w:pPr>
      <w:r>
        <w:rPr>
          <w:b/>
        </w:rPr>
        <w:t>Geography.</w:t>
      </w:r>
      <w:r>
        <w:rPr/>
        <w:t xml:space="preserve"> The KAZA hubs covered are Kasane, Maun, Katima Mulilo, Rundu, Divundu, Livingstone, Kazungula, Mulobezi, Mongu, Victoria Falls, Hwange, Binga and Menongue. The communities around them sit in conservancies (Namibia), community trust concessions (Botswana), Game Management Areas and Simalaha (Zambia), CAMPFIRE wards (Zimbabwe) and the Cuando and Cubango provinces (Angola).</w:t>
      </w:r>
    </w:p>
    <w:p>
      <w:pPr>
        <w:pStyle w:val="Normal"/>
        <w:rPr/>
      </w:pPr>
      <w:r>
        <w:rPr>
          <w:b/>
        </w:rPr>
        <w:t>Size classes used.</w:t>
      </w:r>
      <w:r>
        <w:rPr/>
        <w:t xml:space="preserve"> The five countries define MSMEs differently. To compare them, this report uses common bands:</w:t>
      </w:r>
    </w:p>
    <w:p>
      <w:pPr>
        <w:pStyle w:val="Normal"/>
        <w:keepNext w:val="true"/>
        <w:rPr/>
      </w:pPr>
      <w:r>
        <w:rPr/>
        <w:t>Most KAZA tourism MSMEs fall in the micro band: 1–5 staff and under USD 50,000 a year in turnover. Small firms have 6–30 staff. Medium firms have 31–100 staff and up to USD 2 million in turnover, and there are few of them, mostly in the main hubs.</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2</w:t>
      </w:r>
      <w:r>
        <w:rPr>
          <w:sz w:val="20"/>
          <w:b/>
          <w:color w:val="1F3A5F"/>
        </w:rPr>
        <w:fldChar w:fldCharType="end"/>
      </w:r>
      <w:r>
        <w:rPr>
          <w:b/>
          <w:color w:val="1F3A5F"/>
          <w:sz w:val="20"/>
        </w:rPr>
        <w:t>: MSME size classes used in this report</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2020"/>
        <w:gridCol w:w="2431"/>
        <w:gridCol w:w="4961"/>
      </w:tblGrid>
      <w:tr>
        <w:trPr>
          <w:tblHeader w:val="true"/>
        </w:trPr>
        <w:tc>
          <w:tcPr>
            <w:tcW w:w="2020"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Class</w:t>
            </w:r>
          </w:p>
        </w:tc>
        <w:tc>
          <w:tcPr>
            <w:tcW w:w="2431"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Employees</w:t>
            </w:r>
          </w:p>
        </w:tc>
        <w:tc>
          <w:tcPr>
            <w:tcW w:w="4961"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Annual turnover (USD)</w:t>
            </w:r>
          </w:p>
        </w:tc>
      </w:tr>
      <w:tr>
        <w:trPr/>
        <w:tc>
          <w:tcPr>
            <w:tcW w:w="20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Micro</w:t>
            </w:r>
          </w:p>
        </w:tc>
        <w:tc>
          <w:tcPr>
            <w:tcW w:w="243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1–5</w:t>
            </w:r>
          </w:p>
        </w:tc>
        <w:tc>
          <w:tcPr>
            <w:tcW w:w="49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under 50,000</w:t>
            </w:r>
          </w:p>
        </w:tc>
      </w:tr>
      <w:tr>
        <w:trPr/>
        <w:tc>
          <w:tcPr>
            <w:tcW w:w="20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Small</w:t>
            </w:r>
          </w:p>
        </w:tc>
        <w:tc>
          <w:tcPr>
            <w:tcW w:w="243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6–30</w:t>
            </w:r>
          </w:p>
        </w:tc>
        <w:tc>
          <w:tcPr>
            <w:tcW w:w="49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50,000–500,000</w:t>
            </w:r>
          </w:p>
        </w:tc>
      </w:tr>
      <w:tr>
        <w:trPr/>
        <w:tc>
          <w:tcPr>
            <w:tcW w:w="202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Medium</w:t>
            </w:r>
          </w:p>
        </w:tc>
        <w:tc>
          <w:tcPr>
            <w:tcW w:w="243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31–100</w:t>
            </w:r>
          </w:p>
        </w:tc>
        <w:tc>
          <w:tcPr>
            <w:tcW w:w="49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500,000–2,000,000</w:t>
            </w:r>
          </w:p>
        </w:tc>
      </w:tr>
    </w:tbl>
    <w:p>
      <w:pPr>
        <w:pStyle w:val="Normal"/>
        <w:spacing w:before="200" w:after="160"/>
        <w:rPr/>
      </w:pPr>
      <w:r>
        <w:rPr>
          <w:b/>
        </w:rPr>
        <w:t>Growth stages used.</w:t>
      </w:r>
      <w:r>
        <w:rPr/>
        <w:t xml:space="preserve"> Start-up means under 2 trading seasons. Emerging means 2–5 seasons, trading but under-capitalised. Scaling means 5+ seasons, with a proven model and expansion plans.</w:t>
      </w:r>
    </w:p>
    <w:p>
      <w:pPr>
        <w:pStyle w:val="Normal"/>
        <w:rPr/>
      </w:pPr>
      <w:r>
        <w:rPr>
          <w:b/>
        </w:rPr>
        <w:t>Method.</w:t>
      </w:r>
      <w:r>
        <w:rPr/>
        <w:t xml:space="preserve"> The report is a structured desk review of national statistics, Enterprise Surveys, Findex, central bank and guarantee-scheme publications, World Bank and AfDB project documents, CBNRM reports (NACSO, CAMPFIRE, Botswana CBNRM) and press reporting up to October 2026. It builds on the project's Financial Landscape Analysis (October 2026), which mapped the financial actors in each country.</w:t>
      </w:r>
    </w:p>
    <w:p>
      <w:pPr>
        <w:pStyle w:val="Normal"/>
        <w:rPr/>
      </w:pPr>
      <w:r>
        <w:rPr>
          <w:b/>
        </w:rPr>
        <w:t>Limitations.</w:t>
      </w:r>
      <w:r>
        <w:rPr/>
        <w:t xml:space="preserve"> No KAZA-specific, sex- and age-disaggregated MSME dataset exists. The disaggregated figures here are national or programme-level proxies, and each is labelled with its year and age definition. Where a number is an estimate drawn from the literature rather than a measurement, it is marked </w:t>
      </w:r>
      <w:r>
        <w:rPr>
          <w:i/>
        </w:rPr>
        <w:t>indicative</w:t>
      </w:r>
      <w:r>
        <w:rPr/>
        <w:t>. Section 8 lists the primary data the facility should collect during its inception phase.</w:t>
      </w:r>
    </w:p>
    <w:p>
      <w:pPr>
        <w:pStyle w:val="Heading1"/>
        <w:rPr/>
      </w:pPr>
      <w:bookmarkStart w:id="2" w:name="__RefHeading___Toc9512_1627482358"/>
      <w:bookmarkEnd w:id="2"/>
      <w:r>
        <w:rPr/>
        <w:t>2. The KAZA tourism MSME landscape</w:t>
      </w:r>
    </w:p>
    <w:p>
      <w:pPr>
        <w:pStyle w:val="Normal"/>
        <w:rPr/>
      </w:pPr>
      <w:r>
        <w:rPr/>
        <w:t>Most KAZA tourism MSMEs are micro, informal or semi-formal, and run from communal land. Women dominate crafts, food supply, laundry and homestays. Youth cluster in guiding, transport, digital services and activities. Men still dominate vehicle-, boat- and land-based businesses, the asset-heavy segments where loan sizes are largest.</w:t>
      </w:r>
    </w:p>
    <w:p>
      <w:pPr>
        <w:pStyle w:val="Heading2"/>
        <w:rPr/>
      </w:pPr>
      <w:bookmarkStart w:id="3" w:name="__RefHeading___Toc9514_1627482358"/>
      <w:bookmarkEnd w:id="3"/>
      <w:r>
        <w:rPr/>
        <w:t>2.1 MSME typology and who leads it</w:t>
      </w:r>
    </w:p>
    <w:p>
      <w:pPr>
        <w:pStyle w:val="Normal"/>
        <w:rPr/>
      </w:pPr>
      <w:r>
        <w:rPr/>
        <w:t xml:space="preserve">The gender and age patterns below are </w:t>
      </w:r>
      <w:r>
        <w:rPr>
          <w:i/>
        </w:rPr>
        <w:t>indicative</w:t>
      </w:r>
      <w:r>
        <w:rPr/>
        <w:t>. They draw on CBNRM reports, programme evaluations and the Financial Landscape Analysis, and need checking in the baseline survey.</w:t>
      </w:r>
    </w:p>
    <w:p>
      <w:pPr>
        <w:pStyle w:val="Normal"/>
        <w:keepNext w:val="true"/>
        <w:rPr/>
      </w:pPr>
      <w:r>
        <w:rPr/>
        <w:t>The typology shows that who leads a business follows its asset base. Women lead most crafts, food-supply and homestay businesses, which run on skills, stock and buildings on communal plots that can't be pledged. Men dominate transport and boat operators, whose vehicles and boats are good movable collateral. Youth are concentrated in guiding and digital services, which have the fewest assets of all.</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3</w:t>
      </w:r>
      <w:r>
        <w:rPr>
          <w:sz w:val="20"/>
          <w:b/>
          <w:color w:val="1F3A5F"/>
        </w:rPr>
        <w:fldChar w:fldCharType="end"/>
      </w:r>
      <w:r>
        <w:rPr>
          <w:b/>
          <w:color w:val="1F3A5F"/>
          <w:sz w:val="20"/>
        </w:rPr>
        <w:t>: KAZA tourism MSME typology and leadership patterns</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2192"/>
        <w:gridCol w:w="1418"/>
        <w:gridCol w:w="1922"/>
        <w:gridCol w:w="1896"/>
        <w:gridCol w:w="1984"/>
      </w:tblGrid>
      <w:tr>
        <w:trPr>
          <w:tblHeader w:val="true"/>
        </w:trPr>
        <w:tc>
          <w:tcPr>
            <w:tcW w:w="2192"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Segment</w:t>
            </w:r>
          </w:p>
        </w:tc>
        <w:tc>
          <w:tcPr>
            <w:tcW w:w="1418"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Typical size and stage</w:t>
            </w:r>
          </w:p>
        </w:tc>
        <w:tc>
          <w:tcPr>
            <w:tcW w:w="1922"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Typical leader pattern</w:t>
            </w:r>
          </w:p>
        </w:tc>
        <w:tc>
          <w:tcPr>
            <w:tcW w:w="1896"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Formality</w:t>
            </w:r>
          </w:p>
        </w:tc>
        <w:tc>
          <w:tcPr>
            <w:tcW w:w="1984"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Main asset base</w:t>
            </w:r>
          </w:p>
        </w:tc>
      </w:tr>
      <w:tr>
        <w:trPr/>
        <w:tc>
          <w:tcPr>
            <w:tcW w:w="219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Crafts and cultural products (basketry, carving, cultural villages)</w:t>
            </w:r>
          </w:p>
        </w:tc>
        <w:tc>
          <w:tcPr>
            <w:tcW w:w="141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Micro; start-up to emerging; often groups</w:t>
            </w:r>
          </w:p>
        </w:tc>
        <w:tc>
          <w:tcPr>
            <w:tcW w:w="192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Mostly women; older women in basketry</w:t>
            </w:r>
          </w:p>
        </w:tc>
        <w:tc>
          <w:tcPr>
            <w:tcW w:w="189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Informal; group or co-op</w:t>
            </w:r>
          </w:p>
        </w:tc>
        <w:tc>
          <w:tcPr>
            <w:tcW w:w="198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Skills, raw materials, stock</w:t>
            </w:r>
          </w:p>
        </w:tc>
      </w:tr>
      <w:tr>
        <w:trPr/>
        <w:tc>
          <w:tcPr>
            <w:tcW w:w="219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Food and agri-supply to lodges (vegetables, poultry, fish, bakery)</w:t>
            </w:r>
          </w:p>
        </w:tc>
        <w:tc>
          <w:tcPr>
            <w:tcW w:w="141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Micro to small; emerging</w:t>
            </w:r>
          </w:p>
        </w:tc>
        <w:tc>
          <w:tcPr>
            <w:tcW w:w="192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Mostly women; youth in poultry and horticulture</w:t>
            </w:r>
          </w:p>
        </w:tc>
        <w:tc>
          <w:tcPr>
            <w:tcW w:w="189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Semi-formal</w:t>
            </w:r>
          </w:p>
        </w:tc>
        <w:tc>
          <w:tcPr>
            <w:tcW w:w="198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Small livestock, irrigation kit</w:t>
            </w:r>
          </w:p>
        </w:tc>
      </w:tr>
      <w:tr>
        <w:trPr/>
        <w:tc>
          <w:tcPr>
            <w:tcW w:w="219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Homestays, guesthouses, B&amp;Bs</w:t>
            </w:r>
          </w:p>
        </w:tc>
        <w:tc>
          <w:tcPr>
            <w:tcW w:w="141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Micro to small; emerging</w:t>
            </w:r>
          </w:p>
        </w:tc>
        <w:tc>
          <w:tcPr>
            <w:tcW w:w="192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Mixed; many women-run family firms</w:t>
            </w:r>
          </w:p>
        </w:tc>
        <w:tc>
          <w:tcPr>
            <w:tcW w:w="189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Semi-formal; licence gaps</w:t>
            </w:r>
          </w:p>
        </w:tc>
        <w:tc>
          <w:tcPr>
            <w:tcW w:w="198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Buildings on communal plots (not bankable)</w:t>
            </w:r>
          </w:p>
        </w:tc>
      </w:tr>
      <w:tr>
        <w:trPr/>
        <w:tc>
          <w:tcPr>
            <w:tcW w:w="219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Community campsites and community-owned lodges</w:t>
            </w:r>
          </w:p>
        </w:tc>
        <w:tc>
          <w:tcPr>
            <w:tcW w:w="141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Small; emerging to scaling</w:t>
            </w:r>
          </w:p>
        </w:tc>
        <w:tc>
          <w:tcPr>
            <w:tcW w:w="192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Trusts, conservancies and CRBs; women 40% of conservancy committees in Namibia</w:t>
            </w:r>
          </w:p>
        </w:tc>
        <w:tc>
          <w:tcPr>
            <w:tcW w:w="189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Formal (trust or association)</w:t>
            </w:r>
          </w:p>
        </w:tc>
        <w:tc>
          <w:tcPr>
            <w:tcW w:w="198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Lease or JV rights, infrastructure</w:t>
            </w:r>
          </w:p>
        </w:tc>
      </w:tr>
      <w:tr>
        <w:trPr/>
        <w:tc>
          <w:tcPr>
            <w:tcW w:w="219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Guiding, mokoro and walking safaris, fishing</w:t>
            </w:r>
          </w:p>
        </w:tc>
        <w:tc>
          <w:tcPr>
            <w:tcW w:w="141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Micro; start-up</w:t>
            </w:r>
          </w:p>
        </w:tc>
        <w:tc>
          <w:tcPr>
            <w:tcW w:w="192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Mostly young men; women guides rising</w:t>
            </w:r>
          </w:p>
        </w:tc>
        <w:tc>
          <w:tcPr>
            <w:tcW w:w="189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Informal to licensed</w:t>
            </w:r>
          </w:p>
        </w:tc>
        <w:tc>
          <w:tcPr>
            <w:tcW w:w="198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Mokoro, licence, small equipment</w:t>
            </w:r>
          </w:p>
        </w:tc>
      </w:tr>
      <w:tr>
        <w:trPr/>
        <w:tc>
          <w:tcPr>
            <w:tcW w:w="219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Transfers, 4x4 hire, boat cruises</w:t>
            </w:r>
          </w:p>
        </w:tc>
        <w:tc>
          <w:tcPr>
            <w:tcW w:w="141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Small; emerging to scaling</w:t>
            </w:r>
          </w:p>
        </w:tc>
        <w:tc>
          <w:tcPr>
            <w:tcW w:w="192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Mostly men, aged 30+</w:t>
            </w:r>
          </w:p>
        </w:tc>
        <w:tc>
          <w:tcPr>
            <w:tcW w:w="189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Formal</w:t>
            </w:r>
          </w:p>
        </w:tc>
        <w:tc>
          <w:tcPr>
            <w:tcW w:w="198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Vehicles and boats (good movable collateral)</w:t>
            </w:r>
          </w:p>
        </w:tc>
      </w:tr>
      <w:tr>
        <w:trPr/>
        <w:tc>
          <w:tcPr>
            <w:tcW w:w="219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Laundry, maintenance, construction, waste and recycling</w:t>
            </w:r>
          </w:p>
        </w:tc>
        <w:tc>
          <w:tcPr>
            <w:tcW w:w="141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Micro to small; emerging</w:t>
            </w:r>
          </w:p>
        </w:tc>
        <w:tc>
          <w:tcPr>
            <w:tcW w:w="192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Mixed; youth in waste and recycling</w:t>
            </w:r>
          </w:p>
        </w:tc>
        <w:tc>
          <w:tcPr>
            <w:tcW w:w="189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Semi-formal</w:t>
            </w:r>
          </w:p>
        </w:tc>
        <w:tc>
          <w:tcPr>
            <w:tcW w:w="198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Equipment</w:t>
            </w:r>
          </w:p>
        </w:tc>
      </w:tr>
      <w:tr>
        <w:trPr/>
        <w:tc>
          <w:tcPr>
            <w:tcW w:w="219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Digital marketing, booking, IT and media</w:t>
            </w:r>
          </w:p>
        </w:tc>
        <w:tc>
          <w:tcPr>
            <w:tcW w:w="141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Micro; start-up</w:t>
            </w:r>
          </w:p>
        </w:tc>
        <w:tc>
          <w:tcPr>
            <w:tcW w:w="192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Youth-led, mixed gender, urban hubs</w:t>
            </w:r>
          </w:p>
        </w:tc>
        <w:tc>
          <w:tcPr>
            <w:tcW w:w="189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Semi-formal</w:t>
            </w:r>
          </w:p>
        </w:tc>
        <w:tc>
          <w:tcPr>
            <w:tcW w:w="198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Laptops, phones, software</w:t>
            </w:r>
          </w:p>
        </w:tc>
      </w:tr>
      <w:tr>
        <w:trPr/>
        <w:tc>
          <w:tcPr>
            <w:tcW w:w="219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Conservation services (monitoring, restoration, human–wildlife conflict mitigation)</w:t>
            </w:r>
          </w:p>
        </w:tc>
        <w:tc>
          <w:tcPr>
            <w:tcW w:w="141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Micro to small; start-up</w:t>
            </w:r>
          </w:p>
        </w:tc>
        <w:tc>
          <w:tcPr>
            <w:tcW w:w="192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Community and youth groups</w:t>
            </w:r>
          </w:p>
        </w:tc>
        <w:tc>
          <w:tcPr>
            <w:tcW w:w="189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Contract-based</w:t>
            </w:r>
          </w:p>
        </w:tc>
        <w:tc>
          <w:tcPr>
            <w:tcW w:w="198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Contracts and performance payments</w:t>
            </w:r>
          </w:p>
        </w:tc>
      </w:tr>
    </w:tbl>
    <w:p>
      <w:pPr>
        <w:pStyle w:val="Heading2"/>
        <w:spacing w:before="200" w:after="100"/>
        <w:rPr/>
      </w:pPr>
      <w:bookmarkStart w:id="4" w:name="__RefHeading___Toc9516_1627482358"/>
      <w:bookmarkEnd w:id="4"/>
      <w:r>
        <w:rPr/>
        <w:t>2.2 Gender- and age-disaggregated data</w:t>
      </w:r>
    </w:p>
    <w:p>
      <w:pPr>
        <w:pStyle w:val="Normal"/>
        <w:rPr/>
      </w:pPr>
      <w:r>
        <w:rPr/>
        <w:t>KAZA-level disaggregated data is missing, so national proxies are used. Each row names its source year and age definition.</w:t>
      </w:r>
    </w:p>
    <w:p>
      <w:pPr>
        <w:pStyle w:val="Normal"/>
        <w:keepNext w:val="true"/>
        <w:rPr/>
      </w:pPr>
      <w:r>
        <w:rPr/>
        <w:t>The national figures show that women own a large share of firms but rarely hold land, and that young people face high unemployment. Women are among the principal owners of 41–55% of formal firms in the four countries with data. Youth unemployment runs from 28.9% in Botswana (ages 15–35) to about 37% in Namibia (ages 15–24). Women also make up most savings-group members and conservancy finance managers. The many empty cells mark figures that couldn't be found, which shows what the baseline survey must collect.</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4</w:t>
      </w:r>
      <w:r>
        <w:rPr>
          <w:sz w:val="20"/>
          <w:b/>
          <w:color w:val="1F3A5F"/>
        </w:rPr>
        <w:fldChar w:fldCharType="end"/>
      </w:r>
      <w:r>
        <w:rPr>
          <w:b/>
          <w:color w:val="1F3A5F"/>
          <w:sz w:val="20"/>
        </w:rPr>
        <w:t>: Gender- and age-disaggregated indicators by country</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1606"/>
        <w:gridCol w:w="962"/>
        <w:gridCol w:w="1167"/>
        <w:gridCol w:w="1368"/>
        <w:gridCol w:w="1378"/>
        <w:gridCol w:w="1452"/>
        <w:gridCol w:w="1478"/>
      </w:tblGrid>
      <w:tr>
        <w:trPr>
          <w:tblHeader w:val="true"/>
        </w:trPr>
        <w:tc>
          <w:tcPr>
            <w:tcW w:w="1606"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7"/>
                <w:szCs w:val="22"/>
                <w:lang w:val="en-US"/>
              </w:rPr>
              <w:t>Indicator</w:t>
            </w:r>
          </w:p>
        </w:tc>
        <w:tc>
          <w:tcPr>
            <w:tcW w:w="962"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7"/>
                <w:szCs w:val="22"/>
                <w:lang w:val="en-US"/>
              </w:rPr>
              <w:t>Angola</w:t>
            </w:r>
          </w:p>
        </w:tc>
        <w:tc>
          <w:tcPr>
            <w:tcW w:w="1167"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7"/>
                <w:szCs w:val="22"/>
                <w:lang w:val="en-US"/>
              </w:rPr>
              <w:t>Botswana</w:t>
            </w:r>
          </w:p>
        </w:tc>
        <w:tc>
          <w:tcPr>
            <w:tcW w:w="1368"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7"/>
                <w:szCs w:val="22"/>
                <w:lang w:val="en-US"/>
              </w:rPr>
              <w:t>Namibia</w:t>
            </w:r>
          </w:p>
        </w:tc>
        <w:tc>
          <w:tcPr>
            <w:tcW w:w="1378"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7"/>
                <w:szCs w:val="22"/>
                <w:lang w:val="en-US"/>
              </w:rPr>
              <w:t>Zambia</w:t>
            </w:r>
          </w:p>
        </w:tc>
        <w:tc>
          <w:tcPr>
            <w:tcW w:w="1452"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7"/>
                <w:szCs w:val="22"/>
                <w:lang w:val="en-US"/>
              </w:rPr>
              <w:t>Zimbabwe</w:t>
            </w:r>
          </w:p>
        </w:tc>
        <w:tc>
          <w:tcPr>
            <w:tcW w:w="1478"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7"/>
                <w:szCs w:val="22"/>
                <w:lang w:val="en-US"/>
              </w:rPr>
              <w:t>Source</w:t>
            </w:r>
          </w:p>
        </w:tc>
      </w:tr>
      <w:tr>
        <w:trPr/>
        <w:tc>
          <w:tcPr>
            <w:tcW w:w="160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Formal firms with a woman among principal owners (%)</w:t>
            </w:r>
          </w:p>
        </w:tc>
        <w:tc>
          <w:tcPr>
            <w:tcW w:w="9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highest in Africa (ranked 1st)</w:t>
            </w:r>
          </w:p>
        </w:tc>
        <w:tc>
          <w:tcPr>
            <w:tcW w:w="116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55.3 (2010)</w:t>
            </w:r>
          </w:p>
        </w:tc>
        <w:tc>
          <w:tcPr>
            <w:tcW w:w="136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41.0 (2014)</w:t>
            </w:r>
          </w:p>
        </w:tc>
        <w:tc>
          <w:tcPr>
            <w:tcW w:w="137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41.5 (2019)</w:t>
            </w:r>
          </w:p>
        </w:tc>
        <w:tc>
          <w:tcPr>
            <w:tcW w:w="145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42.5 (2016)</w:t>
            </w:r>
          </w:p>
        </w:tc>
        <w:tc>
          <w:tcPr>
            <w:tcW w:w="147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3">
              <w:r>
                <w:rPr>
                  <w:rStyle w:val="Hyperlink"/>
                  <w:rFonts w:eastAsia="Calibri" w:cs="Calibri"/>
                  <w:kern w:val="0"/>
                  <w:sz w:val="17"/>
                  <w:szCs w:val="22"/>
                  <w:lang w:val="en-US"/>
                </w:rPr>
                <w:t>WB Enterprise Surveys via IndexMundi</w:t>
              </w:r>
            </w:hyperlink>
          </w:p>
        </w:tc>
      </w:tr>
      <w:tr>
        <w:trPr/>
        <w:tc>
          <w:tcPr>
            <w:tcW w:w="160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Youth unemployment (%)</w:t>
            </w:r>
          </w:p>
        </w:tc>
        <w:tc>
          <w:tcPr>
            <w:tcW w:w="9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t>
            </w:r>
          </w:p>
        </w:tc>
        <w:tc>
          <w:tcPr>
            <w:tcW w:w="116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28.9 (ages 15–35, 2024/25); 45.3 (ages 15–24, 2024)</w:t>
            </w:r>
          </w:p>
        </w:tc>
        <w:tc>
          <w:tcPr>
            <w:tcW w:w="136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37.3 (ages 15–24, 2024)</w:t>
            </w:r>
          </w:p>
        </w:tc>
        <w:tc>
          <w:tcPr>
            <w:tcW w:w="137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9.9 (ages 15–24, 2024; strict definition)</w:t>
            </w:r>
          </w:p>
        </w:tc>
        <w:tc>
          <w:tcPr>
            <w:tcW w:w="145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t>
            </w:r>
          </w:p>
        </w:tc>
        <w:tc>
          <w:tcPr>
            <w:tcW w:w="147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4">
              <w:r>
                <w:rPr>
                  <w:rStyle w:val="Hyperlink"/>
                  <w:rFonts w:eastAsia="Calibri" w:cs="Calibri"/>
                  <w:kern w:val="0"/>
                  <w:sz w:val="17"/>
                  <w:szCs w:val="22"/>
                  <w:lang w:val="en-US"/>
                </w:rPr>
                <w:t>Statistics Botswana BMTHS</w:t>
              </w:r>
            </w:hyperlink>
            <w:r>
              <w:rPr>
                <w:rFonts w:eastAsia="Calibri" w:cs="Calibri"/>
                <w:kern w:val="0"/>
                <w:sz w:val="17"/>
                <w:szCs w:val="22"/>
                <w:lang w:val="en-US"/>
              </w:rPr>
              <w:t>; WB WDI</w:t>
            </w:r>
          </w:p>
        </w:tc>
      </w:tr>
      <w:tr>
        <w:trPr/>
        <w:tc>
          <w:tcPr>
            <w:tcW w:w="160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Youth NEET rate (%)</w:t>
            </w:r>
          </w:p>
        </w:tc>
        <w:tc>
          <w:tcPr>
            <w:tcW w:w="9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t>
            </w:r>
          </w:p>
        </w:tc>
        <w:tc>
          <w:tcPr>
            <w:tcW w:w="116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41.3 (2024)</w:t>
            </w:r>
          </w:p>
        </w:tc>
        <w:tc>
          <w:tcPr>
            <w:tcW w:w="136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t>
            </w:r>
          </w:p>
        </w:tc>
        <w:tc>
          <w:tcPr>
            <w:tcW w:w="137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t>
            </w:r>
          </w:p>
        </w:tc>
        <w:tc>
          <w:tcPr>
            <w:tcW w:w="145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t>
            </w:r>
          </w:p>
        </w:tc>
        <w:tc>
          <w:tcPr>
            <w:tcW w:w="147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5">
              <w:r>
                <w:rPr>
                  <w:rStyle w:val="Hyperlink"/>
                  <w:rFonts w:eastAsia="Calibri" w:cs="Calibri"/>
                  <w:kern w:val="0"/>
                  <w:sz w:val="17"/>
                  <w:szCs w:val="22"/>
                  <w:lang w:val="en-US"/>
                </w:rPr>
                <w:t>UNFPA Botswana</w:t>
              </w:r>
            </w:hyperlink>
          </w:p>
        </w:tc>
      </w:tr>
      <w:tr>
        <w:trPr/>
        <w:tc>
          <w:tcPr>
            <w:tcW w:w="160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Women's formal financial inclusion (%)</w:t>
            </w:r>
          </w:p>
        </w:tc>
        <w:tc>
          <w:tcPr>
            <w:tcW w:w="9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t>
            </w:r>
          </w:p>
        </w:tc>
        <w:tc>
          <w:tcPr>
            <w:tcW w:w="116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t>
            </w:r>
          </w:p>
        </w:tc>
        <w:tc>
          <w:tcPr>
            <w:tcW w:w="136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t>
            </w:r>
          </w:p>
        </w:tc>
        <w:tc>
          <w:tcPr>
            <w:tcW w:w="137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58.6 (2020, up from 33.3 in 2015)</w:t>
            </w:r>
          </w:p>
        </w:tc>
        <w:tc>
          <w:tcPr>
            <w:tcW w:w="145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t>
            </w:r>
          </w:p>
        </w:tc>
        <w:tc>
          <w:tcPr>
            <w:tcW w:w="147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6">
              <w:r>
                <w:rPr>
                  <w:rStyle w:val="Hyperlink"/>
                  <w:rFonts w:eastAsia="Calibri" w:cs="Calibri"/>
                  <w:kern w:val="0"/>
                  <w:sz w:val="17"/>
                  <w:szCs w:val="22"/>
                  <w:lang w:val="en-US"/>
                </w:rPr>
                <w:t>AFI Zambia</w:t>
              </w:r>
            </w:hyperlink>
          </w:p>
        </w:tc>
      </w:tr>
      <w:tr>
        <w:trPr/>
        <w:tc>
          <w:tcPr>
            <w:tcW w:w="160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Savings-group members who are women / youth 15–35 (%)</w:t>
            </w:r>
          </w:p>
        </w:tc>
        <w:tc>
          <w:tcPr>
            <w:tcW w:w="9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t>
            </w:r>
          </w:p>
        </w:tc>
        <w:tc>
          <w:tcPr>
            <w:tcW w:w="116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t>
            </w:r>
          </w:p>
        </w:tc>
        <w:tc>
          <w:tcPr>
            <w:tcW w:w="136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t>
            </w:r>
          </w:p>
        </w:tc>
        <w:tc>
          <w:tcPr>
            <w:tcW w:w="137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73 / 28 (rural sample)</w:t>
            </w:r>
          </w:p>
        </w:tc>
        <w:tc>
          <w:tcPr>
            <w:tcW w:w="145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t>
            </w:r>
          </w:p>
        </w:tc>
        <w:tc>
          <w:tcPr>
            <w:tcW w:w="147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7">
              <w:r>
                <w:rPr>
                  <w:rStyle w:val="Hyperlink"/>
                  <w:rFonts w:eastAsia="Calibri" w:cs="Calibri"/>
                  <w:kern w:val="0"/>
                  <w:sz w:val="17"/>
                  <w:szCs w:val="22"/>
                  <w:lang w:val="en-US"/>
                </w:rPr>
                <w:t>Africa Portal</w:t>
              </w:r>
            </w:hyperlink>
          </w:p>
        </w:tc>
      </w:tr>
      <w:tr>
        <w:trPr/>
        <w:tc>
          <w:tcPr>
            <w:tcW w:w="160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Conservancy committee members / financial managers who are women (%)</w:t>
            </w:r>
          </w:p>
        </w:tc>
        <w:tc>
          <w:tcPr>
            <w:tcW w:w="9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t>
            </w:r>
          </w:p>
        </w:tc>
        <w:tc>
          <w:tcPr>
            <w:tcW w:w="116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t>
            </w:r>
          </w:p>
        </w:tc>
        <w:tc>
          <w:tcPr>
            <w:tcW w:w="136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about 40 / over 60</w:t>
            </w:r>
          </w:p>
        </w:tc>
        <w:tc>
          <w:tcPr>
            <w:tcW w:w="137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t>
            </w:r>
          </w:p>
        </w:tc>
        <w:tc>
          <w:tcPr>
            <w:tcW w:w="145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t>
            </w:r>
          </w:p>
        </w:tc>
        <w:tc>
          <w:tcPr>
            <w:tcW w:w="147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8">
              <w:r>
                <w:rPr>
                  <w:rStyle w:val="Hyperlink"/>
                  <w:rFonts w:eastAsia="Calibri" w:cs="Calibri"/>
                  <w:kern w:val="0"/>
                  <w:sz w:val="17"/>
                  <w:szCs w:val="22"/>
                  <w:lang w:val="en-US"/>
                </w:rPr>
                <w:t>NACSO via TravelNam</w:t>
              </w:r>
            </w:hyperlink>
          </w:p>
        </w:tc>
      </w:tr>
      <w:tr>
        <w:trPr/>
        <w:tc>
          <w:tcPr>
            <w:tcW w:w="160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Women landowners or leaseholders after land reform (%)</w:t>
            </w:r>
          </w:p>
        </w:tc>
        <w:tc>
          <w:tcPr>
            <w:tcW w:w="9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t>
            </w:r>
          </w:p>
        </w:tc>
        <w:tc>
          <w:tcPr>
            <w:tcW w:w="116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t>
            </w:r>
          </w:p>
        </w:tc>
        <w:tc>
          <w:tcPr>
            <w:tcW w:w="136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t>
            </w:r>
          </w:p>
        </w:tc>
        <w:tc>
          <w:tcPr>
            <w:tcW w:w="137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t>
            </w:r>
          </w:p>
        </w:tc>
        <w:tc>
          <w:tcPr>
            <w:tcW w:w="145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about 20 (from under 5)</w:t>
            </w:r>
          </w:p>
        </w:tc>
        <w:tc>
          <w:tcPr>
            <w:tcW w:w="147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9">
              <w:r>
                <w:rPr>
                  <w:rStyle w:val="Hyperlink"/>
                  <w:rFonts w:eastAsia="Calibri" w:cs="Calibri"/>
                  <w:kern w:val="0"/>
                  <w:sz w:val="17"/>
                  <w:szCs w:val="22"/>
                  <w:lang w:val="en-US"/>
                </w:rPr>
                <w:t>The New Humanitarian</w:t>
              </w:r>
            </w:hyperlink>
          </w:p>
        </w:tc>
      </w:tr>
      <w:tr>
        <w:trPr/>
        <w:tc>
          <w:tcPr>
            <w:tcW w:w="160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Women-led credit guarantee targets</w:t>
            </w:r>
          </w:p>
        </w:tc>
        <w:tc>
          <w:tcPr>
            <w:tcW w:w="9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t>
            </w:r>
          </w:p>
        </w:tc>
        <w:tc>
          <w:tcPr>
            <w:tcW w:w="116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No national CGS</w:t>
            </w:r>
          </w:p>
        </w:tc>
        <w:tc>
          <w:tcPr>
            <w:tcW w:w="136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CGS targets women-owned and youth-owned (40 and under) SMEs at 60% cover</w:t>
            </w:r>
          </w:p>
        </w:tc>
        <w:tc>
          <w:tcPr>
            <w:tcW w:w="137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ZCGS–FNB partnership prioritises women- and youth-led firms</w:t>
            </w:r>
          </w:p>
        </w:tc>
        <w:tc>
          <w:tcPr>
            <w:tcW w:w="145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Women's Microfinance Bank: 49,000+ borrowers since 2018</w:t>
            </w:r>
          </w:p>
        </w:tc>
        <w:tc>
          <w:tcPr>
            <w:tcW w:w="147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10">
              <w:r>
                <w:rPr>
                  <w:rStyle w:val="Hyperlink"/>
                  <w:rFonts w:eastAsia="Calibri" w:cs="Calibri"/>
                  <w:kern w:val="0"/>
                  <w:sz w:val="17"/>
                  <w:szCs w:val="22"/>
                  <w:lang w:val="en-US"/>
                </w:rPr>
                <w:t>The Brief</w:t>
              </w:r>
            </w:hyperlink>
            <w:r>
              <w:rPr>
                <w:rFonts w:eastAsia="Calibri" w:cs="Calibri"/>
                <w:kern w:val="0"/>
                <w:sz w:val="17"/>
                <w:szCs w:val="22"/>
                <w:lang w:val="en-US"/>
              </w:rPr>
              <w:t xml:space="preserve">; </w:t>
            </w:r>
            <w:hyperlink r:id="rId11">
              <w:r>
                <w:rPr>
                  <w:rStyle w:val="Hyperlink"/>
                  <w:rFonts w:eastAsia="Calibri" w:cs="Calibri"/>
                  <w:kern w:val="0"/>
                  <w:sz w:val="17"/>
                  <w:szCs w:val="22"/>
                  <w:lang w:val="en-US"/>
                </w:rPr>
                <w:t>Zambia Monitor</w:t>
              </w:r>
            </w:hyperlink>
            <w:r>
              <w:rPr>
                <w:rFonts w:eastAsia="Calibri" w:cs="Calibri"/>
                <w:kern w:val="0"/>
                <w:sz w:val="17"/>
                <w:szCs w:val="22"/>
                <w:lang w:val="en-US"/>
              </w:rPr>
              <w:t>; Parliament of Zimbabwe</w:t>
            </w:r>
          </w:p>
        </w:tc>
      </w:tr>
    </w:tbl>
    <w:p>
      <w:pPr>
        <w:pStyle w:val="Normal"/>
        <w:spacing w:before="200" w:after="160"/>
        <w:rPr/>
      </w:pPr>
      <w:r>
        <w:rPr/>
        <w:t>The data shows three patterns:</w:t>
      </w:r>
    </w:p>
    <w:p>
      <w:pPr>
        <w:pStyle w:val="ListParagraph"/>
        <w:numPr>
          <w:ilvl w:val="0"/>
          <w:numId w:val="118"/>
        </w:numPr>
        <w:rPr/>
      </w:pPr>
      <w:r>
        <w:rPr>
          <w:b/>
        </w:rPr>
        <w:t>Ownership is not the gap.</w:t>
      </w:r>
      <w:r>
        <w:rPr/>
        <w:t xml:space="preserve"> Women hold a large share of firms. The gap is in firm size and in credit, because women's firms sit in low-asset segments.</w:t>
      </w:r>
    </w:p>
    <w:p>
      <w:pPr>
        <w:pStyle w:val="ListParagraph"/>
        <w:numPr>
          <w:ilvl w:val="0"/>
          <w:numId w:val="119"/>
        </w:numPr>
        <w:rPr/>
      </w:pPr>
      <w:r>
        <w:rPr>
          <w:b/>
        </w:rPr>
        <w:t>Youth exclusion is the sharpest problem.</w:t>
      </w:r>
      <w:r>
        <w:rPr/>
        <w:t xml:space="preserve"> It is most acute in Botswana and Namibia, which have the deepest tourism markets.</w:t>
      </w:r>
    </w:p>
    <w:p>
      <w:pPr>
        <w:pStyle w:val="ListParagraph"/>
        <w:numPr>
          <w:ilvl w:val="0"/>
          <w:numId w:val="120"/>
        </w:numPr>
        <w:rPr/>
      </w:pPr>
      <w:r>
        <w:rPr>
          <w:b/>
        </w:rPr>
        <w:t>Women's finance is already organised.</w:t>
      </w:r>
      <w:r>
        <w:rPr/>
        <w:t xml:space="preserve"> Women run savings groups and conservancy finances. That is a base to build on, not a deficit to fix.</w:t>
      </w:r>
    </w:p>
    <w:p>
      <w:pPr>
        <w:pStyle w:val="Normal"/>
        <w:rPr/>
      </w:pPr>
      <w:r>
        <w:rPr/>
        <w:t>For 2025 Findex country gender gaps, the World Bank tables should be pulled during inception. The search for this report did not return country values.</w:t>
      </w:r>
    </w:p>
    <w:p>
      <w:pPr>
        <w:pStyle w:val="Heading1"/>
        <w:rPr/>
      </w:pPr>
      <w:bookmarkStart w:id="5" w:name="__RefHeading___Toc9518_1627482358"/>
      <w:bookmarkEnd w:id="5"/>
      <w:r>
        <w:rPr/>
        <w:t>3. Financial institutions: risk views and willingness to lend to women and youth</w:t>
      </w:r>
    </w:p>
    <w:p>
      <w:pPr>
        <w:pStyle w:val="Normal"/>
        <w:rPr/>
      </w:pPr>
      <w:r>
        <w:rPr/>
        <w:t>Lenders in the corridor are willing to take on gender-lens and youth lending, but mostly through risk-sharing they don't fund themselves. The institutions most ready are those with a guarantee partner and a mandate to empower citizens: DBN with CGS in Namibia, FNB and Absa with ZCGS and CEEC in Zambia, CEDA with Stanbic in Botswana, and ECGC with the Women's Microfinance Bank in Zimbabwe.</w:t>
      </w:r>
    </w:p>
    <w:p>
      <w:pPr>
        <w:pStyle w:val="Heading2"/>
        <w:rPr/>
      </w:pPr>
      <w:bookmarkStart w:id="6" w:name="__RefHeading___Toc9520_1627482358"/>
      <w:bookmarkEnd w:id="6"/>
      <w:r>
        <w:rPr/>
        <w:t>3.1 How lenders view risk by MSME category</w:t>
      </w:r>
    </w:p>
    <w:p>
      <w:pPr>
        <w:pStyle w:val="Normal"/>
        <w:rPr/>
      </w:pPr>
      <w:r>
        <w:rPr/>
        <w:t xml:space="preserve">These ratings are </w:t>
      </w:r>
      <w:r>
        <w:rPr>
          <w:i/>
        </w:rPr>
        <w:t>indicative</w:t>
      </w:r>
      <w:r>
        <w:rPr/>
        <w:t>. They synthesise lender practice reported in the Financial Landscape Analysis and should be validated in interviews with financial institutions.</w:t>
      </w:r>
    </w:p>
    <w:p>
      <w:pPr>
        <w:pStyle w:val="Normal"/>
        <w:keepNext w:val="true"/>
        <w:rPr/>
      </w:pPr>
      <w:r>
        <w:rPr/>
        <w:t>Lenders rate risk mainly by what a borrower can pledge, not by how viable the business is. Youth-led start-ups and women-led micro firms are rated highest risk, because they have no credit history and their premises sit on communal land. Suppliers with an anchor contract and scaling formal operators are rated lowest. Each category has a matching fix, and most of the fixes are guarantees, contracts or payment data rather than land.</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5</w:t>
      </w:r>
      <w:r>
        <w:rPr>
          <w:sz w:val="20"/>
          <w:b/>
          <w:color w:val="1F3A5F"/>
        </w:rPr>
        <w:fldChar w:fldCharType="end"/>
      </w:r>
      <w:r>
        <w:rPr>
          <w:b/>
          <w:color w:val="1F3A5F"/>
          <w:sz w:val="20"/>
        </w:rPr>
        <w:t>: Lender risk perceptions by MSME category</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2371"/>
        <w:gridCol w:w="1680"/>
        <w:gridCol w:w="2753"/>
        <w:gridCol w:w="2607"/>
      </w:tblGrid>
      <w:tr>
        <w:trPr>
          <w:tblHeader w:val="true"/>
        </w:trPr>
        <w:tc>
          <w:tcPr>
            <w:tcW w:w="2371"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MSME category</w:t>
            </w:r>
          </w:p>
        </w:tc>
        <w:tc>
          <w:tcPr>
            <w:tcW w:w="1680"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Perceived risk</w:t>
            </w:r>
          </w:p>
        </w:tc>
        <w:tc>
          <w:tcPr>
            <w:tcW w:w="2753"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Why lenders see it this way</w:t>
            </w:r>
          </w:p>
        </w:tc>
        <w:tc>
          <w:tcPr>
            <w:tcW w:w="2607"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What would lower it</w:t>
            </w:r>
          </w:p>
        </w:tc>
      </w:tr>
      <w:tr>
        <w:trPr/>
        <w:tc>
          <w:tcPr>
            <w:tcW w:w="237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Youth-led start-up (guiding, digital)</w:t>
            </w:r>
          </w:p>
        </w:tc>
        <w:tc>
          <w:tcPr>
            <w:tcW w:w="1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Very high</w:t>
            </w:r>
          </w:p>
        </w:tc>
        <w:tc>
          <w:tcPr>
            <w:tcW w:w="275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No credit history, no assets, seasonal income, mobile workforce</w:t>
            </w:r>
          </w:p>
        </w:tc>
        <w:tc>
          <w:tcPr>
            <w:tcW w:w="260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Guarantee of 70% or more, mentored seed grant, digital revenue trail</w:t>
            </w:r>
          </w:p>
        </w:tc>
      </w:tr>
      <w:tr>
        <w:trPr/>
        <w:tc>
          <w:tcPr>
            <w:tcW w:w="237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Women-led micro (crafts, food, homestay)</w:t>
            </w:r>
          </w:p>
        </w:tc>
        <w:tc>
          <w:tcPr>
            <w:tcW w:w="1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High</w:t>
            </w:r>
          </w:p>
        </w:tc>
        <w:tc>
          <w:tcPr>
            <w:tcW w:w="275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Small tickets, informal records, communal-land premises, cost to serve</w:t>
            </w:r>
          </w:p>
        </w:tc>
        <w:tc>
          <w:tcPr>
            <w:tcW w:w="260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Group lending, VSLA linkage, buyer contracts, portfolio guarantee</w:t>
            </w:r>
          </w:p>
        </w:tc>
      </w:tr>
      <w:tr>
        <w:trPr/>
        <w:tc>
          <w:tcPr>
            <w:tcW w:w="237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Community enterprise (trust, conservancy, CRB)</w:t>
            </w:r>
          </w:p>
        </w:tc>
        <w:tc>
          <w:tcPr>
            <w:tcW w:w="1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High</w:t>
            </w:r>
          </w:p>
        </w:tc>
        <w:tc>
          <w:tcPr>
            <w:tcW w:w="275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Governance disputes, elite capture, lease tenure shorter than loan tenor</w:t>
            </w:r>
          </w:p>
        </w:tc>
        <w:tc>
          <w:tcPr>
            <w:tcW w:w="260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Audited governance, JV revenue escrow, revolving fund rules</w:t>
            </w:r>
          </w:p>
        </w:tc>
      </w:tr>
      <w:tr>
        <w:trPr/>
        <w:tc>
          <w:tcPr>
            <w:tcW w:w="237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Small accommodation (guesthouse, B&amp;B)</w:t>
            </w:r>
          </w:p>
        </w:tc>
        <w:tc>
          <w:tcPr>
            <w:tcW w:w="1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Medium–high</w:t>
            </w:r>
          </w:p>
        </w:tc>
        <w:tc>
          <w:tcPr>
            <w:tcW w:w="275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Land not mortgageable, occupancy volatility, licensing gaps</w:t>
            </w:r>
          </w:p>
        </w:tc>
        <w:tc>
          <w:tcPr>
            <w:tcW w:w="260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Lease-backed security, occupancy data, seasonal repayment</w:t>
            </w:r>
          </w:p>
        </w:tc>
      </w:tr>
      <w:tr>
        <w:trPr/>
        <w:tc>
          <w:tcPr>
            <w:tcW w:w="237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Transport and boat operators</w:t>
            </w:r>
          </w:p>
        </w:tc>
        <w:tc>
          <w:tcPr>
            <w:tcW w:w="1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Medium</w:t>
            </w:r>
          </w:p>
        </w:tc>
        <w:tc>
          <w:tcPr>
            <w:tcW w:w="275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Assets are movable and insurable, but drivers and boats get damaged</w:t>
            </w:r>
          </w:p>
        </w:tc>
        <w:tc>
          <w:tcPr>
            <w:tcW w:w="260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Asset finance with registry filing, insurance bundling</w:t>
            </w:r>
          </w:p>
        </w:tc>
      </w:tr>
      <w:tr>
        <w:trPr/>
        <w:tc>
          <w:tcPr>
            <w:tcW w:w="237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Suppliers with an anchor contract</w:t>
            </w:r>
          </w:p>
        </w:tc>
        <w:tc>
          <w:tcPr>
            <w:tcW w:w="1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Medium–low</w:t>
            </w:r>
          </w:p>
        </w:tc>
        <w:tc>
          <w:tcPr>
            <w:tcW w:w="275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Contract cash flow is visible</w:t>
            </w:r>
          </w:p>
        </w:tc>
        <w:tc>
          <w:tcPr>
            <w:tcW w:w="260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Receivables assignment, tripartite agreements</w:t>
            </w:r>
          </w:p>
        </w:tc>
      </w:tr>
      <w:tr>
        <w:trPr/>
        <w:tc>
          <w:tcPr>
            <w:tcW w:w="237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Scaling formal operator</w:t>
            </w:r>
          </w:p>
        </w:tc>
        <w:tc>
          <w:tcPr>
            <w:tcW w:w="1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Low–medium</w:t>
            </w:r>
          </w:p>
        </w:tc>
        <w:tc>
          <w:tcPr>
            <w:tcW w:w="275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Audited accounts, USD revenue, bookings</w:t>
            </w:r>
          </w:p>
        </w:tc>
        <w:tc>
          <w:tcPr>
            <w:tcW w:w="260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Standard SME products with seasonal grace</w:t>
            </w:r>
          </w:p>
        </w:tc>
      </w:tr>
    </w:tbl>
    <w:p>
      <w:pPr>
        <w:pStyle w:val="Heading2"/>
        <w:spacing w:before="200" w:after="100"/>
        <w:rPr/>
      </w:pPr>
      <w:bookmarkStart w:id="7" w:name="__RefHeading___Toc9522_1627482358"/>
      <w:bookmarkEnd w:id="7"/>
      <w:r>
        <w:rPr/>
        <w:t>3.2 Willingness to adopt gender-lens and youth-inclusive strategies</w:t>
      </w:r>
    </w:p>
    <w:p>
      <w:pPr>
        <w:pStyle w:val="Normal"/>
        <w:keepNext w:val="true"/>
        <w:rPr/>
      </w:pPr>
      <w:r>
        <w:rPr/>
        <w:t>Willingness to lend to women and youth is highest among guarantee schemes, development and empowerment financiers, MFIs and savings groups, because their mandates already target these groups. Commercial banks show medium willingness. They will engage if someone else shares the risk and prepares the pipeline. MFIs are willing but expensive, at an annual percentage rate equivalent of 25–60%. Impact investors rarely fit tickets this small.</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6</w:t>
      </w:r>
      <w:r>
        <w:rPr>
          <w:sz w:val="20"/>
          <w:b/>
          <w:color w:val="1F3A5F"/>
        </w:rPr>
        <w:fldChar w:fldCharType="end"/>
      </w:r>
      <w:r>
        <w:rPr>
          <w:b/>
          <w:color w:val="1F3A5F"/>
          <w:sz w:val="20"/>
        </w:rPr>
        <w:t>: Willingness of financial institutions to adopt gender-lens and youth-inclusive strategies</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2386"/>
        <w:gridCol w:w="2121"/>
        <w:gridCol w:w="1943"/>
        <w:gridCol w:w="2961"/>
      </w:tblGrid>
      <w:tr>
        <w:trPr>
          <w:tblHeader w:val="true"/>
        </w:trPr>
        <w:tc>
          <w:tcPr>
            <w:tcW w:w="2386"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Institution type</w:t>
            </w:r>
          </w:p>
        </w:tc>
        <w:tc>
          <w:tcPr>
            <w:tcW w:w="2121"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Current practice</w:t>
            </w:r>
          </w:p>
        </w:tc>
        <w:tc>
          <w:tcPr>
            <w:tcW w:w="1943"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Willingness</w:t>
            </w:r>
          </w:p>
        </w:tc>
        <w:tc>
          <w:tcPr>
            <w:tcW w:w="2961"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Incentives that would move them</w:t>
            </w:r>
          </w:p>
        </w:tc>
      </w:tr>
      <w:tr>
        <w:trPr/>
        <w:tc>
          <w:tcPr>
            <w:tcW w:w="238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Commercial banks (Stanbic, FNB, Absa, Standard Chartered, BancABC, CBZ, BAI)</w:t>
            </w:r>
          </w:p>
        </w:tc>
        <w:tc>
          <w:tcPr>
            <w:tcW w:w="212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Women's banking propositions (e.g. Absa, FNB); supplier finance pilots (Stanbic)</w:t>
            </w:r>
          </w:p>
        </w:tc>
        <w:tc>
          <w:tcPr>
            <w:tcW w:w="194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Medium: interested if pipeline and risk cover exist</w:t>
            </w:r>
          </w:p>
        </w:tc>
        <w:tc>
          <w:tcPr>
            <w:tcW w:w="29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Portfolio guarantees of 50–70%, first-loss, TA grants, women's lines from DFIs (AFAWA, IFC)</w:t>
            </w:r>
          </w:p>
        </w:tc>
      </w:tr>
      <w:tr>
        <w:trPr/>
        <w:tc>
          <w:tcPr>
            <w:tcW w:w="238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Development and empowerment financiers (DBN, CEDA, NDB, YDF, CEEC, SMEDCO, BDA)</w:t>
            </w:r>
          </w:p>
        </w:tc>
        <w:tc>
          <w:tcPr>
            <w:tcW w:w="212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Explicit women and youth quotas or windows</w:t>
            </w:r>
          </w:p>
        </w:tc>
        <w:tc>
          <w:tcPr>
            <w:tcW w:w="194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High mandate, constrained liquidity and processing capacity</w:t>
            </w:r>
          </w:p>
        </w:tc>
        <w:tc>
          <w:tcPr>
            <w:tcW w:w="29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Co-financing lines, pipeline preparation, digital loan processing</w:t>
            </w:r>
          </w:p>
        </w:tc>
      </w:tr>
      <w:tr>
        <w:trPr/>
        <w:tc>
          <w:tcPr>
            <w:tcW w:w="238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Credit guarantee schemes (CGS Namibia, ZCGS, ECGC, FGC)</w:t>
            </w:r>
          </w:p>
        </w:tc>
        <w:tc>
          <w:tcPr>
            <w:tcW w:w="212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Women and youth eligibility already prioritised</w:t>
            </w:r>
          </w:p>
        </w:tc>
        <w:tc>
          <w:tcPr>
            <w:tcW w:w="194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High</w:t>
            </w:r>
          </w:p>
        </w:tc>
        <w:tc>
          <w:tcPr>
            <w:tcW w:w="29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Counter-guarantee (AGF or AFAWA), a tourism window with seasonal-loan rules, capital top-up</w:t>
            </w:r>
          </w:p>
        </w:tc>
      </w:tr>
      <w:tr>
        <w:trPr/>
        <w:tc>
          <w:tcPr>
            <w:tcW w:w="238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MFIs and women's banks (Letshego, FINCA, Women's Microfinance Bank, KixiCrédito, Bayport)</w:t>
            </w:r>
          </w:p>
        </w:tc>
        <w:tc>
          <w:tcPr>
            <w:tcW w:w="212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Mostly female clients, group methods</w:t>
            </w:r>
          </w:p>
        </w:tc>
        <w:tc>
          <w:tcPr>
            <w:tcW w:w="194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High, but expensive (25–60% APR equivalent) and short tenors</w:t>
            </w:r>
          </w:p>
        </w:tc>
        <w:tc>
          <w:tcPr>
            <w:tcW w:w="29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Cheaper wholesale funding, guarantees, seasonal product design TA</w:t>
            </w:r>
          </w:p>
        </w:tc>
      </w:tr>
      <w:tr>
        <w:trPr/>
        <w:tc>
          <w:tcPr>
            <w:tcW w:w="238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Savings groups and community funds (VSLAs, conservancy funds, CAMPFIRE wards)</w:t>
            </w:r>
          </w:p>
        </w:tc>
        <w:tc>
          <w:tcPr>
            <w:tcW w:w="212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Women-led, member-owned</w:t>
            </w:r>
          </w:p>
        </w:tc>
        <w:tc>
          <w:tcPr>
            <w:tcW w:w="194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High</w:t>
            </w:r>
          </w:p>
        </w:tc>
        <w:tc>
          <w:tcPr>
            <w:tcW w:w="29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Linkage banking, matching grants for loan funds, governance training</w:t>
            </w:r>
          </w:p>
        </w:tc>
      </w:tr>
      <w:tr>
        <w:trPr/>
        <w:tc>
          <w:tcPr>
            <w:tcW w:w="238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Impact investors and foundations</w:t>
            </w:r>
          </w:p>
        </w:tc>
        <w:tc>
          <w:tcPr>
            <w:tcW w:w="212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Small tickets rarely fit</w:t>
            </w:r>
          </w:p>
        </w:tc>
        <w:tc>
          <w:tcPr>
            <w:tcW w:w="194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Low to medium for MSMEs; higher for funds</w:t>
            </w:r>
          </w:p>
        </w:tc>
        <w:tc>
          <w:tcPr>
            <w:tcW w:w="29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Aggregation vehicles, blended first-loss</w:t>
            </w:r>
          </w:p>
        </w:tc>
      </w:tr>
    </w:tbl>
    <w:p>
      <w:pPr>
        <w:pStyle w:val="Normal"/>
        <w:spacing w:before="200" w:after="160"/>
        <w:rPr/>
      </w:pPr>
      <w:r>
        <w:rPr/>
        <w:t>Three de-risking mechanisms would catalyse lending most:</w:t>
      </w:r>
    </w:p>
    <w:p>
      <w:pPr>
        <w:pStyle w:val="ListParagraph"/>
        <w:numPr>
          <w:ilvl w:val="0"/>
          <w:numId w:val="121"/>
        </w:numPr>
        <w:rPr/>
      </w:pPr>
      <w:r>
        <w:rPr>
          <w:b/>
        </w:rPr>
        <w:t>Portfolio guarantees</w:t>
      </w:r>
      <w:r>
        <w:rPr/>
        <w:t xml:space="preserve"> with higher cover for women and youth borrowers: 70% compared with 50–60% standard. Run them through existing national schemes, counter-guaranteed regionally by AGF or AFAWA, which shares up to 75% of risk.</w:t>
      </w:r>
    </w:p>
    <w:p>
      <w:pPr>
        <w:pStyle w:val="ListParagraph"/>
        <w:numPr>
          <w:ilvl w:val="0"/>
          <w:numId w:val="122"/>
        </w:numPr>
        <w:rPr/>
      </w:pPr>
      <w:r>
        <w:rPr>
          <w:b/>
        </w:rPr>
        <w:t>First-loss tranches</w:t>
      </w:r>
      <w:r>
        <w:rPr/>
        <w:t xml:space="preserve"> funded by the grant facility. These absorb the first 10–15% of portfolio losses on seasonal or collateral-light loans.</w:t>
      </w:r>
    </w:p>
    <w:p>
      <w:pPr>
        <w:pStyle w:val="ListParagraph"/>
        <w:numPr>
          <w:ilvl w:val="0"/>
          <w:numId w:val="123"/>
        </w:numPr>
        <w:rPr/>
      </w:pPr>
      <w:r>
        <w:rPr>
          <w:b/>
        </w:rPr>
        <w:t>Performance-based incentives</w:t>
      </w:r>
      <w:r>
        <w:rPr/>
        <w:t xml:space="preserve"> to lenders. These are small grants per loan disbursed to a woman- or youth-led tourism MSME that is still performing after 12 months, paid to offset origination cost.</w:t>
      </w:r>
    </w:p>
    <w:p>
      <w:pPr>
        <w:pStyle w:val="Heading1"/>
        <w:rPr/>
      </w:pPr>
      <w:bookmarkStart w:id="8" w:name="__RefHeading___Toc9524_1627482358"/>
      <w:bookmarkEnd w:id="8"/>
      <w:r>
        <w:rPr/>
        <w:t>4. Systemic enablers, leverage points and informal finance</w:t>
      </w:r>
    </w:p>
    <w:p>
      <w:pPr>
        <w:pStyle w:val="Normal"/>
        <w:rPr/>
      </w:pPr>
      <w:r>
        <w:rPr/>
        <w:t>Five leverage points would shift access at system level rather than one loan at a time. Informal, women-led savings systems are the best place to pilot hybrid formal–informal models.</w:t>
      </w:r>
    </w:p>
    <w:p>
      <w:pPr>
        <w:pStyle w:val="Heading2"/>
        <w:rPr/>
      </w:pPr>
      <w:bookmarkStart w:id="9" w:name="__RefHeading___Toc9526_1627482358"/>
      <w:bookmarkEnd w:id="9"/>
      <w:r>
        <w:rPr/>
        <w:t>4.1 Systemic enablers and leverage points</w:t>
      </w:r>
    </w:p>
    <w:p>
      <w:pPr>
        <w:pStyle w:val="Normal"/>
        <w:keepNext w:val="true"/>
        <w:rPr/>
      </w:pPr>
      <w:r>
        <w:rPr/>
        <w:t>Five building blocks already exist in at least one country and could be scaled across KAZA. They are credit guarantee schemes, movable collateral registries, anchor-operator supply contracts, CBNRM revenue streams and digital payment records. Each one replaces land collateral with something lenders accept. Botswana has no operational guarantee scheme, and its collateral registry law still awaits commencement. Both are clear gaps.</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7</w:t>
      </w:r>
      <w:r>
        <w:rPr>
          <w:sz w:val="20"/>
          <w:b/>
          <w:color w:val="1F3A5F"/>
        </w:rPr>
        <w:fldChar w:fldCharType="end"/>
      </w:r>
      <w:r>
        <w:rPr>
          <w:b/>
          <w:color w:val="1F3A5F"/>
          <w:sz w:val="20"/>
        </w:rPr>
        <w:t>: Systemic enablers and leverage points</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1976"/>
        <w:gridCol w:w="2692"/>
        <w:gridCol w:w="2337"/>
        <w:gridCol w:w="2406"/>
      </w:tblGrid>
      <w:tr>
        <w:trPr>
          <w:tblHeader w:val="true"/>
        </w:trPr>
        <w:tc>
          <w:tcPr>
            <w:tcW w:w="1976"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Leverage point</w:t>
            </w:r>
          </w:p>
        </w:tc>
        <w:tc>
          <w:tcPr>
            <w:tcW w:w="2692"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What exists</w:t>
            </w:r>
          </w:p>
        </w:tc>
        <w:tc>
          <w:tcPr>
            <w:tcW w:w="2337"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Why it matters</w:t>
            </w:r>
          </w:p>
        </w:tc>
        <w:tc>
          <w:tcPr>
            <w:tcW w:w="2406"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Action</w:t>
            </w:r>
          </w:p>
        </w:tc>
      </w:tr>
      <w:tr>
        <w:trPr/>
        <w:tc>
          <w:tcPr>
            <w:tcW w:w="197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Credit guarantee infrastructure</w:t>
            </w:r>
          </w:p>
        </w:tc>
        <w:tc>
          <w:tcPr>
            <w:tcW w:w="269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CGS (NA), ZCGS and the BoZ SBGI pilot (ZM), ECGC (ZW), FGC (AO); none operational in BW</w:t>
            </w:r>
          </w:p>
        </w:tc>
        <w:tc>
          <w:tcPr>
            <w:tcW w:w="233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Turns collateral-light loans into bankable ones</w:t>
            </w:r>
          </w:p>
        </w:tc>
        <w:tc>
          <w:tcPr>
            <w:tcW w:w="240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Tourism windows with women and youth cover uplift; design a Botswana facility</w:t>
            </w:r>
          </w:p>
        </w:tc>
      </w:tr>
      <w:tr>
        <w:trPr/>
        <w:tc>
          <w:tcPr>
            <w:tcW w:w="197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Movable collateral registries</w:t>
            </w:r>
          </w:p>
        </w:tc>
        <w:tc>
          <w:tcPr>
            <w:tcW w:w="269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Zambia (2016 Act, PACRA registry); Zimbabwe (Act commenced Nov 2022); Botswana Act 5 of 2022 (commencement on notice, IFC-supported)</w:t>
            </w:r>
          </w:p>
        </w:tc>
        <w:tc>
          <w:tcPr>
            <w:tcW w:w="233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Lets vehicles, boats, equipment and receivables serve as security</w:t>
            </w:r>
          </w:p>
        </w:tc>
        <w:tc>
          <w:tcPr>
            <w:tcW w:w="240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Train lenders; file grant-financed assets; push Botswana commencement</w:t>
            </w:r>
          </w:p>
        </w:tc>
      </w:tr>
      <w:tr>
        <w:trPr/>
        <w:tc>
          <w:tcPr>
            <w:tcW w:w="197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Anchor operator procurement</w:t>
            </w:r>
          </w:p>
        </w:tc>
        <w:tc>
          <w:tcPr>
            <w:tcW w:w="269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Wilderness–Stanbic supplier finance (2025); Wilderness–LEA MoU (2026)</w:t>
            </w:r>
          </w:p>
        </w:tc>
        <w:tc>
          <w:tcPr>
            <w:tcW w:w="233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Contract cash flows replace collateral</w:t>
            </w:r>
          </w:p>
        </w:tc>
        <w:tc>
          <w:tcPr>
            <w:tcW w:w="240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KAZA model supplier-finance contract; operator pledges on payment days</w:t>
            </w:r>
          </w:p>
        </w:tc>
      </w:tr>
      <w:tr>
        <w:trPr/>
        <w:tc>
          <w:tcPr>
            <w:tcW w:w="197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CBNRM revenue streams</w:t>
            </w:r>
          </w:p>
        </w:tc>
        <w:tc>
          <w:tcPr>
            <w:tcW w:w="269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Conservancy JV income (N$57.7m in 2023, NA); CAMPFIRE; Botswana trusts; Zambian CRBs</w:t>
            </w:r>
          </w:p>
        </w:tc>
        <w:tc>
          <w:tcPr>
            <w:tcW w:w="233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Community capital that can seed guarantees and revolving funds</w:t>
            </w:r>
          </w:p>
        </w:tc>
        <w:tc>
          <w:tcPr>
            <w:tcW w:w="240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Ring-fence a share as a community guarantee fund</w:t>
            </w:r>
          </w:p>
        </w:tc>
      </w:tr>
      <w:tr>
        <w:trPr/>
        <w:tc>
          <w:tcPr>
            <w:tcW w:w="197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Digital payment trails</w:t>
            </w:r>
          </w:p>
        </w:tc>
        <w:tc>
          <w:tcPr>
            <w:tcW w:w="269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Mobile money, merchant acquiring, OTA and booking-platform data</w:t>
            </w:r>
          </w:p>
        </w:tc>
        <w:tc>
          <w:tcPr>
            <w:tcW w:w="233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Gives lenders the cash-flow history MSMEs lack</w:t>
            </w:r>
          </w:p>
        </w:tc>
        <w:tc>
          <w:tcPr>
            <w:tcW w:w="240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Bundle digital collection tools with grants; data-sharing consent</w:t>
            </w:r>
          </w:p>
        </w:tc>
      </w:tr>
    </w:tbl>
    <w:p>
      <w:pPr>
        <w:pStyle w:val="Normal"/>
        <w:spacing w:before="200" w:after="160"/>
        <w:rPr/>
      </w:pPr>
      <w:r>
        <w:rPr/>
        <w:t>The enabling policy instruments are mostly in place: empowerment mandates (CEDA, CEEC, YDF), the Univisa, and the conservation-linked payments pioneered by Wildlife Credits in Namibia (</w:t>
      </w:r>
      <w:hyperlink r:id="rId12">
        <w:r>
          <w:rPr>
            <w:rStyle w:val="Hyperlink"/>
          </w:rPr>
          <w:t>NACSO</w:t>
        </w:r>
      </w:hyperlink>
      <w:r>
        <w:rPr/>
        <w:t xml:space="preserve">). The missing piece is a </w:t>
      </w:r>
      <w:r>
        <w:rPr>
          <w:i/>
        </w:rPr>
        <w:t>coordinating</w:t>
      </w:r>
      <w:r>
        <w:rPr/>
        <w:t xml:space="preserve"> layer: one pipeline, one eligibility standard, and shared data.</w:t>
      </w:r>
    </w:p>
    <w:p>
      <w:pPr>
        <w:pStyle w:val="Heading2"/>
        <w:rPr/>
      </w:pPr>
      <w:bookmarkStart w:id="10" w:name="__RefHeading___Toc9528_1627482358"/>
      <w:bookmarkEnd w:id="10"/>
      <w:r>
        <w:rPr/>
        <w:t>4.2 Informal and community-based finance among women and youth</w:t>
      </w:r>
    </w:p>
    <w:p>
      <w:pPr>
        <w:pStyle w:val="Normal"/>
        <w:keepNext w:val="true"/>
        <w:rPr/>
      </w:pPr>
      <w:r>
        <w:rPr/>
        <w:t>Informal finance is widespread across KAZA, mostly run by women, and already disciplined. But it lends only small sums and shares out its capital every year. The table compares six practices by user, mechanism, strength and limit. Each one has a pilot route into formal or hybrid finance. Savings groups and conservancy benefit funds offer the strongest base, because they have records, legal or social structure and recurring income.</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8</w:t>
      </w:r>
      <w:r>
        <w:rPr>
          <w:sz w:val="20"/>
          <w:b/>
          <w:color w:val="1F3A5F"/>
        </w:rPr>
        <w:fldChar w:fldCharType="end"/>
      </w:r>
      <w:r>
        <w:rPr>
          <w:b/>
          <w:color w:val="1F3A5F"/>
          <w:sz w:val="20"/>
        </w:rPr>
        <w:t>: Informal and community-based finance practices among women and youth</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1307"/>
        <w:gridCol w:w="1132"/>
        <w:gridCol w:w="1130"/>
        <w:gridCol w:w="1134"/>
        <w:gridCol w:w="1482"/>
        <w:gridCol w:w="1132"/>
        <w:gridCol w:w="2094"/>
      </w:tblGrid>
      <w:tr>
        <w:trPr>
          <w:tblHeader w:val="true"/>
        </w:trPr>
        <w:tc>
          <w:tcPr>
            <w:tcW w:w="1307"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7"/>
                <w:szCs w:val="22"/>
                <w:lang w:val="en-US"/>
              </w:rPr>
              <w:t>Practice</w:t>
            </w:r>
          </w:p>
        </w:tc>
        <w:tc>
          <w:tcPr>
            <w:tcW w:w="1132"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7"/>
                <w:szCs w:val="22"/>
                <w:lang w:val="en-US"/>
              </w:rPr>
              <w:t>Where</w:t>
            </w:r>
          </w:p>
        </w:tc>
        <w:tc>
          <w:tcPr>
            <w:tcW w:w="1130"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7"/>
                <w:szCs w:val="22"/>
                <w:lang w:val="en-US"/>
              </w:rPr>
              <w:t>Who uses it</w:t>
            </w:r>
          </w:p>
        </w:tc>
        <w:tc>
          <w:tcPr>
            <w:tcW w:w="1134"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7"/>
                <w:szCs w:val="22"/>
                <w:lang w:val="en-US"/>
              </w:rPr>
              <w:t>How it works</w:t>
            </w:r>
          </w:p>
        </w:tc>
        <w:tc>
          <w:tcPr>
            <w:tcW w:w="1482"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7"/>
                <w:szCs w:val="22"/>
                <w:lang w:val="en-US"/>
              </w:rPr>
              <w:t>Strengths</w:t>
            </w:r>
          </w:p>
        </w:tc>
        <w:tc>
          <w:tcPr>
            <w:tcW w:w="1132"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7"/>
                <w:szCs w:val="22"/>
                <w:lang w:val="en-US"/>
              </w:rPr>
              <w:t>Limits</w:t>
            </w:r>
          </w:p>
        </w:tc>
        <w:tc>
          <w:tcPr>
            <w:tcW w:w="2094"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7"/>
                <w:szCs w:val="22"/>
                <w:lang w:val="en-US"/>
              </w:rPr>
              <w:t>Pilot route</w:t>
            </w:r>
          </w:p>
        </w:tc>
      </w:tr>
      <w:tr>
        <w:trPr/>
        <w:tc>
          <w:tcPr>
            <w:tcW w:w="130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VSLAs and savings groups</w:t>
            </w:r>
          </w:p>
        </w:tc>
        <w:tc>
          <w:tcPr>
            <w:tcW w:w="113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All five; dense in Zambia (800,000+ members) and Zimbabwe</w:t>
            </w:r>
          </w:p>
        </w:tc>
        <w:tc>
          <w:tcPr>
            <w:tcW w:w="113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Women (about 73% in rural Zambia); youth about 28%</w:t>
            </w:r>
          </w:p>
        </w:tc>
        <w:tc>
          <w:tcPr>
            <w:tcW w:w="113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Weekly savings, loans at 5–10% a month, annual share-out</w:t>
            </w:r>
          </w:p>
        </w:tc>
        <w:tc>
          <w:tcPr>
            <w:tcW w:w="148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Discipline, trust, records kept in passbooks</w:t>
            </w:r>
          </w:p>
        </w:tc>
        <w:tc>
          <w:tcPr>
            <w:tcW w:w="113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Loans small (USD 20–500); cash-box risk; share-out drains capital</w:t>
            </w:r>
          </w:p>
        </w:tc>
        <w:tc>
          <w:tcPr>
            <w:tcW w:w="209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Linkage banking: group account plus a bulk loan; digitise passbooks</w:t>
            </w:r>
          </w:p>
        </w:tc>
      </w:tr>
      <w:tr>
        <w:trPr/>
        <w:tc>
          <w:tcPr>
            <w:tcW w:w="130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Rotating savings (chilimba ZM, kixikila AO, mukando or round ZW, motshelo BW, okuhanga or oshitopito NA)</w:t>
            </w:r>
          </w:p>
        </w:tc>
        <w:tc>
          <w:tcPr>
            <w:tcW w:w="113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All</w:t>
            </w:r>
          </w:p>
        </w:tc>
        <w:tc>
          <w:tcPr>
            <w:tcW w:w="113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Women traders, crafters, lodge staff</w:t>
            </w:r>
          </w:p>
        </w:tc>
        <w:tc>
          <w:tcPr>
            <w:tcW w:w="113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Fixed rotation of a lump sum</w:t>
            </w:r>
          </w:p>
        </w:tc>
        <w:tc>
          <w:tcPr>
            <w:tcW w:w="148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No interest, social collateral</w:t>
            </w:r>
          </w:p>
        </w:tc>
        <w:tc>
          <w:tcPr>
            <w:tcW w:w="113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No credit growth; fails when members default</w:t>
            </w:r>
          </w:p>
        </w:tc>
        <w:tc>
          <w:tcPr>
            <w:tcW w:w="209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Use rotation records as a credit-history proxy</w:t>
            </w:r>
          </w:p>
        </w:tc>
      </w:tr>
      <w:tr>
        <w:trPr/>
        <w:tc>
          <w:tcPr>
            <w:tcW w:w="130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Burial societies and funeral clubs</w:t>
            </w:r>
          </w:p>
        </w:tc>
        <w:tc>
          <w:tcPr>
            <w:tcW w:w="113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All</w:t>
            </w:r>
          </w:p>
        </w:tc>
        <w:tc>
          <w:tcPr>
            <w:tcW w:w="113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Older women</w:t>
            </w:r>
          </w:p>
        </w:tc>
        <w:tc>
          <w:tcPr>
            <w:tcW w:w="113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Mutual insurance</w:t>
            </w:r>
          </w:p>
        </w:tc>
        <w:tc>
          <w:tcPr>
            <w:tcW w:w="148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Large membership, trusted</w:t>
            </w:r>
          </w:p>
        </w:tc>
        <w:tc>
          <w:tcPr>
            <w:tcW w:w="113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Not lending vehicles</w:t>
            </w:r>
          </w:p>
        </w:tc>
        <w:tc>
          <w:tcPr>
            <w:tcW w:w="209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Micro-insurance distribution channel</w:t>
            </w:r>
          </w:p>
        </w:tc>
      </w:tr>
      <w:tr>
        <w:trPr/>
        <w:tc>
          <w:tcPr>
            <w:tcW w:w="130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Conservancy and trust benefit funds</w:t>
            </w:r>
          </w:p>
        </w:tc>
        <w:tc>
          <w:tcPr>
            <w:tcW w:w="113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NA, BW, ZM (CRBs), ZW (CAMPFIRE)</w:t>
            </w:r>
          </w:p>
        </w:tc>
        <w:tc>
          <w:tcPr>
            <w:tcW w:w="113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Community members via committees (women about 40% in NA)</w:t>
            </w:r>
          </w:p>
        </w:tc>
        <w:tc>
          <w:tcPr>
            <w:tcW w:w="113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Cash dividends, community projects</w:t>
            </w:r>
          </w:p>
        </w:tc>
        <w:tc>
          <w:tcPr>
            <w:tcW w:w="148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Recurring income; legal entities</w:t>
            </w:r>
          </w:p>
        </w:tc>
        <w:tc>
          <w:tcPr>
            <w:tcW w:w="113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Governance risk; payouts consumed, not invested</w:t>
            </w:r>
          </w:p>
        </w:tc>
        <w:tc>
          <w:tcPr>
            <w:tcW w:w="209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Community revolving or guarantee fund with independent management</w:t>
            </w:r>
          </w:p>
        </w:tc>
      </w:tr>
      <w:tr>
        <w:trPr/>
        <w:tc>
          <w:tcPr>
            <w:tcW w:w="130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Lodge staff savings schemes and cooperatives</w:t>
            </w:r>
          </w:p>
        </w:tc>
        <w:tc>
          <w:tcPr>
            <w:tcW w:w="113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BW, NA, ZW hubs</w:t>
            </w:r>
          </w:p>
        </w:tc>
        <w:tc>
          <w:tcPr>
            <w:tcW w:w="113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Lodge staff, many young</w:t>
            </w:r>
          </w:p>
        </w:tc>
        <w:tc>
          <w:tcPr>
            <w:tcW w:w="113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Payroll deduction</w:t>
            </w:r>
          </w:p>
        </w:tc>
        <w:tc>
          <w:tcPr>
            <w:tcW w:w="148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Payroll-linked repayment</w:t>
            </w:r>
          </w:p>
        </w:tc>
        <w:tc>
          <w:tcPr>
            <w:tcW w:w="113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Tied to employer</w:t>
            </w:r>
          </w:p>
        </w:tc>
        <w:tc>
          <w:tcPr>
            <w:tcW w:w="209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Staff-to-entrepreneur loans via payroll-linked SACCOs</w:t>
            </w:r>
          </w:p>
        </w:tc>
      </w:tr>
      <w:tr>
        <w:trPr/>
        <w:tc>
          <w:tcPr>
            <w:tcW w:w="130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Informal moneylenders (kaloba ZM, mashonisa)</w:t>
            </w:r>
          </w:p>
        </w:tc>
        <w:tc>
          <w:tcPr>
            <w:tcW w:w="113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All</w:t>
            </w:r>
          </w:p>
        </w:tc>
        <w:tc>
          <w:tcPr>
            <w:tcW w:w="113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Youth, emergency borrowers</w:t>
            </w:r>
          </w:p>
        </w:tc>
        <w:tc>
          <w:tcPr>
            <w:tcW w:w="113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20–50% a month</w:t>
            </w:r>
          </w:p>
        </w:tc>
        <w:tc>
          <w:tcPr>
            <w:tcW w:w="148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Fast</w:t>
            </w:r>
          </w:p>
        </w:tc>
        <w:tc>
          <w:tcPr>
            <w:tcW w:w="113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Predatory</w:t>
            </w:r>
          </w:p>
        </w:tc>
        <w:tc>
          <w:tcPr>
            <w:tcW w:w="209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Displace with digital nano-loans tied to VSLA data</w:t>
            </w:r>
          </w:p>
        </w:tc>
      </w:tr>
    </w:tbl>
    <w:p>
      <w:pPr>
        <w:pStyle w:val="Normal"/>
        <w:spacing w:before="200" w:after="160"/>
        <w:rPr/>
      </w:pPr>
      <w:r>
        <w:rPr>
          <w:b/>
        </w:rPr>
        <w:t>Recommended hybrid pilots.</w:t>
      </w:r>
    </w:p>
    <w:p>
      <w:pPr>
        <w:pStyle w:val="ListParagraph"/>
        <w:numPr>
          <w:ilvl w:val="0"/>
          <w:numId w:val="124"/>
        </w:numPr>
        <w:rPr/>
      </w:pPr>
      <w:r>
        <w:rPr>
          <w:b/>
        </w:rPr>
        <w:t>VSLA-to-bank graduation.</w:t>
      </w:r>
      <w:r>
        <w:rPr/>
        <w:t xml:space="preserve"> Run this in Livingstone/Kazungula and Katima Mulilo. Mature groups (2+ cycles) open group accounts. Partner banks or MFIs lend 1–3 times group savings, backed by a facility first-loss. Women's tourism suppliers come first.</w:t>
      </w:r>
    </w:p>
    <w:p>
      <w:pPr>
        <w:pStyle w:val="ListParagraph"/>
        <w:numPr>
          <w:ilvl w:val="0"/>
          <w:numId w:val="125"/>
        </w:numPr>
        <w:rPr/>
      </w:pPr>
      <w:r>
        <w:rPr>
          <w:b/>
        </w:rPr>
        <w:t>Conservancy or CAMPFIRE community guarantee fund.</w:t>
      </w:r>
      <w:r>
        <w:rPr/>
        <w:t xml:space="preserve"> Pilot this in the Zambezi Region and Hwange/Binga. A community deposits 10–20% of annual JV income into a ring-fenced account at a partner bank. The deposit backs loans to members' tourism enterprises at 3–5 times leverage, and the grant facility matches the deposit.</w:t>
      </w:r>
    </w:p>
    <w:p>
      <w:pPr>
        <w:pStyle w:val="ListParagraph"/>
        <w:numPr>
          <w:ilvl w:val="0"/>
          <w:numId w:val="126"/>
        </w:numPr>
        <w:rPr/>
      </w:pPr>
      <w:r>
        <w:rPr>
          <w:b/>
        </w:rPr>
        <w:t>Digital passbook credit scoring.</w:t>
      </w:r>
      <w:r>
        <w:rPr/>
        <w:t xml:space="preserve"> Digitise VSLA and kixikila records on mobile money. Lenders then get a repayment history for youth and women with no bank file.</w:t>
      </w:r>
    </w:p>
    <w:p>
      <w:pPr>
        <w:pStyle w:val="Heading1"/>
        <w:rPr/>
      </w:pPr>
      <w:bookmarkStart w:id="11" w:name="__RefHeading___Toc9530_1627482358"/>
      <w:bookmarkEnd w:id="11"/>
      <w:r>
        <w:rPr/>
        <w:t>5. Financing requirements by type, size and growth stage</w:t>
      </w:r>
    </w:p>
    <w:p>
      <w:pPr>
        <w:pStyle w:val="Normal"/>
        <w:rPr/>
      </w:pPr>
      <w:r>
        <w:rPr/>
        <w:t xml:space="preserve">The instrument has to change as firms grow. Start-ups need grants and nano-loans under USD 15,000. Emerging firms need seasonal working capital and asset finance of USD 15,000–75,000. Scaling firms need term debt of USD 75,000–500,000 with guarantees. Ticket sizes are </w:t>
      </w:r>
      <w:r>
        <w:rPr>
          <w:i/>
        </w:rPr>
        <w:t>indicative</w:t>
      </w:r>
      <w:r>
        <w:rPr/>
        <w:t xml:space="preserve"> ranges from the Financial Landscape Analysis and programme experience.</w:t>
      </w:r>
    </w:p>
    <w:p>
      <w:pPr>
        <w:pStyle w:val="Heading2"/>
        <w:rPr/>
      </w:pPr>
      <w:bookmarkStart w:id="12" w:name="__RefHeading___Toc9532_1627482358"/>
      <w:bookmarkEnd w:id="12"/>
      <w:r>
        <w:rPr/>
        <w:t>5.1 By growth stage</w:t>
      </w:r>
    </w:p>
    <w:p>
      <w:pPr>
        <w:pStyle w:val="Normal"/>
        <w:keepNext w:val="true"/>
        <w:rPr/>
      </w:pPr>
      <w:r>
        <w:rPr/>
        <w:t>Financing needs step up sharply with growth stage, and so does the right instrument. Start-ups need USD 500–15,000, best served by grants and group loans. Emerging firms need USD 15,000–75,000 in a mix of grants, asset finance and guaranteed loans. Scaling firms need USD 75,000–500,000 in term debt. Women- and youth-specific adjustments apply at each stage.</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9</w:t>
      </w:r>
      <w:r>
        <w:rPr>
          <w:sz w:val="20"/>
          <w:b/>
          <w:color w:val="1F3A5F"/>
        </w:rPr>
        <w:fldChar w:fldCharType="end"/>
      </w:r>
      <w:r>
        <w:rPr>
          <w:b/>
          <w:color w:val="1F3A5F"/>
          <w:sz w:val="20"/>
        </w:rPr>
        <w:t>: Financing requirements by growth stage</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1250"/>
        <w:gridCol w:w="1871"/>
        <w:gridCol w:w="2044"/>
        <w:gridCol w:w="2002"/>
        <w:gridCol w:w="2245"/>
      </w:tblGrid>
      <w:tr>
        <w:trPr>
          <w:tblHeader w:val="true"/>
        </w:trPr>
        <w:tc>
          <w:tcPr>
            <w:tcW w:w="1250"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Stage</w:t>
            </w:r>
          </w:p>
        </w:tc>
        <w:tc>
          <w:tcPr>
            <w:tcW w:w="1871"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Typical ticket (USD)</w:t>
            </w:r>
          </w:p>
        </w:tc>
        <w:tc>
          <w:tcPr>
            <w:tcW w:w="2044"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Main needs</w:t>
            </w:r>
          </w:p>
        </w:tc>
        <w:tc>
          <w:tcPr>
            <w:tcW w:w="2002"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Best-fit instruments</w:t>
            </w:r>
          </w:p>
        </w:tc>
        <w:tc>
          <w:tcPr>
            <w:tcW w:w="2245"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Women and youth notes</w:t>
            </w:r>
          </w:p>
        </w:tc>
      </w:tr>
      <w:tr>
        <w:trPr/>
        <w:tc>
          <w:tcPr>
            <w:tcW w:w="125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Start-up (under 2 seasons)</w:t>
            </w:r>
          </w:p>
        </w:tc>
        <w:tc>
          <w:tcPr>
            <w:tcW w:w="187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500–15,000</w:t>
            </w:r>
          </w:p>
        </w:tc>
        <w:tc>
          <w:tcPr>
            <w:tcW w:w="204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Licences, first equipment, mokoro or boat, craft stock, website and booking set-up, training</w:t>
            </w:r>
          </w:p>
        </w:tc>
        <w:tc>
          <w:tcPr>
            <w:tcW w:w="200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Seed grant, VSLA loan, MFI group loan, in-kind asset grant</w:t>
            </w:r>
          </w:p>
        </w:tc>
        <w:tc>
          <w:tcPr>
            <w:tcW w:w="224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Youth: first-asset grant plus mentoring. Women: grants that accept household-time constraints, childcare-aware training</w:t>
            </w:r>
          </w:p>
        </w:tc>
      </w:tr>
      <w:tr>
        <w:trPr/>
        <w:tc>
          <w:tcPr>
            <w:tcW w:w="125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Emerging (2–5 seasons)</w:t>
            </w:r>
          </w:p>
        </w:tc>
        <w:tc>
          <w:tcPr>
            <w:tcW w:w="187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15,000–75,000</w:t>
            </w:r>
          </w:p>
        </w:tc>
        <w:tc>
          <w:tcPr>
            <w:tcW w:w="204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Pre-season working capital, vehicle or boat, solar and water, room upgrades, certification</w:t>
            </w:r>
          </w:p>
        </w:tc>
        <w:tc>
          <w:tcPr>
            <w:tcW w:w="200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Growth grant plus loan, asset finance or leasing, receivables finance, guaranteed SME loan</w:t>
            </w:r>
          </w:p>
        </w:tc>
        <w:tc>
          <w:tcPr>
            <w:tcW w:w="224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Women: alternative collateral, co-signature rules removed. Youth: guarantee uplift</w:t>
            </w:r>
          </w:p>
        </w:tc>
      </w:tr>
      <w:tr>
        <w:trPr/>
        <w:tc>
          <w:tcPr>
            <w:tcW w:w="125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Scaling (5+ seasons)</w:t>
            </w:r>
          </w:p>
        </w:tc>
        <w:tc>
          <w:tcPr>
            <w:tcW w:w="187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75,000–500,000</w:t>
            </w:r>
          </w:p>
        </w:tc>
        <w:tc>
          <w:tcPr>
            <w:tcW w:w="204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New units or products, fleet expansion, facility upgrade, digital distribution, processing plant</w:t>
            </w:r>
          </w:p>
        </w:tc>
        <w:tc>
          <w:tcPr>
            <w:tcW w:w="200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Guaranteed term loan, DFI line, supplier finance, quasi-equity, impact funds</w:t>
            </w:r>
          </w:p>
        </w:tc>
        <w:tc>
          <w:tcPr>
            <w:tcW w:w="224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Women-led scale-ups are rare. Target women-owned share via matching leverage</w:t>
            </w:r>
          </w:p>
        </w:tc>
      </w:tr>
    </w:tbl>
    <w:p>
      <w:pPr>
        <w:pStyle w:val="Heading2"/>
        <w:spacing w:before="200" w:after="100"/>
        <w:rPr/>
      </w:pPr>
      <w:bookmarkStart w:id="13" w:name="__RefHeading___Toc9534_1627482358"/>
      <w:bookmarkEnd w:id="13"/>
      <w:r>
        <w:rPr/>
        <w:t>5.2 By MSME type and size</w:t>
      </w:r>
    </w:p>
    <w:p>
      <w:pPr>
        <w:pStyle w:val="Normal"/>
        <w:keepNext w:val="true"/>
        <w:rPr/>
      </w:pPr>
      <w:r>
        <w:rPr/>
        <w:t>Within each stage, ticket sizes vary widely by segment. Accommodation and transport need the largest amounts, from USD 15,000 to over USD 150,000 for small and medium firms. Crafts and food supply, where women dominate, mostly need under USD 50,000 at micro and small size. This is one reason lenders built for large tickets overlook women-led segments.</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10</w:t>
      </w:r>
      <w:r>
        <w:rPr>
          <w:sz w:val="20"/>
          <w:b/>
          <w:color w:val="1F3A5F"/>
        </w:rPr>
        <w:fldChar w:fldCharType="end"/>
      </w:r>
      <w:r>
        <w:rPr>
          <w:b/>
          <w:color w:val="1F3A5F"/>
          <w:sz w:val="20"/>
        </w:rPr>
        <w:t>: Ticket sizes by MSME type and size</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2182"/>
        <w:gridCol w:w="2333"/>
        <w:gridCol w:w="2670"/>
        <w:gridCol w:w="2226"/>
      </w:tblGrid>
      <w:tr>
        <w:trPr>
          <w:tblHeader w:val="true"/>
        </w:trPr>
        <w:tc>
          <w:tcPr>
            <w:tcW w:w="2182"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Type</w:t>
            </w:r>
          </w:p>
        </w:tc>
        <w:tc>
          <w:tcPr>
            <w:tcW w:w="2333"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Micro</w:t>
            </w:r>
          </w:p>
        </w:tc>
        <w:tc>
          <w:tcPr>
            <w:tcW w:w="2670"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Small</w:t>
            </w:r>
          </w:p>
        </w:tc>
        <w:tc>
          <w:tcPr>
            <w:tcW w:w="2226"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Medium</w:t>
            </w:r>
          </w:p>
        </w:tc>
      </w:tr>
      <w:tr>
        <w:trPr/>
        <w:tc>
          <w:tcPr>
            <w:tcW w:w="218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Accommodation</w:t>
            </w:r>
          </w:p>
        </w:tc>
        <w:tc>
          <w:tcPr>
            <w:tcW w:w="233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USD 2k–15k: furnishing, solar lights, water tank, listings</w:t>
            </w:r>
          </w:p>
        </w:tc>
        <w:tc>
          <w:tcPr>
            <w:tcW w:w="267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USD 15k–150k: room additions, solar, borehole, refurbishment</w:t>
            </w:r>
          </w:p>
        </w:tc>
        <w:tc>
          <w:tcPr>
            <w:tcW w:w="222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USD 150k–500k+: new lodge units, JV fit-out</w:t>
            </w:r>
          </w:p>
        </w:tc>
      </w:tr>
      <w:tr>
        <w:trPr/>
        <w:tc>
          <w:tcPr>
            <w:tcW w:w="218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Guiding and activities</w:t>
            </w:r>
          </w:p>
        </w:tc>
        <w:tc>
          <w:tcPr>
            <w:tcW w:w="233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USD 1k–10k: mokoro, bikes, licence, first-aid kit</w:t>
            </w:r>
          </w:p>
        </w:tc>
        <w:tc>
          <w:tcPr>
            <w:tcW w:w="267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USD 10k–60k: boat and engine, game-drive vehicle (used)</w:t>
            </w:r>
          </w:p>
        </w:tc>
        <w:tc>
          <w:tcPr>
            <w:tcW w:w="222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USD 60k–250k: fleet, EV conversion</w:t>
            </w:r>
          </w:p>
        </w:tc>
      </w:tr>
      <w:tr>
        <w:trPr/>
        <w:tc>
          <w:tcPr>
            <w:tcW w:w="218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Transport</w:t>
            </w:r>
          </w:p>
        </w:tc>
        <w:tc>
          <w:tcPr>
            <w:tcW w:w="233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USD 5k–20k: motorbike or used minibus deposit</w:t>
            </w:r>
          </w:p>
        </w:tc>
        <w:tc>
          <w:tcPr>
            <w:tcW w:w="267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USD 20k–100k: shuttle and 4x4 fleet</w:t>
            </w:r>
          </w:p>
        </w:tc>
        <w:tc>
          <w:tcPr>
            <w:tcW w:w="222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USD 100k+: fleet, workshop</w:t>
            </w:r>
          </w:p>
        </w:tc>
      </w:tr>
      <w:tr>
        <w:trPr/>
        <w:tc>
          <w:tcPr>
            <w:tcW w:w="218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Food and agri-supply</w:t>
            </w:r>
          </w:p>
        </w:tc>
        <w:tc>
          <w:tcPr>
            <w:tcW w:w="233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USD 500–5k: seed, poultry, drip kit</w:t>
            </w:r>
          </w:p>
        </w:tc>
        <w:tc>
          <w:tcPr>
            <w:tcW w:w="267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USD 5k–50k: irrigation, cold room, delivery vehicle</w:t>
            </w:r>
          </w:p>
        </w:tc>
        <w:tc>
          <w:tcPr>
            <w:tcW w:w="222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USD 50k–200k: processing, aggregation hub</w:t>
            </w:r>
          </w:p>
        </w:tc>
      </w:tr>
      <w:tr>
        <w:trPr/>
        <w:tc>
          <w:tcPr>
            <w:tcW w:w="218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Crafts and culture</w:t>
            </w:r>
          </w:p>
        </w:tc>
        <w:tc>
          <w:tcPr>
            <w:tcW w:w="233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USD 200–3k: materials, stock</w:t>
            </w:r>
          </w:p>
        </w:tc>
        <w:tc>
          <w:tcPr>
            <w:tcW w:w="267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USD 3k–25k: workshop, showroom, e-commerce</w:t>
            </w:r>
          </w:p>
        </w:tc>
        <w:tc>
          <w:tcPr>
            <w:tcW w:w="222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Rare: cooperative export hub</w:t>
            </w:r>
          </w:p>
        </w:tc>
      </w:tr>
      <w:tr>
        <w:trPr/>
        <w:tc>
          <w:tcPr>
            <w:tcW w:w="218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Support services (laundry, waste, maintenance)</w:t>
            </w:r>
          </w:p>
        </w:tc>
        <w:tc>
          <w:tcPr>
            <w:tcW w:w="233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USD 1k–10k: machines, tools</w:t>
            </w:r>
          </w:p>
        </w:tc>
        <w:tc>
          <w:tcPr>
            <w:tcW w:w="267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USD 10k–80k: industrial laundry, recycling baler</w:t>
            </w:r>
          </w:p>
        </w:tc>
        <w:tc>
          <w:tcPr>
            <w:tcW w:w="222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USD 80k+: service contracts across lodges</w:t>
            </w:r>
          </w:p>
        </w:tc>
      </w:tr>
      <w:tr>
        <w:trPr/>
        <w:tc>
          <w:tcPr>
            <w:tcW w:w="218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Community enterprises</w:t>
            </w:r>
          </w:p>
        </w:tc>
        <w:tc>
          <w:tcPr>
            <w:tcW w:w="233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USD 5k–30k: campsite ablutions, signage</w:t>
            </w:r>
          </w:p>
        </w:tc>
        <w:tc>
          <w:tcPr>
            <w:tcW w:w="267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USD 30k–200k: community lodge upgrade</w:t>
            </w:r>
          </w:p>
        </w:tc>
        <w:tc>
          <w:tcPr>
            <w:tcW w:w="222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USD 200k+: JV equity stakes</w:t>
            </w:r>
          </w:p>
        </w:tc>
      </w:tr>
    </w:tbl>
    <w:p>
      <w:pPr>
        <w:pStyle w:val="Heading2"/>
        <w:spacing w:before="200" w:after="100"/>
        <w:rPr/>
      </w:pPr>
      <w:bookmarkStart w:id="14" w:name="__RefHeading___Toc9536_1627482358"/>
      <w:bookmarkEnd w:id="14"/>
      <w:r>
        <w:rPr/>
        <w:t>5.3 What this means for instruments</w:t>
      </w:r>
    </w:p>
    <w:p>
      <w:pPr>
        <w:pStyle w:val="ListParagraph"/>
        <w:numPr>
          <w:ilvl w:val="0"/>
          <w:numId w:val="127"/>
        </w:numPr>
        <w:rPr/>
      </w:pPr>
      <w:r>
        <w:rPr>
          <w:b/>
        </w:rPr>
        <w:t>Grants alone can't scale the sector, and loans alone can't reach start-ups.</w:t>
      </w:r>
      <w:r>
        <w:rPr/>
        <w:t xml:space="preserve"> The facility needs a graduation path from grant to loan, using the same MSME file, the same TA provider and the same lender.</w:t>
      </w:r>
    </w:p>
    <w:p>
      <w:pPr>
        <w:pStyle w:val="ListParagraph"/>
        <w:numPr>
          <w:ilvl w:val="0"/>
          <w:numId w:val="128"/>
        </w:numPr>
        <w:rPr/>
      </w:pPr>
      <w:r>
        <w:rPr>
          <w:b/>
        </w:rPr>
        <w:t>Asset-backed needs are the easiest win.</w:t>
      </w:r>
      <w:r>
        <w:rPr/>
        <w:t xml:space="preserve"> Vehicles, boats, solar, laundry machines and cold rooms are movable assets. They can be leased or registered as collateral, especially in Zambia and Zimbabwe, where collateral registries operate.</w:t>
      </w:r>
    </w:p>
    <w:p>
      <w:pPr>
        <w:pStyle w:val="ListParagraph"/>
        <w:numPr>
          <w:ilvl w:val="0"/>
          <w:numId w:val="129"/>
        </w:numPr>
        <w:rPr/>
      </w:pPr>
      <w:r>
        <w:rPr>
          <w:b/>
        </w:rPr>
        <w:t>Women's needs are smaller, more frequent and working-capital heavy.</w:t>
      </w:r>
      <w:r>
        <w:rPr/>
        <w:t xml:space="preserve"> Products should allow repeat short-cycle loans and group guarantees rather than a single large term loan.</w:t>
      </w:r>
    </w:p>
    <w:p>
      <w:pPr>
        <w:pStyle w:val="Heading1"/>
        <w:rPr/>
      </w:pPr>
      <w:bookmarkStart w:id="15" w:name="__RefHeading___Toc9538_1627482358"/>
      <w:bookmarkEnd w:id="15"/>
      <w:r>
        <w:rPr/>
        <w:t>6. Thematic assessments</w:t>
      </w:r>
    </w:p>
    <w:p>
      <w:pPr>
        <w:pStyle w:val="Heading2"/>
        <w:rPr/>
      </w:pPr>
      <w:bookmarkStart w:id="16" w:name="__RefHeading___Toc9540_1627482358"/>
      <w:bookmarkEnd w:id="16"/>
      <w:r>
        <w:rPr/>
        <w:t>6.1 Tourism seasonality, cash flow and debt eligibility (i)</w:t>
      </w:r>
    </w:p>
    <w:p>
      <w:pPr>
        <w:pStyle w:val="Normal"/>
        <w:rPr/>
      </w:pPr>
      <w:r>
        <w:rPr/>
        <w:t>Seasonality is the single largest reason viable tourism MSMEs fail lenders' affordability tests. KAZA's high season runs June–October (dry season, game viewing) with a shoulder in April–May and November. The green season (December–March) brings closures in the Okavango, Kafue and Hwange, as well as flooded roads.</w:t>
      </w:r>
    </w:p>
    <w:p>
      <w:pPr>
        <w:pStyle w:val="Normal"/>
        <w:rPr/>
      </w:pPr>
      <w:r>
        <w:rPr>
          <w:b/>
        </w:rPr>
        <w:t>Effect on cash flow (</w:t>
      </w:r>
      <w:r>
        <w:rPr>
          <w:b/>
          <w:i/>
        </w:rPr>
        <w:t>indicative</w:t>
      </w:r>
      <w:r>
        <w:rPr>
          <w:b/>
        </w:rPr>
        <w:t>).</w:t>
      </w:r>
      <w:r>
        <w:rPr/>
        <w:t xml:space="preserve"> A small lodge, guiding outfit or transfer operator typically earns 60–75% of annual revenue in 5 months. Fixed costs keep running in the low season: staff, lease, vehicle insurance and loan instalments. Suppliers to lodges (food, laundry, crafts) see the same curve one step removed. They also face lodge closures in January–February, when demand falls to near zero.</w:t>
      </w:r>
    </w:p>
    <w:p>
      <w:pPr>
        <w:pStyle w:val="Normal"/>
        <w:rPr/>
      </w:pPr>
      <w:r>
        <w:rPr>
          <w:b/>
        </w:rPr>
        <w:t>Effect on eligibility.</w:t>
      </w:r>
    </w:p>
    <w:p>
      <w:pPr>
        <w:pStyle w:val="ListParagraph"/>
        <w:numPr>
          <w:ilvl w:val="0"/>
          <w:numId w:val="130"/>
        </w:numPr>
        <w:rPr/>
      </w:pPr>
      <w:r>
        <w:rPr>
          <w:b/>
        </w:rPr>
        <w:t>Affordability tests</w:t>
      </w:r>
      <w:r>
        <w:rPr/>
        <w:t xml:space="preserve"> use average monthly income against a fixed instalment. Low-season months fail the debt-service ratio, even though the annual cash flow is sound.</w:t>
      </w:r>
    </w:p>
    <w:p>
      <w:pPr>
        <w:pStyle w:val="ListParagraph"/>
        <w:numPr>
          <w:ilvl w:val="0"/>
          <w:numId w:val="131"/>
        </w:numPr>
        <w:rPr/>
      </w:pPr>
      <w:r>
        <w:rPr>
          <w:b/>
        </w:rPr>
        <w:t>Arrears in February–March</w:t>
      </w:r>
      <w:r>
        <w:rPr/>
        <w:t xml:space="preserve"> trigger restructuring, credit-bureau flags and lost eligibility for the next loan. This hits women's micro-enterprises hardest, because they have the thinnest cash buffers.</w:t>
      </w:r>
    </w:p>
    <w:p>
      <w:pPr>
        <w:pStyle w:val="ListParagraph"/>
        <w:numPr>
          <w:ilvl w:val="0"/>
          <w:numId w:val="132"/>
        </w:numPr>
        <w:rPr/>
      </w:pPr>
      <w:r>
        <w:rPr>
          <w:b/>
        </w:rPr>
        <w:t>Tenor mismatch.</w:t>
      </w:r>
      <w:r>
        <w:rPr/>
        <w:t xml:space="preserve"> 12-month MFI loans (e.g. the Women's Microfinance Bank, Zimbabwe) force repayment through a full low season.</w:t>
      </w:r>
    </w:p>
    <w:p>
      <w:pPr>
        <w:pStyle w:val="ListParagraph"/>
        <w:numPr>
          <w:ilvl w:val="0"/>
          <w:numId w:val="133"/>
        </w:numPr>
        <w:rPr/>
      </w:pPr>
      <w:r>
        <w:rPr>
          <w:b/>
        </w:rPr>
        <w:t>Currency.</w:t>
      </w:r>
      <w:r>
        <w:rPr/>
        <w:t xml:space="preserve"> High-end lodges earn USD. Most MSMEs supplying them earn local currency. Kwacha, ZiG and kwanza swings add a second, unpredictable cycle on top of the seasonal one.</w:t>
      </w:r>
    </w:p>
    <w:p>
      <w:pPr>
        <w:pStyle w:val="Normal"/>
        <w:rPr/>
      </w:pPr>
      <w:r>
        <w:rPr>
          <w:b/>
        </w:rPr>
        <w:t>Five ways existing debt products can be adapted to seasonality</w:t>
      </w:r>
      <w:r>
        <w:rPr/>
        <w:t xml:space="preserve"> (at least three requested):</w:t>
      </w:r>
    </w:p>
    <w:p>
      <w:pPr>
        <w:pStyle w:val="Normal"/>
        <w:keepNext w:val="true"/>
        <w:rPr/>
      </w:pPr>
      <w:r>
        <w:rPr/>
        <w:t>All five adaptations keep the lender's annual return the same but shift when repayment falls due. Seasonal schedules and grace periods are the simplest to introduce, because they only change the repayment calendar. Revenue-based and booking-linked finance need digital payment flows or a DMC to confirm bookings, but they tie repayment directly to guest arrivals. A seasonal credit line suits suppliers whose needs peak before the high season.</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11</w:t>
      </w:r>
      <w:r>
        <w:rPr>
          <w:sz w:val="20"/>
          <w:b/>
          <w:color w:val="1F3A5F"/>
        </w:rPr>
        <w:fldChar w:fldCharType="end"/>
      </w:r>
      <w:r>
        <w:rPr>
          <w:b/>
          <w:color w:val="1F3A5F"/>
          <w:sz w:val="20"/>
        </w:rPr>
        <w:t>: Debt product adaptations for tourism seasonality</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2817"/>
        <w:gridCol w:w="2372"/>
        <w:gridCol w:w="1830"/>
        <w:gridCol w:w="2392"/>
      </w:tblGrid>
      <w:tr>
        <w:trPr>
          <w:tblHeader w:val="true"/>
        </w:trPr>
        <w:tc>
          <w:tcPr>
            <w:tcW w:w="2817"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Adaptation</w:t>
            </w:r>
          </w:p>
        </w:tc>
        <w:tc>
          <w:tcPr>
            <w:tcW w:w="2372"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How it works</w:t>
            </w:r>
          </w:p>
        </w:tc>
        <w:tc>
          <w:tcPr>
            <w:tcW w:w="1830"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Best for</w:t>
            </w:r>
          </w:p>
        </w:tc>
        <w:tc>
          <w:tcPr>
            <w:tcW w:w="2392"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Lender safeguard</w:t>
            </w:r>
          </w:p>
        </w:tc>
      </w:tr>
      <w:tr>
        <w:trPr/>
        <w:tc>
          <w:tcPr>
            <w:tcW w:w="281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1. Seasonal repayment schedule</w:t>
            </w:r>
          </w:p>
        </w:tc>
        <w:tc>
          <w:tcPr>
            <w:tcW w:w="23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Larger instalments June–October, reduced or interest-only December–March. Annual debt service stays the same</w:t>
            </w:r>
          </w:p>
        </w:tc>
        <w:tc>
          <w:tcPr>
            <w:tcW w:w="183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Lodges, guides, transfer operators</w:t>
            </w:r>
          </w:p>
        </w:tc>
        <w:tc>
          <w:tcPr>
            <w:tcW w:w="239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Cash-flow based underwriting on 12-month projection</w:t>
            </w:r>
          </w:p>
        </w:tc>
      </w:tr>
      <w:tr>
        <w:trPr/>
        <w:tc>
          <w:tcPr>
            <w:tcW w:w="281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2. Seasonal grace period</w:t>
            </w:r>
          </w:p>
        </w:tc>
        <w:tc>
          <w:tcPr>
            <w:tcW w:w="23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3–4 month principal holiday aligned to the green season. Capex loans disbursed pre-season start repayment in July</w:t>
            </w:r>
          </w:p>
        </w:tc>
        <w:tc>
          <w:tcPr>
            <w:tcW w:w="183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Facility upgrades, vehicles, boats</w:t>
            </w:r>
          </w:p>
        </w:tc>
        <w:tc>
          <w:tcPr>
            <w:tcW w:w="239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Grace capitalised; guarantee covers the grace exposure</w:t>
            </w:r>
          </w:p>
        </w:tc>
      </w:tr>
      <w:tr>
        <w:trPr/>
        <w:tc>
          <w:tcPr>
            <w:tcW w:w="281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3. Revenue-based repayment</w:t>
            </w:r>
          </w:p>
        </w:tc>
        <w:tc>
          <w:tcPr>
            <w:tcW w:w="23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A fixed share (e.g. 8–15%) of card, mobile-money or OTA receipts is swept to the lender until a capped multiple is repaid</w:t>
            </w:r>
          </w:p>
        </w:tc>
        <w:tc>
          <w:tcPr>
            <w:tcW w:w="183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Digitally paid firms: activities, guesthouses, online craft sales</w:t>
            </w:r>
          </w:p>
        </w:tc>
        <w:tc>
          <w:tcPr>
            <w:tcW w:w="239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Collection account or payment-processor sweep</w:t>
            </w:r>
          </w:p>
        </w:tc>
      </w:tr>
      <w:tr>
        <w:trPr/>
        <w:tc>
          <w:tcPr>
            <w:tcW w:w="281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4. Forward-booking-linked finance</w:t>
            </w:r>
          </w:p>
        </w:tc>
        <w:tc>
          <w:tcPr>
            <w:tcW w:w="23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Pre-season working capital advanced against confirmed bookings or deposits held by DMCs and OTAs, repaid as guests arrive</w:t>
            </w:r>
          </w:p>
        </w:tc>
        <w:tc>
          <w:tcPr>
            <w:tcW w:w="183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Lodges, activity operators, DMC-linked suppliers</w:t>
            </w:r>
          </w:p>
        </w:tc>
        <w:tc>
          <w:tcPr>
            <w:tcW w:w="239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Assignment of booking proceeds; DMC confirmation</w:t>
            </w:r>
          </w:p>
        </w:tc>
      </w:tr>
      <w:tr>
        <w:trPr/>
        <w:tc>
          <w:tcPr>
            <w:tcW w:w="281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5. Seasonal revolving credit line</w:t>
            </w:r>
          </w:p>
        </w:tc>
        <w:tc>
          <w:tcPr>
            <w:tcW w:w="237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Line drawn in the low season for pre-season stock-up and maintenance, cleared by October</w:t>
            </w:r>
          </w:p>
        </w:tc>
        <w:tc>
          <w:tcPr>
            <w:tcW w:w="183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Food suppliers, laundries, craft co-ops</w:t>
            </w:r>
          </w:p>
        </w:tc>
        <w:tc>
          <w:tcPr>
            <w:tcW w:w="239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Annual clean-up requirement; anchor contract</w:t>
            </w:r>
          </w:p>
        </w:tc>
      </w:tr>
    </w:tbl>
    <w:p>
      <w:pPr>
        <w:pStyle w:val="Normal"/>
        <w:spacing w:before="200" w:after="160"/>
        <w:rPr/>
      </w:pPr>
      <w:r>
        <w:rPr/>
        <w:t xml:space="preserve">A </w:t>
      </w:r>
      <w:r>
        <w:rPr>
          <w:i/>
        </w:rPr>
        <w:t>shock clause</w:t>
      </w:r>
      <w:r>
        <w:rPr/>
        <w:t xml:space="preserve"> adds to all five. It is a pre-agreed 3–6 month moratorium triggered by an objective event: a border closure, drought declaration, pandemic or park closure. This replaces ad-hoc restructuring, which is how COVID-19 and the 2024 drought were handled.</w:t>
      </w:r>
    </w:p>
    <w:p>
      <w:pPr>
        <w:pStyle w:val="Heading2"/>
        <w:rPr/>
      </w:pPr>
      <w:bookmarkStart w:id="17" w:name="__RefHeading___Toc9542_1627482358"/>
      <w:bookmarkEnd w:id="17"/>
      <w:r>
        <w:rPr/>
        <w:t>6.2 Land tenure, asset ownership and alternative collateral (ii)</w:t>
      </w:r>
    </w:p>
    <w:p>
      <w:pPr>
        <w:pStyle w:val="Normal"/>
        <w:rPr/>
      </w:pPr>
      <w:r>
        <w:rPr/>
        <w:t>Women- and youth-led MSMEs are excluded from collateral because the land system and inheritance rules route land to men, chiefs or the state. Most KAZA enterprises sit on land of four kinds, and none of it can be mortgaged:</w:t>
      </w:r>
    </w:p>
    <w:p>
      <w:pPr>
        <w:pStyle w:val="ListParagraph"/>
        <w:numPr>
          <w:ilvl w:val="0"/>
          <w:numId w:val="134"/>
        </w:numPr>
        <w:rPr/>
      </w:pPr>
      <w:r>
        <w:rPr/>
        <w:t>communal land under traditional authorities (Barotse Royal Establishment, Zambian chiefs, Namibian traditional authorities)</w:t>
      </w:r>
    </w:p>
    <w:p>
      <w:pPr>
        <w:pStyle w:val="ListParagraph"/>
        <w:numPr>
          <w:ilvl w:val="0"/>
          <w:numId w:val="135"/>
        </w:numPr>
        <w:rPr/>
      </w:pPr>
      <w:r>
        <w:rPr/>
        <w:t>tribal land under land boards (Botswana)</w:t>
      </w:r>
    </w:p>
    <w:p>
      <w:pPr>
        <w:pStyle w:val="ListParagraph"/>
        <w:numPr>
          <w:ilvl w:val="0"/>
          <w:numId w:val="136"/>
        </w:numPr>
        <w:rPr/>
      </w:pPr>
      <w:r>
        <w:rPr/>
        <w:t>RDC-administered communal land (Zimbabwe)</w:t>
      </w:r>
    </w:p>
    <w:p>
      <w:pPr>
        <w:pStyle w:val="ListParagraph"/>
        <w:numPr>
          <w:ilvl w:val="0"/>
          <w:numId w:val="137"/>
        </w:numPr>
        <w:rPr/>
      </w:pPr>
      <w:r>
        <w:rPr/>
        <w:t>state-held land (Angola)</w:t>
      </w:r>
    </w:p>
    <w:p>
      <w:pPr>
        <w:pStyle w:val="Normal"/>
        <w:rPr/>
      </w:pPr>
      <w:r>
        <w:rPr/>
        <w:t>On top of that:</w:t>
      </w:r>
    </w:p>
    <w:p>
      <w:pPr>
        <w:pStyle w:val="ListParagraph"/>
        <w:numPr>
          <w:ilvl w:val="0"/>
          <w:numId w:val="138"/>
        </w:numPr>
        <w:rPr/>
      </w:pPr>
      <w:r>
        <w:rPr>
          <w:b/>
        </w:rPr>
        <w:t>Women</w:t>
      </w:r>
      <w:r>
        <w:rPr/>
        <w:t xml:space="preserve"> typically gain land access through husbands or male relatives. In Zimbabwe, women held land in their own name in under 5% of cases before land reform and about 20% after, and communal land is largely unchanged. In Zambia, policy targets moved from 30% (2000) to 50% (2017) allocation to women, but administration lags.</w:t>
      </w:r>
    </w:p>
    <w:p>
      <w:pPr>
        <w:pStyle w:val="ListParagraph"/>
        <w:numPr>
          <w:ilvl w:val="0"/>
          <w:numId w:val="139"/>
        </w:numPr>
        <w:rPr/>
      </w:pPr>
      <w:r>
        <w:rPr>
          <w:b/>
        </w:rPr>
        <w:t>Youth</w:t>
      </w:r>
      <w:r>
        <w:rPr/>
        <w:t xml:space="preserve"> rarely hold land, vehicles or a credit file. Family assets stay in elders' names, and spousal or parental consent rules for pledging assets add a second barrier.</w:t>
      </w:r>
    </w:p>
    <w:p>
      <w:pPr>
        <w:pStyle w:val="ListParagraph"/>
        <w:numPr>
          <w:ilvl w:val="0"/>
          <w:numId w:val="140"/>
        </w:numPr>
        <w:rPr/>
      </w:pPr>
      <w:r>
        <w:rPr>
          <w:b/>
        </w:rPr>
        <w:t>Community enterprises</w:t>
      </w:r>
      <w:r>
        <w:rPr/>
        <w:t xml:space="preserve"> hold leases or JV rights. Their terms (often 10–15 years, with renewal uncertain) are shorter than lenders want for capex loans.</w:t>
      </w:r>
    </w:p>
    <w:p>
      <w:pPr>
        <w:pStyle w:val="Normal"/>
        <w:rPr/>
      </w:pPr>
      <w:r>
        <w:rPr>
          <w:b/>
        </w:rPr>
        <w:t>Alternative forms of collateral that lenders could accept:</w:t>
      </w:r>
    </w:p>
    <w:p>
      <w:pPr>
        <w:pStyle w:val="Normal"/>
        <w:keepNext w:val="true"/>
        <w:rPr/>
      </w:pPr>
      <w:r>
        <w:rPr/>
        <w:t>Nine forms of alternative collateral could stand in for land. They range from vehicles and equipment to receivables, group and community guarantees, and conservation-linked revenues. Group guarantees and anchor-backed receivables are ready now in all five countries and fit women's businesses best. Movable-asset lending is strongest in Zambia and Zimbabwe, where collateral registries operate. Lease rights and conservation assets need more legal work first.</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12</w:t>
      </w:r>
      <w:r>
        <w:rPr>
          <w:sz w:val="20"/>
          <w:b/>
          <w:color w:val="1F3A5F"/>
        </w:rPr>
        <w:fldChar w:fldCharType="end"/>
      </w:r>
      <w:r>
        <w:rPr>
          <w:b/>
          <w:color w:val="1F3A5F"/>
          <w:sz w:val="20"/>
        </w:rPr>
        <w:t>: Alternative forms of collateral</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2161"/>
        <w:gridCol w:w="2464"/>
        <w:gridCol w:w="1562"/>
        <w:gridCol w:w="1463"/>
        <w:gridCol w:w="1762"/>
      </w:tblGrid>
      <w:tr>
        <w:trPr>
          <w:tblHeader w:val="true"/>
        </w:trPr>
        <w:tc>
          <w:tcPr>
            <w:tcW w:w="2161"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Collateral type</w:t>
            </w:r>
          </w:p>
        </w:tc>
        <w:tc>
          <w:tcPr>
            <w:tcW w:w="2464"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Example in KAZA</w:t>
            </w:r>
          </w:p>
        </w:tc>
        <w:tc>
          <w:tcPr>
            <w:tcW w:w="1562"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Legal basis</w:t>
            </w:r>
          </w:p>
        </w:tc>
        <w:tc>
          <w:tcPr>
            <w:tcW w:w="1463"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Readiness by country</w:t>
            </w:r>
          </w:p>
        </w:tc>
        <w:tc>
          <w:tcPr>
            <w:tcW w:w="1762"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Women and youth fit</w:t>
            </w:r>
          </w:p>
        </w:tc>
      </w:tr>
      <w:tr>
        <w:trPr/>
        <w:tc>
          <w:tcPr>
            <w:tcW w:w="21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Movable assets: vehicles, boats, engines, equipment</w:t>
            </w:r>
          </w:p>
        </w:tc>
        <w:tc>
          <w:tcPr>
            <w:tcW w:w="246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Game-drive vehicles, mokoro fleets, laundry machines, solar systems</w:t>
            </w:r>
          </w:p>
        </w:tc>
        <w:tc>
          <w:tcPr>
            <w:tcW w:w="15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Movable property security laws and registries</w:t>
            </w:r>
          </w:p>
        </w:tc>
        <w:tc>
          <w:tcPr>
            <w:tcW w:w="146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ZM, ZW operational; BW law passed, commencement pending; NA, AO unclear, to verify</w:t>
            </w:r>
          </w:p>
        </w:tc>
        <w:tc>
          <w:tcPr>
            <w:tcW w:w="17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Medium: assets bought with the loan itself (purchase-money security)</w:t>
            </w:r>
          </w:p>
        </w:tc>
      </w:tr>
      <w:tr>
        <w:trPr/>
        <w:tc>
          <w:tcPr>
            <w:tcW w:w="21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Future receivables and contracts</w:t>
            </w:r>
          </w:p>
        </w:tc>
        <w:tc>
          <w:tcPr>
            <w:tcW w:w="246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Lodge supply contracts, DMC booking proceeds, Wildlife Credits payments</w:t>
            </w:r>
          </w:p>
        </w:tc>
        <w:tc>
          <w:tcPr>
            <w:tcW w:w="15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Assignment of receivables; registry filing where available</w:t>
            </w:r>
          </w:p>
        </w:tc>
        <w:tc>
          <w:tcPr>
            <w:tcW w:w="146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High where anchor signs a tripartite agreement (Stanbic BW model)</w:t>
            </w:r>
          </w:p>
        </w:tc>
        <w:tc>
          <w:tcPr>
            <w:tcW w:w="17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High: women suppliers hold contracts more often than land</w:t>
            </w:r>
          </w:p>
        </w:tc>
      </w:tr>
      <w:tr>
        <w:trPr/>
        <w:tc>
          <w:tcPr>
            <w:tcW w:w="21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Group guarantees</w:t>
            </w:r>
          </w:p>
        </w:tc>
        <w:tc>
          <w:tcPr>
            <w:tcW w:w="246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VSLA or co-op joint liability</w:t>
            </w:r>
          </w:p>
        </w:tc>
        <w:tc>
          <w:tcPr>
            <w:tcW w:w="15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Contract law</w:t>
            </w:r>
          </w:p>
        </w:tc>
        <w:tc>
          <w:tcPr>
            <w:tcW w:w="146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High everywhere</w:t>
            </w:r>
          </w:p>
        </w:tc>
        <w:tc>
          <w:tcPr>
            <w:tcW w:w="17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High: built on women's groups</w:t>
            </w:r>
          </w:p>
        </w:tc>
      </w:tr>
      <w:tr>
        <w:trPr/>
        <w:tc>
          <w:tcPr>
            <w:tcW w:w="21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Community-based guarantees</w:t>
            </w:r>
          </w:p>
        </w:tc>
        <w:tc>
          <w:tcPr>
            <w:tcW w:w="246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Conservancy, trust or CAMPFIRE deposit backing members' loans</w:t>
            </w:r>
          </w:p>
        </w:tc>
        <w:tc>
          <w:tcPr>
            <w:tcW w:w="15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Trust or association constitution; cash collateral</w:t>
            </w:r>
          </w:p>
        </w:tc>
        <w:tc>
          <w:tcPr>
            <w:tcW w:w="146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Medium: needs governance rules</w:t>
            </w:r>
          </w:p>
        </w:tc>
        <w:tc>
          <w:tcPr>
            <w:tcW w:w="17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High if allocation rules reserve a share for women and youth</w:t>
            </w:r>
          </w:p>
        </w:tc>
      </w:tr>
      <w:tr>
        <w:trPr/>
        <w:tc>
          <w:tcPr>
            <w:tcW w:w="21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Conservation-linked assets</w:t>
            </w:r>
          </w:p>
        </w:tc>
        <w:tc>
          <w:tcPr>
            <w:tcW w:w="246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Wildlife Credits receivables, carbon or biodiversity credit revenues, conservation-performance contracts</w:t>
            </w:r>
          </w:p>
        </w:tc>
        <w:tc>
          <w:tcPr>
            <w:tcW w:w="15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Contract; emerging regulation</w:t>
            </w:r>
          </w:p>
        </w:tc>
        <w:tc>
          <w:tcPr>
            <w:tcW w:w="146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Low–medium: NA furthest advanced</w:t>
            </w:r>
          </w:p>
        </w:tc>
        <w:tc>
          <w:tcPr>
            <w:tcW w:w="17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Medium</w:t>
            </w:r>
          </w:p>
        </w:tc>
      </w:tr>
      <w:tr>
        <w:trPr/>
        <w:tc>
          <w:tcPr>
            <w:tcW w:w="21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Lease and concession rights</w:t>
            </w:r>
          </w:p>
        </w:tc>
        <w:tc>
          <w:tcPr>
            <w:tcW w:w="246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Registered leasehold, PTO, JV lease assignment</w:t>
            </w:r>
          </w:p>
        </w:tc>
        <w:tc>
          <w:tcPr>
            <w:tcW w:w="15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Land and lease law; landlord consent</w:t>
            </w:r>
          </w:p>
        </w:tc>
        <w:tc>
          <w:tcPr>
            <w:tcW w:w="146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Low–medium</w:t>
            </w:r>
          </w:p>
        </w:tc>
        <w:tc>
          <w:tcPr>
            <w:tcW w:w="17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Low unless leases are registered in women's names</w:t>
            </w:r>
          </w:p>
        </w:tc>
      </w:tr>
      <w:tr>
        <w:trPr/>
        <w:tc>
          <w:tcPr>
            <w:tcW w:w="21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Cash-flow and digital data</w:t>
            </w:r>
          </w:p>
        </w:tc>
        <w:tc>
          <w:tcPr>
            <w:tcW w:w="246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Mobile-money and POS histories as underwriting input</w:t>
            </w:r>
          </w:p>
        </w:tc>
        <w:tc>
          <w:tcPr>
            <w:tcW w:w="15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Credit reporting acts</w:t>
            </w:r>
          </w:p>
        </w:tc>
        <w:tc>
          <w:tcPr>
            <w:tcW w:w="146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Medium</w:t>
            </w:r>
          </w:p>
        </w:tc>
        <w:tc>
          <w:tcPr>
            <w:tcW w:w="17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High for youth</w:t>
            </w:r>
          </w:p>
        </w:tc>
      </w:tr>
      <w:tr>
        <w:trPr/>
        <w:tc>
          <w:tcPr>
            <w:tcW w:w="21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Warehouse receipts and inventory</w:t>
            </w:r>
          </w:p>
        </w:tc>
        <w:tc>
          <w:tcPr>
            <w:tcW w:w="246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Craft stock, produce</w:t>
            </w:r>
          </w:p>
        </w:tc>
        <w:tc>
          <w:tcPr>
            <w:tcW w:w="15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Warehouse receipts and pledge law</w:t>
            </w:r>
          </w:p>
        </w:tc>
        <w:tc>
          <w:tcPr>
            <w:tcW w:w="146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Low</w:t>
            </w:r>
          </w:p>
        </w:tc>
        <w:tc>
          <w:tcPr>
            <w:tcW w:w="17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Medium</w:t>
            </w:r>
          </w:p>
        </w:tc>
      </w:tr>
      <w:tr>
        <w:trPr/>
        <w:tc>
          <w:tcPr>
            <w:tcW w:w="216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Personal and third-party guarantees from anchors</w:t>
            </w:r>
          </w:p>
        </w:tc>
        <w:tc>
          <w:tcPr>
            <w:tcW w:w="246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Lodge operator guarantees a supplier's equipment loan</w:t>
            </w:r>
          </w:p>
        </w:tc>
        <w:tc>
          <w:tcPr>
            <w:tcW w:w="15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Contract</w:t>
            </w:r>
          </w:p>
        </w:tc>
        <w:tc>
          <w:tcPr>
            <w:tcW w:w="146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Medium</w:t>
            </w:r>
          </w:p>
        </w:tc>
        <w:tc>
          <w:tcPr>
            <w:tcW w:w="176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High</w:t>
            </w:r>
          </w:p>
        </w:tc>
      </w:tr>
    </w:tbl>
    <w:p>
      <w:pPr>
        <w:pStyle w:val="Normal"/>
        <w:spacing w:before="200" w:after="160"/>
        <w:rPr/>
      </w:pPr>
      <w:r>
        <w:rPr>
          <w:b/>
        </w:rPr>
        <w:t>Priority actions:</w:t>
      </w:r>
    </w:p>
    <w:p>
      <w:pPr>
        <w:pStyle w:val="ListParagraph"/>
        <w:numPr>
          <w:ilvl w:val="0"/>
          <w:numId w:val="141"/>
        </w:numPr>
        <w:rPr/>
      </w:pPr>
      <w:r>
        <w:rPr/>
        <w:t>Require partner lenders to register grant- and loan-financed movable assets in the borrower's name. Register them in the woman's or youth's name where she or he runs the enterprise.</w:t>
      </w:r>
    </w:p>
    <w:p>
      <w:pPr>
        <w:pStyle w:val="ListParagraph"/>
        <w:numPr>
          <w:ilvl w:val="0"/>
          <w:numId w:val="142"/>
        </w:numPr>
        <w:rPr/>
      </w:pPr>
      <w:r>
        <w:rPr/>
        <w:t>Remove spousal co-signature requirements for women's business loans where the law doesn't require them.</w:t>
      </w:r>
    </w:p>
    <w:p>
      <w:pPr>
        <w:pStyle w:val="ListParagraph"/>
        <w:numPr>
          <w:ilvl w:val="0"/>
          <w:numId w:val="143"/>
        </w:numPr>
        <w:rPr/>
      </w:pPr>
      <w:r>
        <w:rPr/>
        <w:t>Advocate for commencement of Botswana's Movable Property (Security Interests) Act (</w:t>
      </w:r>
      <w:hyperlink r:id="rId13">
        <w:r>
          <w:rPr>
            <w:rStyle w:val="Hyperlink"/>
          </w:rPr>
          <w:t>Botswana Laws</w:t>
        </w:r>
      </w:hyperlink>
      <w:r>
        <w:rPr/>
        <w:t>).</w:t>
      </w:r>
    </w:p>
    <w:p>
      <w:pPr>
        <w:pStyle w:val="Heading2"/>
        <w:rPr/>
      </w:pPr>
      <w:bookmarkStart w:id="18" w:name="__RefHeading___Toc9544_1627482358"/>
      <w:bookmarkEnd w:id="18"/>
      <w:r>
        <w:rPr/>
        <w:t>6.3 Power imbalances between large operators and MSMEs (iii)</w:t>
      </w:r>
    </w:p>
    <w:p>
      <w:pPr>
        <w:pStyle w:val="Normal"/>
        <w:rPr/>
      </w:pPr>
      <w:r>
        <w:rPr/>
        <w:t>A few large lodge groups, DMCs and hotel chains control most guest flows, procurement and pricing. Small suppliers and community partners negotiate from weakness. The anchors include Wilderness, &amp;Beyond, Great Plains, Desert &amp; Delta, Natural Selection, Gondwana, Wild Horizons, Africa Albida, Sun International and Chiawa. This affects working capital, contract quality and, as a result, bankability.</w:t>
      </w:r>
    </w:p>
    <w:p>
      <w:pPr>
        <w:pStyle w:val="Normal"/>
        <w:rPr/>
      </w:pPr>
      <w:r>
        <w:rPr>
          <w:b/>
        </w:rPr>
        <w:t>(a) Payment cycles and working capital.</w:t>
      </w:r>
      <w:r>
        <w:rPr/>
        <w:t xml:space="preserve"> Large operators commonly pay suppliers 30–60 days after invoice, and sometimes 90–120 days. Guests, meanwhile, pre-pay lodges 50% about 90 days before arrival (</w:t>
      </w:r>
      <w:hyperlink r:id="rId14">
        <w:r>
          <w:rPr>
            <w:rStyle w:val="Hyperlink"/>
          </w:rPr>
          <w:t>SME South Africa</w:t>
        </w:r>
      </w:hyperlink>
      <w:r>
        <w:rPr/>
        <w:t>). The supplier thus lends to the buyer, a pattern documented across Southern Africa (</w:t>
      </w:r>
      <w:hyperlink r:id="rId15">
        <w:r>
          <w:rPr>
            <w:rStyle w:val="Hyperlink"/>
          </w:rPr>
          <w:t>Mining Weekly, Oct 2026</w:t>
        </w:r>
      </w:hyperlink>
      <w:r>
        <w:rPr/>
        <w:t>). For a woman-run vegetable or laundry business turning over USD 2,000 a month, a 60-day cycle locks up about USD 4,000. That is often more than her whole working capital. She can't fill a larger order without credit, and she can't get credit without a track record of larger orders.</w:t>
      </w:r>
    </w:p>
    <w:p>
      <w:pPr>
        <w:pStyle w:val="Normal"/>
        <w:rPr/>
      </w:pPr>
      <w:r>
        <w:rPr>
          <w:b/>
        </w:rPr>
        <w:t>(b) Contract terms that disadvantage MSMEs</w:t>
      </w:r>
      <w:r>
        <w:rPr/>
        <w:t xml:space="preserve"> (</w:t>
      </w:r>
      <w:r>
        <w:rPr>
          <w:i/>
        </w:rPr>
        <w:t>indicative</w:t>
      </w:r>
      <w:r>
        <w:rPr/>
        <w:t>, from operator and CBNRM literature; to verify in interviews):</w:t>
      </w:r>
    </w:p>
    <w:p>
      <w:pPr>
        <w:pStyle w:val="ListParagraph"/>
        <w:numPr>
          <w:ilvl w:val="0"/>
          <w:numId w:val="144"/>
        </w:numPr>
        <w:rPr/>
      </w:pPr>
      <w:r>
        <w:rPr>
          <w:b/>
        </w:rPr>
        <w:t>No written contract at all.</w:t>
      </w:r>
      <w:r>
        <w:rPr/>
        <w:t xml:space="preserve"> Purchase orders are issued week to week, so there is nothing to assign to a lender.</w:t>
      </w:r>
    </w:p>
    <w:p>
      <w:pPr>
        <w:pStyle w:val="ListParagraph"/>
        <w:numPr>
          <w:ilvl w:val="0"/>
          <w:numId w:val="145"/>
        </w:numPr>
        <w:rPr/>
      </w:pPr>
      <w:r>
        <w:rPr>
          <w:b/>
        </w:rPr>
        <w:t>Unilateral cancellation and volume changes.</w:t>
      </w:r>
      <w:r>
        <w:rPr/>
        <w:t xml:space="preserve"> Orders are cut in the low season, or during COVID-style shocks, with no notice.</w:t>
      </w:r>
    </w:p>
    <w:p>
      <w:pPr>
        <w:pStyle w:val="ListParagraph"/>
        <w:numPr>
          <w:ilvl w:val="0"/>
          <w:numId w:val="146"/>
        </w:numPr>
        <w:rPr/>
      </w:pPr>
      <w:r>
        <w:rPr>
          <w:b/>
        </w:rPr>
        <w:t>Quality rejection without appeal.</w:t>
      </w:r>
      <w:r>
        <w:rPr/>
        <w:t xml:space="preserve"> The supplier bears the full loss.</w:t>
      </w:r>
    </w:p>
    <w:p>
      <w:pPr>
        <w:pStyle w:val="ListParagraph"/>
        <w:numPr>
          <w:ilvl w:val="0"/>
          <w:numId w:val="147"/>
        </w:numPr>
        <w:rPr/>
      </w:pPr>
      <w:r>
        <w:rPr>
          <w:b/>
        </w:rPr>
        <w:t>Exclusivity clauses</w:t>
      </w:r>
      <w:r>
        <w:rPr/>
        <w:t xml:space="preserve"> for activity operators and guides, with commission rates set by the operator (often 20–30% for DMCs and OTAs).</w:t>
      </w:r>
    </w:p>
    <w:p>
      <w:pPr>
        <w:pStyle w:val="ListParagraph"/>
        <w:numPr>
          <w:ilvl w:val="0"/>
          <w:numId w:val="148"/>
        </w:numPr>
        <w:rPr/>
      </w:pPr>
      <w:r>
        <w:rPr>
          <w:b/>
        </w:rPr>
        <w:t>JV and lease agreements.</w:t>
      </w:r>
      <w:r>
        <w:rPr/>
        <w:t xml:space="preserve"> Community partners often receive fixed fees or a revenue share calculated on operator-reported figures, with weak audit rights. Long tenures carry few performance-review clauses, and assets revert to the operator rather than the community.</w:t>
      </w:r>
    </w:p>
    <w:p>
      <w:pPr>
        <w:pStyle w:val="ListParagraph"/>
        <w:numPr>
          <w:ilvl w:val="0"/>
          <w:numId w:val="149"/>
        </w:numPr>
        <w:rPr/>
      </w:pPr>
      <w:r>
        <w:rPr>
          <w:b/>
        </w:rPr>
        <w:t>Payment currency mismatch.</w:t>
      </w:r>
      <w:r>
        <w:rPr/>
        <w:t xml:space="preserve"> Operators earn USD but pay suppliers in local currency at their own conversion rate.</w:t>
      </w:r>
    </w:p>
    <w:p>
      <w:pPr>
        <w:pStyle w:val="Normal"/>
        <w:rPr/>
      </w:pPr>
      <w:r>
        <w:rPr>
          <w:b/>
        </w:rPr>
        <w:t>(c) Supply chain finance that could rebalance power:</w:t>
      </w:r>
    </w:p>
    <w:p>
      <w:pPr>
        <w:pStyle w:val="Normal"/>
        <w:keepNext w:val="true"/>
        <w:rPr/>
      </w:pPr>
      <w:r>
        <w:rPr/>
        <w:t>Five supply chain finance tools would let MSME suppliers borrow on the strength of large operators' credit rather than their own. Reverse factoring and contract-backed loans move the most risk to the anchor. The Wilderness–Stanbic arrangement in Botswana proves the contract-backed model already works in KAZA. Purchase-order finance, sponsored leasing and dynamic discounting fill specific gaps.</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13</w:t>
      </w:r>
      <w:r>
        <w:rPr>
          <w:sz w:val="20"/>
          <w:b/>
          <w:color w:val="1F3A5F"/>
        </w:rPr>
        <w:fldChar w:fldCharType="end"/>
      </w:r>
      <w:r>
        <w:rPr>
          <w:b/>
          <w:color w:val="1F3A5F"/>
          <w:sz w:val="20"/>
        </w:rPr>
        <w:t>: Supply chain finance instruments</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2828"/>
        <w:gridCol w:w="2998"/>
        <w:gridCol w:w="3586"/>
      </w:tblGrid>
      <w:tr>
        <w:trPr>
          <w:tblHeader w:val="true"/>
        </w:trPr>
        <w:tc>
          <w:tcPr>
            <w:tcW w:w="2828"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Instrument</w:t>
            </w:r>
          </w:p>
        </w:tc>
        <w:tc>
          <w:tcPr>
            <w:tcW w:w="2998"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Mechanism</w:t>
            </w:r>
          </w:p>
        </w:tc>
        <w:tc>
          <w:tcPr>
            <w:tcW w:w="3586"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Precedent</w:t>
            </w:r>
          </w:p>
        </w:tc>
      </w:tr>
      <w:tr>
        <w:trPr/>
        <w:tc>
          <w:tcPr>
            <w:tcW w:w="282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Reverse factoring</w:t>
            </w:r>
          </w:p>
        </w:tc>
        <w:tc>
          <w:tcPr>
            <w:tcW w:w="299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The bank pays the MSME's approved invoice in 2–5 days at a discount priced on the </w:t>
            </w:r>
            <w:r>
              <w:rPr>
                <w:rFonts w:eastAsia="Calibri" w:cs="Calibri"/>
                <w:i/>
                <w:kern w:val="0"/>
                <w:sz w:val="22"/>
                <w:szCs w:val="22"/>
                <w:lang w:val="en-US"/>
              </w:rPr>
              <w:t>anchor's</w:t>
            </w:r>
            <w:r>
              <w:rPr>
                <w:rFonts w:eastAsia="Calibri" w:cs="Calibri"/>
                <w:kern w:val="0"/>
                <w:sz w:val="22"/>
                <w:szCs w:val="22"/>
                <w:lang w:val="en-US"/>
              </w:rPr>
              <w:t xml:space="preserve"> credit risk. The anchor pays the bank at 60 days</w:t>
            </w:r>
          </w:p>
        </w:tc>
        <w:tc>
          <w:tcPr>
            <w:tcW w:w="358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Common in corporate banking; adapt via Stanbic, FNB, Absa</w:t>
            </w:r>
          </w:p>
        </w:tc>
      </w:tr>
      <w:tr>
        <w:trPr/>
        <w:tc>
          <w:tcPr>
            <w:tcW w:w="282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Contract-backed supplier loans</w:t>
            </w:r>
          </w:p>
        </w:tc>
        <w:tc>
          <w:tcPr>
            <w:tcW w:w="299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tripartite agreement in which the operator nominates the supplier, the bank lends against the contract, and the operator pays into a collection account</w:t>
            </w:r>
          </w:p>
        </w:tc>
        <w:tc>
          <w:tcPr>
            <w:tcW w:w="358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Wilderness–Stanbic Botswana, 2025 (</w:t>
            </w:r>
            <w:hyperlink r:id="rId16">
              <w:r>
                <w:rPr>
                  <w:rStyle w:val="Hyperlink"/>
                  <w:rFonts w:eastAsia="Calibri" w:cs="Calibri"/>
                  <w:kern w:val="0"/>
                  <w:sz w:val="22"/>
                  <w:szCs w:val="22"/>
                  <w:lang w:val="en-US"/>
                </w:rPr>
                <w:t>Daily News</w:t>
              </w:r>
            </w:hyperlink>
            <w:r>
              <w:rPr>
                <w:rFonts w:eastAsia="Calibri" w:cs="Calibri"/>
                <w:kern w:val="0"/>
                <w:sz w:val="22"/>
                <w:szCs w:val="22"/>
                <w:lang w:val="en-US"/>
              </w:rPr>
              <w:t>)</w:t>
            </w:r>
          </w:p>
        </w:tc>
      </w:tr>
      <w:tr>
        <w:trPr/>
        <w:tc>
          <w:tcPr>
            <w:tcW w:w="282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Purchase-order finance</w:t>
            </w:r>
          </w:p>
        </w:tc>
        <w:tc>
          <w:tcPr>
            <w:tcW w:w="299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Advance of 50–70% of a confirmed order for inputs</w:t>
            </w:r>
          </w:p>
        </w:tc>
        <w:tc>
          <w:tcPr>
            <w:tcW w:w="358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Food and craft suppliers</w:t>
            </w:r>
          </w:p>
        </w:tc>
      </w:tr>
      <w:tr>
        <w:trPr/>
        <w:tc>
          <w:tcPr>
            <w:tcW w:w="282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Anchor-sponsored equipment leasing</w:t>
            </w:r>
          </w:p>
        </w:tc>
        <w:tc>
          <w:tcPr>
            <w:tcW w:w="299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The operator guarantees or co-signs leases for laundry, solar or cold-chain equipment used to serve it</w:t>
            </w:r>
          </w:p>
        </w:tc>
        <w:tc>
          <w:tcPr>
            <w:tcW w:w="358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Supplier-development programmes</w:t>
            </w:r>
          </w:p>
        </w:tc>
      </w:tr>
      <w:tr>
        <w:trPr/>
        <w:tc>
          <w:tcPr>
            <w:tcW w:w="282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Dynamic discounting</w:t>
            </w:r>
          </w:p>
        </w:tc>
        <w:tc>
          <w:tcPr>
            <w:tcW w:w="299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The operator pays early from its own cash in exchange for a small discount</w:t>
            </w:r>
          </w:p>
        </w:tc>
        <w:tc>
          <w:tcPr>
            <w:tcW w:w="358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Requires operator treasury willingness</w:t>
            </w:r>
          </w:p>
        </w:tc>
      </w:tr>
    </w:tbl>
    <w:p>
      <w:pPr>
        <w:pStyle w:val="Normal"/>
        <w:spacing w:before="200" w:after="160"/>
        <w:rPr/>
      </w:pPr>
      <w:r>
        <w:rPr/>
        <w:t>The grant facility can fund three things here: the platform and onboarding costs, a first-loss on the MSME pool, and TA to help suppliers meet quality standards.</w:t>
      </w:r>
    </w:p>
    <w:p>
      <w:pPr>
        <w:pStyle w:val="Normal"/>
        <w:rPr/>
      </w:pPr>
      <w:r>
        <w:rPr>
          <w:b/>
        </w:rPr>
        <w:t>(d) Dialogue platforms to address these imbalances:</w:t>
      </w:r>
    </w:p>
    <w:p>
      <w:pPr>
        <w:pStyle w:val="ListParagraph"/>
        <w:numPr>
          <w:ilvl w:val="0"/>
          <w:numId w:val="150"/>
        </w:numPr>
        <w:rPr/>
      </w:pPr>
      <w:r>
        <w:rPr>
          <w:b/>
        </w:rPr>
        <w:t>KAZA Tourism Supply Chain Compact.</w:t>
      </w:r>
      <w:r>
        <w:rPr/>
        <w:t xml:space="preserve"> Operators sign voluntary pledges: payment within 15 days for micro suppliers, written contracts, a local-procurement share, and women and youth supplier targets. A dashboard reports progress yearly to the KAZA Secretariat.</w:t>
      </w:r>
    </w:p>
    <w:p>
      <w:pPr>
        <w:pStyle w:val="ListParagraph"/>
        <w:numPr>
          <w:ilvl w:val="0"/>
          <w:numId w:val="151"/>
        </w:numPr>
        <w:rPr/>
      </w:pPr>
      <w:r>
        <w:rPr>
          <w:b/>
        </w:rPr>
        <w:t>National hub roundtables</w:t>
      </w:r>
      <w:r>
        <w:rPr/>
        <w:t>, quarterly, in Kasane/Maun, Katima Mulilo/Rundu, Livingstone and Victoria Falls. These are chaired by tourism boards (BTO, NTB, ZTA (Zambia), ZTA (Zimbabwe)) and LEA, CEEC or SMEDCO, with operator associations, MSME associations, women's and youth groups, and banks.</w:t>
      </w:r>
    </w:p>
    <w:p>
      <w:pPr>
        <w:pStyle w:val="ListParagraph"/>
        <w:numPr>
          <w:ilvl w:val="0"/>
          <w:numId w:val="152"/>
        </w:numPr>
        <w:rPr/>
      </w:pPr>
      <w:r>
        <w:rPr>
          <w:b/>
        </w:rPr>
        <w:t>Model contract working group.</w:t>
      </w:r>
      <w:r>
        <w:rPr/>
        <w:t xml:space="preserve"> HATAB, FENATA, TCZ, TBCSA-type bodies, CBNRM associations (NACSO, BOCOBONET) and lawyers develop standard supply contracts and JV clauses: audit rights, performance review, women's and youth employment.</w:t>
      </w:r>
    </w:p>
    <w:p>
      <w:pPr>
        <w:pStyle w:val="ListParagraph"/>
        <w:numPr>
          <w:ilvl w:val="0"/>
          <w:numId w:val="153"/>
        </w:numPr>
        <w:rPr/>
      </w:pPr>
      <w:r>
        <w:rPr>
          <w:b/>
        </w:rPr>
        <w:t>Grievance and mediation channel</w:t>
      </w:r>
      <w:r>
        <w:rPr/>
        <w:t xml:space="preserve"> for suppliers and community partners, hosted by a neutral body such as a chamber of commerce or the CBNRM association.</w:t>
      </w:r>
    </w:p>
    <w:p>
      <w:pPr>
        <w:pStyle w:val="ListParagraph"/>
        <w:numPr>
          <w:ilvl w:val="0"/>
          <w:numId w:val="154"/>
        </w:numPr>
        <w:rPr/>
      </w:pPr>
      <w:r>
        <w:rPr>
          <w:b/>
        </w:rPr>
        <w:t>Annual KAZA R-NBT Finance Forum</w:t>
      </w:r>
      <w:r>
        <w:rPr/>
        <w:t xml:space="preserve"> where operators, lenders and MSMEs review supply-chain finance performance.</w:t>
      </w:r>
    </w:p>
    <w:p>
      <w:pPr>
        <w:pStyle w:val="Heading2"/>
        <w:rPr/>
      </w:pPr>
      <w:bookmarkStart w:id="19" w:name="__RefHeading___Toc9546_1627482358"/>
      <w:bookmarkEnd w:id="19"/>
      <w:r>
        <w:rPr/>
        <w:t>6.4 Root causes (iv)</w:t>
      </w:r>
    </w:p>
    <w:p>
      <w:pPr>
        <w:pStyle w:val="Normal"/>
        <w:rPr/>
      </w:pPr>
      <w:r>
        <w:rPr/>
        <w:t>The visible barriers (no collateral, high rates, rejection) trace back to three root causes. Each one reinforces the other two.</w:t>
      </w:r>
    </w:p>
    <w:p>
      <w:pPr>
        <w:pStyle w:val="Normal"/>
        <w:keepNext w:val="true"/>
        <w:rPr/>
      </w:pPr>
      <w:r>
        <w:rPr/>
        <w:t>Three root causes sit behind most of the barriers. They are information gaps, the high cost of serving small borrowers far from decision centres, and collateral rules. Each falls harder on women and youth. Each has a fix that tackles the cause rather than the symptom.</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14</w:t>
      </w:r>
      <w:r>
        <w:rPr>
          <w:sz w:val="20"/>
          <w:b/>
          <w:color w:val="1F3A5F"/>
        </w:rPr>
        <w:fldChar w:fldCharType="end"/>
      </w:r>
      <w:r>
        <w:rPr>
          <w:b/>
          <w:color w:val="1F3A5F"/>
          <w:sz w:val="20"/>
        </w:rPr>
        <w:t>: Root causes of the finance gap</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1875"/>
        <w:gridCol w:w="2429"/>
        <w:gridCol w:w="2416"/>
        <w:gridCol w:w="2691"/>
      </w:tblGrid>
      <w:tr>
        <w:trPr>
          <w:tblHeader w:val="true"/>
        </w:trPr>
        <w:tc>
          <w:tcPr>
            <w:tcW w:w="1875"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Root cause</w:t>
            </w:r>
          </w:p>
        </w:tc>
        <w:tc>
          <w:tcPr>
            <w:tcW w:w="2429"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How it shows up</w:t>
            </w:r>
          </w:p>
        </w:tc>
        <w:tc>
          <w:tcPr>
            <w:tcW w:w="2416"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Gendered and youth effect</w:t>
            </w:r>
          </w:p>
        </w:tc>
        <w:tc>
          <w:tcPr>
            <w:tcW w:w="2691"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Fix that addresses the cause</w:t>
            </w:r>
          </w:p>
        </w:tc>
      </w:tr>
      <w:tr>
        <w:trPr/>
        <w:tc>
          <w:tcPr>
            <w:tcW w:w="187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Information asymmetries</w:t>
            </w:r>
          </w:p>
        </w:tc>
        <w:tc>
          <w:tcPr>
            <w:tcW w:w="24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MSMEs lack records, audited accounts and credit files. Lenders lack sector data on seasonality, default rates and R-NBT business models. MSMEs don't know what products exist</w:t>
            </w:r>
          </w:p>
        </w:tc>
        <w:tc>
          <w:tcPr>
            <w:tcW w:w="241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Women's businesses are mixed with household cash; youth have no credit file. Fewer women hear of products (about 60% of women consulted in Zimbabwe didn't know the Women's Microfinance Bank)</w:t>
            </w:r>
          </w:p>
        </w:tc>
        <w:tc>
          <w:tcPr>
            <w:tcW w:w="269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Digital bookkeeping and payment trails, shared KAZA sector data, product fairs through VSLAs and conservancies</w:t>
            </w:r>
          </w:p>
        </w:tc>
      </w:tr>
      <w:tr>
        <w:trPr/>
        <w:tc>
          <w:tcPr>
            <w:tcW w:w="187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High transaction costs</w:t>
            </w:r>
          </w:p>
        </w:tc>
        <w:tc>
          <w:tcPr>
            <w:tcW w:w="24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Distances of 300–1,000 km to credit decision centres (Windhoek, Gaborone, Lusaka, Harare, Luanda). Small tickets make fixed appraisal costs prohibitive</w:t>
            </w:r>
          </w:p>
        </w:tc>
        <w:tc>
          <w:tcPr>
            <w:tcW w:w="241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Women face time and mobility constraints. Youth applications are small and numerous</w:t>
            </w:r>
          </w:p>
        </w:tc>
        <w:tc>
          <w:tcPr>
            <w:tcW w:w="269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Portfolio approaches, digital origination, BSO pre-screening, field agents in hubs</w:t>
            </w:r>
          </w:p>
        </w:tc>
      </w:tr>
      <w:tr>
        <w:trPr/>
        <w:tc>
          <w:tcPr>
            <w:tcW w:w="187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Collateral requirements</w:t>
            </w:r>
          </w:p>
        </w:tc>
        <w:tc>
          <w:tcPr>
            <w:tcW w:w="24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Banks ask for 100–150% of the loan in immovable collateral</w:t>
            </w:r>
          </w:p>
        </w:tc>
        <w:tc>
          <w:tcPr>
            <w:tcW w:w="241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Women and youth rarely hold titled land or vehicles</w:t>
            </w:r>
          </w:p>
        </w:tc>
        <w:tc>
          <w:tcPr>
            <w:tcW w:w="269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Guarantees, movable and receivables collateral, cash-flow lending (6.2)</w:t>
            </w:r>
          </w:p>
        </w:tc>
      </w:tr>
    </w:tbl>
    <w:p>
      <w:pPr>
        <w:pStyle w:val="Normal"/>
        <w:spacing w:before="200" w:after="160"/>
        <w:rPr/>
      </w:pPr>
      <w:r>
        <w:rPr/>
        <w:t xml:space="preserve">Underneath all three sits </w:t>
      </w:r>
      <w:r>
        <w:rPr>
          <w:i/>
        </w:rPr>
        <w:t>perceived</w:t>
      </w:r>
      <w:r>
        <w:rPr/>
        <w:t xml:space="preserve"> rather than </w:t>
      </w:r>
      <w:r>
        <w:rPr>
          <w:i/>
        </w:rPr>
        <w:t>measured</w:t>
      </w:r>
      <w:r>
        <w:rPr/>
        <w:t xml:space="preserve"> risk. Lenders have almost no repayment data on tourism MSMEs in KAZA, so they price for the worst case. The facility should therefore publish anonymised portfolio performance by gender, age, segment and season.</w:t>
      </w:r>
    </w:p>
    <w:p>
      <w:pPr>
        <w:pStyle w:val="Heading2"/>
        <w:rPr/>
      </w:pPr>
      <w:bookmarkStart w:id="20" w:name="__RefHeading___Toc9548_1627482358"/>
      <w:bookmarkEnd w:id="20"/>
      <w:r>
        <w:rPr/>
        <w:t>6.5 How financial institutions view risk across MSME categories (v)</w:t>
      </w:r>
    </w:p>
    <w:p>
      <w:pPr>
        <w:pStyle w:val="Normal"/>
        <w:rPr/>
      </w:pPr>
      <w:r>
        <w:rPr/>
        <w:t>Section 3.1 rates perceived risk by category. Three patterns matter for design:</w:t>
      </w:r>
    </w:p>
    <w:p>
      <w:pPr>
        <w:pStyle w:val="ListParagraph"/>
        <w:numPr>
          <w:ilvl w:val="0"/>
          <w:numId w:val="155"/>
        </w:numPr>
        <w:rPr/>
      </w:pPr>
      <w:r>
        <w:rPr>
          <w:b/>
        </w:rPr>
        <w:t>Risk ranking follows assets, not viability.</w:t>
      </w:r>
      <w:r>
        <w:rPr/>
        <w:t xml:space="preserve"> Asset-heavy, male-dominated transport is rated lower risk than women's food supply, even though food supply may have steadier cash flow.</w:t>
      </w:r>
    </w:p>
    <w:p>
      <w:pPr>
        <w:pStyle w:val="ListParagraph"/>
        <w:numPr>
          <w:ilvl w:val="0"/>
          <w:numId w:val="156"/>
        </w:numPr>
        <w:rPr/>
      </w:pPr>
      <w:r>
        <w:rPr>
          <w:b/>
        </w:rPr>
        <w:t>Community ownership is penalised for governance, not for business risk.</w:t>
      </w:r>
      <w:r>
        <w:rPr/>
        <w:t xml:space="preserve"> Lenders cite elite capture, disputes and committee turnover.</w:t>
      </w:r>
    </w:p>
    <w:p>
      <w:pPr>
        <w:pStyle w:val="ListParagraph"/>
        <w:numPr>
          <w:ilvl w:val="0"/>
          <w:numId w:val="157"/>
        </w:numPr>
        <w:rPr/>
      </w:pPr>
      <w:r>
        <w:rPr>
          <w:b/>
        </w:rPr>
        <w:t>Youth risk is about the absence of history.</w:t>
      </w:r>
      <w:r>
        <w:rPr/>
        <w:t xml:space="preserve"> A guarantee plus 2–3 seasons of repayment data could move youth-led firms into standard credit.</w:t>
      </w:r>
    </w:p>
    <w:p>
      <w:pPr>
        <w:pStyle w:val="Heading2"/>
        <w:rPr/>
      </w:pPr>
      <w:bookmarkStart w:id="21" w:name="__RefHeading___Toc9550_1627482358"/>
      <w:bookmarkEnd w:id="21"/>
      <w:r>
        <w:rPr/>
        <w:t>6.6 Lender expectations, gaps and regenerative NBT knowledge (vi)</w:t>
      </w:r>
    </w:p>
    <w:p>
      <w:pPr>
        <w:pStyle w:val="Normal"/>
        <w:keepNext w:val="true"/>
        <w:rPr/>
      </w:pPr>
      <w:r>
        <w:rPr/>
        <w:t>Lenders ask for seven things that most KAZA tourism MSMEs can't yet supply. The widest gaps are collateral, financial records and business plans, and the own contribution start-ups are expected to put in. Each gap has a practical bridge the facility can fund or broker, such as accepting mobile-money statements or a one-page seasonal plan.</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15</w:t>
      </w:r>
      <w:r>
        <w:rPr>
          <w:sz w:val="20"/>
          <w:b/>
          <w:color w:val="1F3A5F"/>
        </w:rPr>
        <w:fldChar w:fldCharType="end"/>
      </w:r>
      <w:r>
        <w:rPr>
          <w:b/>
          <w:color w:val="1F3A5F"/>
          <w:sz w:val="20"/>
        </w:rPr>
        <w:t>: Lender expectations, MSME realities and bridges</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2615"/>
        <w:gridCol w:w="2551"/>
        <w:gridCol w:w="1519"/>
        <w:gridCol w:w="2726"/>
      </w:tblGrid>
      <w:tr>
        <w:trPr>
          <w:tblHeader w:val="true"/>
        </w:trPr>
        <w:tc>
          <w:tcPr>
            <w:tcW w:w="2615"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Lender expectation</w:t>
            </w:r>
          </w:p>
        </w:tc>
        <w:tc>
          <w:tcPr>
            <w:tcW w:w="2551"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Typical MSME reality</w:t>
            </w:r>
          </w:p>
        </w:tc>
        <w:tc>
          <w:tcPr>
            <w:tcW w:w="1519"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Gap</w:t>
            </w:r>
          </w:p>
        </w:tc>
        <w:tc>
          <w:tcPr>
            <w:tcW w:w="2726"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Bridge</w:t>
            </w:r>
          </w:p>
        </w:tc>
      </w:tr>
      <w:tr>
        <w:trPr/>
        <w:tc>
          <w:tcPr>
            <w:tcW w:w="261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12–36 months of financial records, bank statements</w:t>
            </w:r>
          </w:p>
        </w:tc>
        <w:tc>
          <w:tcPr>
            <w:tcW w:w="255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Cash, mobile money, exercise-book records</w:t>
            </w:r>
          </w:p>
        </w:tc>
        <w:tc>
          <w:tcPr>
            <w:tcW w:w="1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Large</w:t>
            </w:r>
          </w:p>
        </w:tc>
        <w:tc>
          <w:tcPr>
            <w:tcW w:w="272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Simple digital bookkeeping app, 6 months of mobile-money statements accepted</w:t>
            </w:r>
          </w:p>
        </w:tc>
      </w:tr>
      <w:tr>
        <w:trPr/>
        <w:tc>
          <w:tcPr>
            <w:tcW w:w="261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Business plan with cash-flow projections</w:t>
            </w:r>
          </w:p>
        </w:tc>
        <w:tc>
          <w:tcPr>
            <w:tcW w:w="255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No plan, or plans written for grant applications</w:t>
            </w:r>
          </w:p>
        </w:tc>
        <w:tc>
          <w:tcPr>
            <w:tcW w:w="1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Large</w:t>
            </w:r>
          </w:p>
        </w:tc>
        <w:tc>
          <w:tcPr>
            <w:tcW w:w="272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Standard one-page plan plus a 12-month seasonal cash-flow template</w:t>
            </w:r>
          </w:p>
        </w:tc>
      </w:tr>
      <w:tr>
        <w:trPr/>
        <w:tc>
          <w:tcPr>
            <w:tcW w:w="261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Registration, tax clearance, tourism licence</w:t>
            </w:r>
          </w:p>
        </w:tc>
        <w:tc>
          <w:tcPr>
            <w:tcW w:w="255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Many operate unlicensed or with expired licences</w:t>
            </w:r>
          </w:p>
        </w:tc>
        <w:tc>
          <w:tcPr>
            <w:tcW w:w="1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Medium</w:t>
            </w:r>
          </w:p>
        </w:tc>
        <w:tc>
          <w:tcPr>
            <w:tcW w:w="272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Licensing support funded as an eligible grant cost</w:t>
            </w:r>
          </w:p>
        </w:tc>
      </w:tr>
      <w:tr>
        <w:trPr/>
        <w:tc>
          <w:tcPr>
            <w:tcW w:w="261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Collateral of 100–150%</w:t>
            </w:r>
          </w:p>
        </w:tc>
        <w:tc>
          <w:tcPr>
            <w:tcW w:w="255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Communal land</w:t>
            </w:r>
          </w:p>
        </w:tc>
        <w:tc>
          <w:tcPr>
            <w:tcW w:w="1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Very large</w:t>
            </w:r>
          </w:p>
        </w:tc>
        <w:tc>
          <w:tcPr>
            <w:tcW w:w="272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See 6.2</w:t>
            </w:r>
          </w:p>
        </w:tc>
      </w:tr>
      <w:tr>
        <w:trPr/>
        <w:tc>
          <w:tcPr>
            <w:tcW w:w="261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Own contribution of 20–30%</w:t>
            </w:r>
          </w:p>
        </w:tc>
        <w:tc>
          <w:tcPr>
            <w:tcW w:w="255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Little cash equity</w:t>
            </w:r>
          </w:p>
        </w:tc>
        <w:tc>
          <w:tcPr>
            <w:tcW w:w="1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Large for start-ups</w:t>
            </w:r>
          </w:p>
        </w:tc>
        <w:tc>
          <w:tcPr>
            <w:tcW w:w="272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Counted in kind; grants as quasi-equity</w:t>
            </w:r>
          </w:p>
        </w:tc>
      </w:tr>
      <w:tr>
        <w:trPr/>
        <w:tc>
          <w:tcPr>
            <w:tcW w:w="261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Market evidence (contracts, bookings)</w:t>
            </w:r>
          </w:p>
        </w:tc>
        <w:tc>
          <w:tcPr>
            <w:tcW w:w="255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Verbal agreements with lodges</w:t>
            </w:r>
          </w:p>
        </w:tc>
        <w:tc>
          <w:tcPr>
            <w:tcW w:w="1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Medium</w:t>
            </w:r>
          </w:p>
        </w:tc>
        <w:tc>
          <w:tcPr>
            <w:tcW w:w="272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Written contracts via the Supply Chain Compact</w:t>
            </w:r>
          </w:p>
        </w:tc>
      </w:tr>
      <w:tr>
        <w:trPr/>
        <w:tc>
          <w:tcPr>
            <w:tcW w:w="261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E&amp;S compliance</w:t>
            </w:r>
          </w:p>
        </w:tc>
        <w:tc>
          <w:tcPr>
            <w:tcW w:w="255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Not documented</w:t>
            </w:r>
          </w:p>
        </w:tc>
        <w:tc>
          <w:tcPr>
            <w:tcW w:w="1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Medium</w:t>
            </w:r>
          </w:p>
        </w:tc>
        <w:tc>
          <w:tcPr>
            <w:tcW w:w="272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Simple R-NBT checklist (below)</w:t>
            </w:r>
          </w:p>
        </w:tc>
      </w:tr>
    </w:tbl>
    <w:p>
      <w:pPr>
        <w:pStyle w:val="Normal"/>
        <w:spacing w:before="200" w:after="160"/>
        <w:rPr/>
      </w:pPr>
      <w:r>
        <w:rPr>
          <w:b/>
        </w:rPr>
        <w:t>Knowledge gaps on regenerative NBT principles:</w:t>
      </w:r>
    </w:p>
    <w:p>
      <w:pPr>
        <w:pStyle w:val="ListParagraph"/>
        <w:numPr>
          <w:ilvl w:val="0"/>
          <w:numId w:val="158"/>
        </w:numPr>
        <w:rPr/>
      </w:pPr>
      <w:r>
        <w:rPr>
          <w:b/>
        </w:rPr>
        <w:t>MSMEs</w:t>
      </w:r>
      <w:r>
        <w:rPr/>
        <w:t xml:space="preserve"> often don't know how to show regenerative practice in terms lenders value. Examples are lower energy and water costs from solar and boreholes, premium pricing from certification (Fair Trade Tourism, Eco Awards Namibia, Botswana Ecotourism Certification), access to Wildlife Credits and conservation-linked revenues, or operator preference for verified local suppliers.</w:t>
      </w:r>
    </w:p>
    <w:p>
      <w:pPr>
        <w:pStyle w:val="ListParagraph"/>
        <w:numPr>
          <w:ilvl w:val="0"/>
          <w:numId w:val="159"/>
        </w:numPr>
        <w:rPr/>
      </w:pPr>
      <w:r>
        <w:rPr>
          <w:b/>
        </w:rPr>
        <w:t>Lenders</w:t>
      </w:r>
      <w:r>
        <w:rPr/>
        <w:t xml:space="preserve"> rarely understand regenerative criteria. They see conservation features as cost rather than resilience. They don't price the lower climate and shock risk of diversified, community-anchored businesses, and they lack a taxonomy to tag loans as green or nature-positive for their own ESG and DFI reporting.</w:t>
      </w:r>
    </w:p>
    <w:p>
      <w:pPr>
        <w:pStyle w:val="ListParagraph"/>
        <w:numPr>
          <w:ilvl w:val="0"/>
          <w:numId w:val="160"/>
        </w:numPr>
        <w:rPr/>
      </w:pPr>
      <w:r>
        <w:rPr>
          <w:b/>
        </w:rPr>
        <w:t>Shared gap:</w:t>
      </w:r>
      <w:r>
        <w:rPr/>
        <w:t xml:space="preserve"> no common, simple R-NBT definition. The facility should adopt a 10-point </w:t>
      </w:r>
      <w:r>
        <w:rPr>
          <w:i/>
        </w:rPr>
        <w:t>KAZA R-NBT checklist</w:t>
      </w:r>
      <w:r>
        <w:rPr/>
        <w:t xml:space="preserve"> covering energy, water, waste, biodiversity contribution, community benefit, women's and youth employment, local procurement, cultural integrity, wildlife-conflict mitigation and climate resilience. It should be usable by MSMEs for self-assessment and by lenders for tagging.</w:t>
      </w:r>
    </w:p>
    <w:p>
      <w:pPr>
        <w:pStyle w:val="Heading2"/>
        <w:rPr/>
      </w:pPr>
      <w:bookmarkStart w:id="22" w:name="__RefHeading___Toc9552_1627482358"/>
      <w:bookmarkEnd w:id="22"/>
      <w:r>
        <w:rPr/>
        <w:t>6.7 Trust-building dialogue topics (vii)</w:t>
      </w:r>
    </w:p>
    <w:p>
      <w:pPr>
        <w:pStyle w:val="Normal"/>
        <w:rPr/>
      </w:pPr>
      <w:r>
        <w:rPr/>
        <w:t>These topics are for MSME–lender–operator dialogues, ranked by expected effect on trust:</w:t>
      </w:r>
    </w:p>
    <w:p>
      <w:pPr>
        <w:pStyle w:val="ListParagraph"/>
        <w:numPr>
          <w:ilvl w:val="0"/>
          <w:numId w:val="161"/>
        </w:numPr>
        <w:rPr/>
      </w:pPr>
      <w:r>
        <w:rPr>
          <w:b/>
        </w:rPr>
        <w:t>What lenders actually need.</w:t>
      </w:r>
      <w:r>
        <w:rPr/>
        <w:t xml:space="preserve"> A walk-through of credit assessment, why loans are rejected, and what an acceptable record looks like. Run it in local languages through VSLAs and conservancies.</w:t>
      </w:r>
    </w:p>
    <w:p>
      <w:pPr>
        <w:pStyle w:val="ListParagraph"/>
        <w:numPr>
          <w:ilvl w:val="0"/>
          <w:numId w:val="162"/>
        </w:numPr>
        <w:rPr/>
      </w:pPr>
      <w:r>
        <w:rPr>
          <w:b/>
        </w:rPr>
        <w:t>Seasonality in practice.</w:t>
      </w:r>
      <w:r>
        <w:rPr/>
        <w:t xml:space="preserve"> MSMEs show real cash-flow calendars, and lenders present seasonal products. Together they co-design repayment schedules.</w:t>
      </w:r>
    </w:p>
    <w:p>
      <w:pPr>
        <w:pStyle w:val="ListParagraph"/>
        <w:numPr>
          <w:ilvl w:val="0"/>
          <w:numId w:val="163"/>
        </w:numPr>
        <w:rPr/>
      </w:pPr>
      <w:r>
        <w:rPr>
          <w:b/>
        </w:rPr>
        <w:t>Collateral alternatives.</w:t>
      </w:r>
      <w:r>
        <w:rPr/>
        <w:t xml:space="preserve"> How registries work and what movable assets and contracts can secure, with a myth-busting session on land.</w:t>
      </w:r>
    </w:p>
    <w:p>
      <w:pPr>
        <w:pStyle w:val="ListParagraph"/>
        <w:numPr>
          <w:ilvl w:val="0"/>
          <w:numId w:val="164"/>
        </w:numPr>
        <w:rPr/>
      </w:pPr>
      <w:r>
        <w:rPr>
          <w:b/>
        </w:rPr>
        <w:t>Payment terms and contracts.</w:t>
      </w:r>
      <w:r>
        <w:rPr/>
        <w:t xml:space="preserve"> Operators and suppliers negotiate the Compact's terms.</w:t>
      </w:r>
    </w:p>
    <w:p>
      <w:pPr>
        <w:pStyle w:val="ListParagraph"/>
        <w:numPr>
          <w:ilvl w:val="0"/>
          <w:numId w:val="165"/>
        </w:numPr>
        <w:rPr/>
      </w:pPr>
      <w:r>
        <w:rPr>
          <w:b/>
        </w:rPr>
        <w:t>Pricing transparency.</w:t>
      </w:r>
      <w:r>
        <w:rPr/>
        <w:t xml:space="preserve"> The effective interest rate, fees and the real cost of moneylenders compared with formal credit.</w:t>
      </w:r>
    </w:p>
    <w:p>
      <w:pPr>
        <w:pStyle w:val="ListParagraph"/>
        <w:numPr>
          <w:ilvl w:val="0"/>
          <w:numId w:val="166"/>
        </w:numPr>
        <w:rPr/>
      </w:pPr>
      <w:r>
        <w:rPr>
          <w:b/>
        </w:rPr>
        <w:t>Default and shock handling.</w:t>
      </w:r>
      <w:r>
        <w:rPr/>
        <w:t xml:space="preserve"> What happens in a drought or a closure, and pre-agreed shock clauses.</w:t>
      </w:r>
    </w:p>
    <w:p>
      <w:pPr>
        <w:pStyle w:val="ListParagraph"/>
        <w:numPr>
          <w:ilvl w:val="0"/>
          <w:numId w:val="167"/>
        </w:numPr>
        <w:rPr/>
      </w:pPr>
      <w:r>
        <w:rPr>
          <w:b/>
        </w:rPr>
        <w:t>Women- and youth-specific barriers.</w:t>
      </w:r>
      <w:r>
        <w:rPr/>
        <w:t xml:space="preserve"> Spousal consent, mobility, childcare and harassment risks. These are run as safe, women-only and youth-only sessions.</w:t>
      </w:r>
    </w:p>
    <w:p>
      <w:pPr>
        <w:pStyle w:val="ListParagraph"/>
        <w:numPr>
          <w:ilvl w:val="0"/>
          <w:numId w:val="168"/>
        </w:numPr>
        <w:rPr/>
      </w:pPr>
      <w:r>
        <w:rPr>
          <w:b/>
        </w:rPr>
        <w:t>Regenerative value.</w:t>
      </w:r>
      <w:r>
        <w:rPr/>
        <w:t xml:space="preserve"> How conservation and community features reduce risk, and how lenders can tag and report them.</w:t>
      </w:r>
    </w:p>
    <w:p>
      <w:pPr>
        <w:pStyle w:val="ListParagraph"/>
        <w:numPr>
          <w:ilvl w:val="0"/>
          <w:numId w:val="169"/>
        </w:numPr>
        <w:rPr/>
      </w:pPr>
      <w:r>
        <w:rPr>
          <w:b/>
        </w:rPr>
        <w:t>Data sharing and consent.</w:t>
      </w:r>
      <w:r>
        <w:rPr/>
        <w:t xml:space="preserve"> How mobile-money and VSLA data can be used for credit without loss of privacy.</w:t>
      </w:r>
    </w:p>
    <w:p>
      <w:pPr>
        <w:pStyle w:val="ListParagraph"/>
        <w:numPr>
          <w:ilvl w:val="0"/>
          <w:numId w:val="170"/>
        </w:numPr>
        <w:rPr/>
      </w:pPr>
      <w:r>
        <w:rPr>
          <w:b/>
        </w:rPr>
        <w:t>Community governance.</w:t>
      </w:r>
      <w:r>
        <w:rPr/>
        <w:t xml:space="preserve"> How trusts and conservancies can make their funds credible to banks.</w:t>
      </w:r>
    </w:p>
    <w:p>
      <w:pPr>
        <w:pStyle w:val="Heading2"/>
        <w:rPr/>
      </w:pPr>
      <w:bookmarkStart w:id="23" w:name="__RefHeading___Toc9554_1627482358"/>
      <w:bookmarkEnd w:id="23"/>
      <w:r>
        <w:rPr/>
        <w:t>6.8 Barriers and opportunities for connecting MSMEs and capital providers (viii)</w:t>
      </w:r>
    </w:p>
    <w:p>
      <w:pPr>
        <w:pStyle w:val="Normal"/>
        <w:keepNext w:val="true"/>
        <w:rPr/>
      </w:pPr>
      <w:r>
        <w:rPr/>
        <w:t>Eight barriers keep MSMEs and capital providers apart, and each has a matching opportunity. The biggest are credit decisions made in distant capitals, the lack of an investment-ready pipeline, and grant programmes that stop short of a loan. Most of the opportunities are coordination fixes the facility can provide directly.</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16</w:t>
      </w:r>
      <w:r>
        <w:rPr>
          <w:sz w:val="20"/>
          <w:b/>
          <w:color w:val="1F3A5F"/>
        </w:rPr>
        <w:fldChar w:fldCharType="end"/>
      </w:r>
      <w:r>
        <w:rPr>
          <w:b/>
          <w:color w:val="1F3A5F"/>
          <w:sz w:val="20"/>
        </w:rPr>
        <w:t>: Barriers and opportunities for connecting MSMEs and capital providers</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4565"/>
        <w:gridCol w:w="4846"/>
      </w:tblGrid>
      <w:tr>
        <w:trPr>
          <w:tblHeader w:val="true"/>
        </w:trPr>
        <w:tc>
          <w:tcPr>
            <w:tcW w:w="4565"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Barrier</w:t>
            </w:r>
          </w:p>
        </w:tc>
        <w:tc>
          <w:tcPr>
            <w:tcW w:w="4846"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Opportunity</w:t>
            </w:r>
          </w:p>
        </w:tc>
      </w:tr>
      <w:tr>
        <w:trPr/>
        <w:tc>
          <w:tcPr>
            <w:tcW w:w="456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Credit decisions sit in capitals; hub branches have low approval limits</w:t>
            </w:r>
          </w:p>
        </w:tc>
        <w:tc>
          <w:tcPr>
            <w:tcW w:w="484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Delegated authority for guaranteed tourism portfolios; mobile loan officers on hub rotations</w:t>
            </w:r>
          </w:p>
        </w:tc>
      </w:tr>
      <w:tr>
        <w:trPr/>
        <w:tc>
          <w:tcPr>
            <w:tcW w:w="456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 investment-ready pipeline; BSOs and NGOs work in silos</w:t>
            </w:r>
          </w:p>
        </w:tc>
        <w:tc>
          <w:tcPr>
            <w:tcW w:w="484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One KAZA MSME pipeline with a shared diagnostic, run by BSOs (LEA, NTB/SME units, CEEC, SMEDCO, INAPEM) and NGOs</w:t>
            </w:r>
          </w:p>
        </w:tc>
      </w:tr>
      <w:tr>
        <w:trPr/>
        <w:tc>
          <w:tcPr>
            <w:tcW w:w="456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Grant programmes don't hand MSMEs on to lenders</w:t>
            </w:r>
          </w:p>
        </w:tc>
        <w:tc>
          <w:tcPr>
            <w:tcW w:w="484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Grant-to-loan graduation built into the facility (Window C requires a lender)</w:t>
            </w:r>
          </w:p>
        </w:tc>
      </w:tr>
      <w:tr>
        <w:trPr/>
        <w:tc>
          <w:tcPr>
            <w:tcW w:w="456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MSMEs distrust banks after rejections and high fees</w:t>
            </w:r>
          </w:p>
        </w:tc>
        <w:tc>
          <w:tcPr>
            <w:tcW w:w="484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Trust-building dialogues (6.7); lender clinics at VSLA and conservancy meetings</w:t>
            </w:r>
          </w:p>
        </w:tc>
      </w:tr>
      <w:tr>
        <w:trPr/>
        <w:tc>
          <w:tcPr>
            <w:tcW w:w="456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Language barriers: Portuguese in Angola; Silozi, Setswana, Ndebele, Tonga and others</w:t>
            </w:r>
          </w:p>
        </w:tc>
        <w:tc>
          <w:tcPr>
            <w:tcW w:w="484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Materials translated, local facilitators</w:t>
            </w:r>
          </w:p>
        </w:tc>
      </w:tr>
      <w:tr>
        <w:trPr/>
        <w:tc>
          <w:tcPr>
            <w:tcW w:w="456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Cross-border firms (Kazungula, Victoria Falls–Livingstone, Ngoma) can't use one lender</w:t>
            </w:r>
          </w:p>
        </w:tc>
        <w:tc>
          <w:tcPr>
            <w:tcW w:w="484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Aligned guarantee terms across CGS, ZCGS and ECGC; regional counter-guarantee</w:t>
            </w:r>
          </w:p>
        </w:tc>
      </w:tr>
      <w:tr>
        <w:trPr/>
        <w:tc>
          <w:tcPr>
            <w:tcW w:w="456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Digital exclusion of older women; data costs for youth</w:t>
            </w:r>
          </w:p>
        </w:tc>
        <w:tc>
          <w:tcPr>
            <w:tcW w:w="484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Agent-assisted digital onboarding; zero-rated booking and finance apps</w:t>
            </w:r>
          </w:p>
        </w:tc>
      </w:tr>
      <w:tr>
        <w:trPr/>
        <w:tc>
          <w:tcPr>
            <w:tcW w:w="456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USAID withdrawal in 2025 removed key TA providers</w:t>
            </w:r>
          </w:p>
        </w:tc>
        <w:tc>
          <w:tcPr>
            <w:tcW w:w="484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EU–German R-NBT action and foundations fill the TA gap; co-funding with the World Bank Zambia tourism project</w:t>
            </w:r>
          </w:p>
        </w:tc>
      </w:tr>
    </w:tbl>
    <w:p>
      <w:pPr>
        <w:pStyle w:val="Normal"/>
        <w:spacing w:before="200" w:after="160"/>
        <w:rPr/>
      </w:pPr>
      <w:r>
        <w:rPr/>
        <w:t xml:space="preserve">The project could act as a </w:t>
      </w:r>
      <w:r>
        <w:rPr>
          <w:b/>
        </w:rPr>
        <w:t>matchmaking function</w:t>
      </w:r>
      <w:r>
        <w:rPr/>
        <w:t xml:space="preserve"> with four parts: a pipeline platform, quarterly deal days in each hub, a lender-of-record roster in each country, and a dashboard tracking applications, approvals and rejection reasons by gender and age.</w:t>
      </w:r>
    </w:p>
    <w:p>
      <w:pPr>
        <w:pStyle w:val="Heading2"/>
        <w:rPr/>
      </w:pPr>
      <w:bookmarkStart w:id="24" w:name="__RefHeading___Toc9556_1627482358"/>
      <w:bookmarkEnd w:id="24"/>
      <w:r>
        <w:rPr/>
        <w:t>6.9 Preferences: seed funding vs growth grants (ix)</w:t>
      </w:r>
    </w:p>
    <w:p>
      <w:pPr>
        <w:pStyle w:val="Normal"/>
        <w:rPr/>
      </w:pPr>
      <w:r>
        <w:rPr/>
        <w:t xml:space="preserve">Preferences vary by stage and by who leads the firm. These are </w:t>
      </w:r>
      <w:r>
        <w:rPr>
          <w:i/>
        </w:rPr>
        <w:t>indicative</w:t>
      </w:r>
      <w:r>
        <w:rPr/>
        <w:t>, from programme experience, and to be tested in the baseline survey.</w:t>
      </w:r>
    </w:p>
    <w:p>
      <w:pPr>
        <w:pStyle w:val="Normal"/>
        <w:keepNext w:val="true"/>
        <w:rPr/>
      </w:pPr>
      <w:r>
        <w:rPr/>
        <w:t>Preference between seed and growth funding depends on stage and on who leads the firm. Youth-led start-ups and women-led micro firms are likely to prefer seed grants and in-kind assets, given limited capital and wariness of debt. Emerging and scaling firms gain more from growth or leverage grants that unlock loans. Each preference maps to a facility window.</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17</w:t>
      </w:r>
      <w:r>
        <w:rPr>
          <w:sz w:val="20"/>
          <w:b/>
          <w:color w:val="1F3A5F"/>
        </w:rPr>
        <w:fldChar w:fldCharType="end"/>
      </w:r>
      <w:r>
        <w:rPr>
          <w:b/>
          <w:color w:val="1F3A5F"/>
          <w:sz w:val="20"/>
        </w:rPr>
        <w:t>: Funding preferences by applicant group</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1847"/>
        <w:gridCol w:w="2371"/>
        <w:gridCol w:w="3017"/>
        <w:gridCol w:w="2176"/>
      </w:tblGrid>
      <w:tr>
        <w:trPr>
          <w:tblHeader w:val="true"/>
        </w:trPr>
        <w:tc>
          <w:tcPr>
            <w:tcW w:w="1847"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Group</w:t>
            </w:r>
          </w:p>
        </w:tc>
        <w:tc>
          <w:tcPr>
            <w:tcW w:w="2371"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Likely preference</w:t>
            </w:r>
          </w:p>
        </w:tc>
        <w:tc>
          <w:tcPr>
            <w:tcW w:w="3017"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Why</w:t>
            </w:r>
          </w:p>
        </w:tc>
        <w:tc>
          <w:tcPr>
            <w:tcW w:w="2176"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Design implication</w:t>
            </w:r>
          </w:p>
        </w:tc>
      </w:tr>
      <w:tr>
        <w:trPr/>
        <w:tc>
          <w:tcPr>
            <w:tcW w:w="184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Youth-led start-ups</w:t>
            </w:r>
          </w:p>
        </w:tc>
        <w:tc>
          <w:tcPr>
            <w:tcW w:w="237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Seed grants (in-kind assets plus mentoring)</w:t>
            </w:r>
          </w:p>
        </w:tc>
        <w:tc>
          <w:tcPr>
            <w:tcW w:w="301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No capital or credit history; need first asset and market entry</w:t>
            </w:r>
          </w:p>
        </w:tc>
        <w:tc>
          <w:tcPr>
            <w:tcW w:w="217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Window A, quick decisions, cohort mentoring</w:t>
            </w:r>
          </w:p>
        </w:tc>
      </w:tr>
      <w:tr>
        <w:trPr/>
        <w:tc>
          <w:tcPr>
            <w:tcW w:w="184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Women-led micro enterprises</w:t>
            </w:r>
          </w:p>
        </w:tc>
        <w:tc>
          <w:tcPr>
            <w:tcW w:w="237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Small seed or growth grants, paid in tranches, combined with VSLA or group credit</w:t>
            </w:r>
          </w:p>
        </w:tc>
        <w:tc>
          <w:tcPr>
            <w:tcW w:w="301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Debt aversion after past over-indebtedness; working-capital needs</w:t>
            </w:r>
          </w:p>
        </w:tc>
        <w:tc>
          <w:tcPr>
            <w:tcW w:w="217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Windows A and B; tranches tied to milestones; no land collateral</w:t>
            </w:r>
          </w:p>
        </w:tc>
      </w:tr>
      <w:tr>
        <w:trPr/>
        <w:tc>
          <w:tcPr>
            <w:tcW w:w="184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Community enterprises</w:t>
            </w:r>
          </w:p>
        </w:tc>
        <w:tc>
          <w:tcPr>
            <w:tcW w:w="237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Growth grants for facilities, matched by community funds</w:t>
            </w:r>
          </w:p>
        </w:tc>
        <w:tc>
          <w:tcPr>
            <w:tcW w:w="301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Collective assets, governance processes</w:t>
            </w:r>
          </w:p>
        </w:tc>
        <w:tc>
          <w:tcPr>
            <w:tcW w:w="217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Window B with governance conditions</w:t>
            </w:r>
          </w:p>
        </w:tc>
      </w:tr>
      <w:tr>
        <w:trPr/>
        <w:tc>
          <w:tcPr>
            <w:tcW w:w="184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Emerging formal MSMEs</w:t>
            </w:r>
          </w:p>
        </w:tc>
        <w:tc>
          <w:tcPr>
            <w:tcW w:w="237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Growth grants that unlock loans</w:t>
            </w:r>
          </w:p>
        </w:tc>
        <w:tc>
          <w:tcPr>
            <w:tcW w:w="301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Have some capacity to borrow; grant lowers risk</w:t>
            </w:r>
          </w:p>
        </w:tc>
        <w:tc>
          <w:tcPr>
            <w:tcW w:w="217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Window B or C</w:t>
            </w:r>
          </w:p>
        </w:tc>
      </w:tr>
      <w:tr>
        <w:trPr/>
        <w:tc>
          <w:tcPr>
            <w:tcW w:w="184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Scaling MSMEs</w:t>
            </w:r>
          </w:p>
        </w:tc>
        <w:tc>
          <w:tcPr>
            <w:tcW w:w="237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Leverage grants or first-loss rather than outright grants</w:t>
            </w:r>
          </w:p>
        </w:tc>
        <w:tc>
          <w:tcPr>
            <w:tcW w:w="301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Capital needs exceed grant sizes</w:t>
            </w:r>
          </w:p>
        </w:tc>
        <w:tc>
          <w:tcPr>
            <w:tcW w:w="217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Window C, with a lender term sheet required</w:t>
            </w:r>
          </w:p>
        </w:tc>
      </w:tr>
    </w:tbl>
    <w:p>
      <w:pPr>
        <w:pStyle w:val="Normal"/>
        <w:spacing w:before="200" w:after="160"/>
        <w:rPr/>
      </w:pPr>
      <w:r>
        <w:rPr/>
        <w:t xml:space="preserve">The split should be about </w:t>
      </w:r>
      <w:r>
        <w:rPr>
          <w:b/>
        </w:rPr>
        <w:t>35% seed and 65% growth or scale by value</w:t>
      </w:r>
      <w:r>
        <w:rPr/>
        <w:t>, but 60% seed by number of grants. This lets the facility reach many women and youth while placing most money where it leverages debt.</w:t>
      </w:r>
    </w:p>
    <w:p>
      <w:pPr>
        <w:pStyle w:val="Heading2"/>
        <w:rPr/>
      </w:pPr>
      <w:bookmarkStart w:id="25" w:name="__RefHeading___Toc9558_1627482358"/>
      <w:bookmarkEnd w:id="25"/>
      <w:r>
        <w:rPr/>
        <w:t>6.10 Realistic matching contribution capacity (x)</w:t>
      </w:r>
    </w:p>
    <w:p>
      <w:pPr>
        <w:pStyle w:val="Normal"/>
        <w:rPr/>
      </w:pPr>
      <w:r>
        <w:rPr/>
        <w:t>A flat 20% or 50% match would select for already-advantaged applicants. Matching should rise with stage and be adjusted for women, youth and community applicants.</w:t>
      </w:r>
    </w:p>
    <w:p>
      <w:pPr>
        <w:pStyle w:val="Normal"/>
        <w:keepNext w:val="true"/>
        <w:rPr/>
      </w:pPr>
      <w:r>
        <w:rPr/>
        <w:t>Realistic matching capacity ranges from close to nothing for youth start-ups to 30–50% for scaling firms. A flat 20% or 50% requirement would therefore exclude most women and youth applicants. The recommended rates follow capacity: 10% for youth and women-led micro firms, 20% for community enterprises, 25–30% for emerging firms and 50% for scaling firms. In-kind contributions are allowed on a sliding scale.</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18</w:t>
      </w:r>
      <w:r>
        <w:rPr>
          <w:sz w:val="20"/>
          <w:b/>
          <w:color w:val="1F3A5F"/>
        </w:rPr>
        <w:fldChar w:fldCharType="end"/>
      </w:r>
      <w:r>
        <w:rPr>
          <w:b/>
          <w:color w:val="1F3A5F"/>
          <w:sz w:val="20"/>
        </w:rPr>
        <w:t>: Recommended matching contributions by applicant type</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1957"/>
        <w:gridCol w:w="1752"/>
        <w:gridCol w:w="1689"/>
        <w:gridCol w:w="1429"/>
        <w:gridCol w:w="2585"/>
      </w:tblGrid>
      <w:tr>
        <w:trPr>
          <w:tblHeader w:val="true"/>
        </w:trPr>
        <w:tc>
          <w:tcPr>
            <w:tcW w:w="1957"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Applicant</w:t>
            </w:r>
          </w:p>
        </w:tc>
        <w:tc>
          <w:tcPr>
            <w:tcW w:w="1752"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Realistic cash capacity</w:t>
            </w:r>
          </w:p>
        </w:tc>
        <w:tc>
          <w:tcPr>
            <w:tcW w:w="1689"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Recommended match</w:t>
            </w:r>
          </w:p>
        </w:tc>
        <w:tc>
          <w:tcPr>
            <w:tcW w:w="1429"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Of which in kind allowed</w:t>
            </w:r>
          </w:p>
        </w:tc>
        <w:tc>
          <w:tcPr>
            <w:tcW w:w="2585"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Comment</w:t>
            </w:r>
          </w:p>
        </w:tc>
      </w:tr>
      <w:tr>
        <w:trPr/>
        <w:tc>
          <w:tcPr>
            <w:tcW w:w="195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Youth-led start-up</w:t>
            </w:r>
          </w:p>
        </w:tc>
        <w:tc>
          <w:tcPr>
            <w:tcW w:w="175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0–5%</w:t>
            </w:r>
          </w:p>
        </w:tc>
        <w:tc>
          <w:tcPr>
            <w:tcW w:w="168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10%</w:t>
            </w:r>
          </w:p>
        </w:tc>
        <w:tc>
          <w:tcPr>
            <w:tcW w:w="14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Up to 100%</w:t>
            </w:r>
          </w:p>
        </w:tc>
        <w:tc>
          <w:tcPr>
            <w:tcW w:w="258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Labour, materials, VSLA savings count</w:t>
            </w:r>
          </w:p>
        </w:tc>
      </w:tr>
      <w:tr>
        <w:trPr/>
        <w:tc>
          <w:tcPr>
            <w:tcW w:w="195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Women-led micro, start-up or emerging</w:t>
            </w:r>
          </w:p>
        </w:tc>
        <w:tc>
          <w:tcPr>
            <w:tcW w:w="175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5–15%</w:t>
            </w:r>
          </w:p>
        </w:tc>
        <w:tc>
          <w:tcPr>
            <w:tcW w:w="168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10–15%</w:t>
            </w:r>
          </w:p>
        </w:tc>
        <w:tc>
          <w:tcPr>
            <w:tcW w:w="14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Up to 75%</w:t>
            </w:r>
          </w:p>
        </w:tc>
        <w:tc>
          <w:tcPr>
            <w:tcW w:w="258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VSLA savings and group contributions count</w:t>
            </w:r>
          </w:p>
        </w:tc>
      </w:tr>
      <w:tr>
        <w:trPr/>
        <w:tc>
          <w:tcPr>
            <w:tcW w:w="195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Community enterprise</w:t>
            </w:r>
          </w:p>
        </w:tc>
        <w:tc>
          <w:tcPr>
            <w:tcW w:w="175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10–20% (from JV or CAMPFIRE income)</w:t>
            </w:r>
          </w:p>
        </w:tc>
        <w:tc>
          <w:tcPr>
            <w:tcW w:w="168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20%</w:t>
            </w:r>
          </w:p>
        </w:tc>
        <w:tc>
          <w:tcPr>
            <w:tcW w:w="14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Up to 50%</w:t>
            </w:r>
          </w:p>
        </w:tc>
        <w:tc>
          <w:tcPr>
            <w:tcW w:w="258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Community fund deposit counts</w:t>
            </w:r>
          </w:p>
        </w:tc>
      </w:tr>
      <w:tr>
        <w:trPr/>
        <w:tc>
          <w:tcPr>
            <w:tcW w:w="195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Emerging MSME (any)</w:t>
            </w:r>
          </w:p>
        </w:tc>
        <w:tc>
          <w:tcPr>
            <w:tcW w:w="175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15–25%</w:t>
            </w:r>
          </w:p>
        </w:tc>
        <w:tc>
          <w:tcPr>
            <w:tcW w:w="168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25–30%</w:t>
            </w:r>
          </w:p>
        </w:tc>
        <w:tc>
          <w:tcPr>
            <w:tcW w:w="14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Up to 50%</w:t>
            </w:r>
          </w:p>
        </w:tc>
        <w:tc>
          <w:tcPr>
            <w:tcW w:w="258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20% feasible; above 30% excludes</w:t>
            </w:r>
          </w:p>
        </w:tc>
      </w:tr>
      <w:tr>
        <w:trPr/>
        <w:tc>
          <w:tcPr>
            <w:tcW w:w="195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Scaling MSME</w:t>
            </w:r>
          </w:p>
        </w:tc>
        <w:tc>
          <w:tcPr>
            <w:tcW w:w="175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30–50% (incl. loans)</w:t>
            </w:r>
          </w:p>
        </w:tc>
        <w:tc>
          <w:tcPr>
            <w:tcW w:w="168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50%</w:t>
            </w:r>
          </w:p>
        </w:tc>
        <w:tc>
          <w:tcPr>
            <w:tcW w:w="14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Up to 20%</w:t>
            </w:r>
          </w:p>
        </w:tc>
        <w:tc>
          <w:tcPr>
            <w:tcW w:w="258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At least half of the match from a loan</w:t>
            </w:r>
          </w:p>
        </w:tc>
      </w:tr>
    </w:tbl>
    <w:p>
      <w:pPr>
        <w:pStyle w:val="Normal"/>
        <w:spacing w:before="200" w:after="160"/>
        <w:rPr/>
      </w:pPr>
      <w:r>
        <w:rPr/>
        <w:t>The recommended adjustments are:</w:t>
      </w:r>
    </w:p>
    <w:p>
      <w:pPr>
        <w:pStyle w:val="ListParagraph"/>
        <w:numPr>
          <w:ilvl w:val="0"/>
          <w:numId w:val="171"/>
        </w:numPr>
        <w:rPr/>
      </w:pPr>
      <w:r>
        <w:rPr/>
        <w:t>Cut the standard 20% to 10% for youth and for women-led micro firms.</w:t>
      </w:r>
    </w:p>
    <w:p>
      <w:pPr>
        <w:pStyle w:val="ListParagraph"/>
        <w:numPr>
          <w:ilvl w:val="0"/>
          <w:numId w:val="172"/>
        </w:numPr>
        <w:rPr/>
      </w:pPr>
      <w:r>
        <w:rPr/>
        <w:t>Keep 20% for community enterprises, but count the community guarantee-fund deposit as match.</w:t>
      </w:r>
    </w:p>
    <w:p>
      <w:pPr>
        <w:pStyle w:val="ListParagraph"/>
        <w:numPr>
          <w:ilvl w:val="0"/>
          <w:numId w:val="173"/>
        </w:numPr>
        <w:rPr/>
      </w:pPr>
      <w:r>
        <w:rPr/>
        <w:t>Reserve 50% for scaling firms, with loans counting as match.</w:t>
      </w:r>
    </w:p>
    <w:p>
      <w:pPr>
        <w:pStyle w:val="ListParagraph"/>
        <w:numPr>
          <w:ilvl w:val="0"/>
          <w:numId w:val="174"/>
        </w:numPr>
        <w:rPr/>
      </w:pPr>
      <w:r>
        <w:rPr/>
        <w:t>Allow the match to be paid in tranches over the grant period, not upfront.</w:t>
      </w:r>
    </w:p>
    <w:p>
      <w:pPr>
        <w:pStyle w:val="Heading2"/>
        <w:rPr/>
      </w:pPr>
      <w:bookmarkStart w:id="26" w:name="__RefHeading___Toc9560_1627482358"/>
      <w:bookmarkEnd w:id="26"/>
      <w:r>
        <w:rPr/>
        <w:t>6.11 Funding needs by type (xi)</w:t>
      </w:r>
    </w:p>
    <w:p>
      <w:pPr>
        <w:pStyle w:val="Normal"/>
        <w:rPr/>
      </w:pPr>
      <w:r>
        <w:rPr/>
        <w:t xml:space="preserve">The categories follow the request. Priority and gender-age fit are </w:t>
      </w:r>
      <w:r>
        <w:rPr>
          <w:i/>
        </w:rPr>
        <w:t>indicative</w:t>
      </w:r>
      <w:r>
        <w:rPr/>
        <w:t>.</w:t>
      </w:r>
    </w:p>
    <w:p>
      <w:pPr>
        <w:pStyle w:val="Normal"/>
        <w:keepNext w:val="true"/>
        <w:rPr/>
      </w:pPr>
      <w:r>
        <w:rPr/>
        <w:t>The seven funding categories differ in ticket size and in how well they fit women and youth. Digital platforms, equipment and marketing are low-cost, high-fit categories that seed grants can cover. Facility upgrades and circular-economy capex at scale are larger and suit blended grant-and-loan finance. Conservation investments are best paired with results-based payments such as Wildlife Credits.</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19</w:t>
      </w:r>
      <w:r>
        <w:rPr>
          <w:sz w:val="20"/>
          <w:b/>
          <w:color w:val="1F3A5F"/>
        </w:rPr>
        <w:fldChar w:fldCharType="end"/>
      </w:r>
      <w:r>
        <w:rPr>
          <w:b/>
          <w:color w:val="1F3A5F"/>
          <w:sz w:val="20"/>
        </w:rPr>
        <w:t>: Funding needs by category</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1475"/>
        <w:gridCol w:w="2118"/>
        <w:gridCol w:w="1570"/>
        <w:gridCol w:w="1711"/>
        <w:gridCol w:w="891"/>
        <w:gridCol w:w="1646"/>
      </w:tblGrid>
      <w:tr>
        <w:trPr>
          <w:tblHeader w:val="true"/>
        </w:trPr>
        <w:tc>
          <w:tcPr>
            <w:tcW w:w="1475"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7"/>
                <w:szCs w:val="22"/>
                <w:lang w:val="en-US"/>
              </w:rPr>
              <w:t>Category</w:t>
            </w:r>
          </w:p>
        </w:tc>
        <w:tc>
          <w:tcPr>
            <w:tcW w:w="2118"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7"/>
                <w:szCs w:val="22"/>
                <w:lang w:val="en-US"/>
              </w:rPr>
              <w:t>Examples</w:t>
            </w:r>
          </w:p>
        </w:tc>
        <w:tc>
          <w:tcPr>
            <w:tcW w:w="1570"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7"/>
                <w:szCs w:val="22"/>
                <w:lang w:val="en-US"/>
              </w:rPr>
              <w:t>Typical ticket (USD)</w:t>
            </w:r>
          </w:p>
        </w:tc>
        <w:tc>
          <w:tcPr>
            <w:tcW w:w="1711"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7"/>
                <w:szCs w:val="22"/>
                <w:lang w:val="en-US"/>
              </w:rPr>
              <w:t>Main users</w:t>
            </w:r>
          </w:p>
        </w:tc>
        <w:tc>
          <w:tcPr>
            <w:tcW w:w="891"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7"/>
                <w:szCs w:val="22"/>
                <w:lang w:val="en-US"/>
              </w:rPr>
              <w:t>Fit with women and youth</w:t>
            </w:r>
          </w:p>
        </w:tc>
        <w:tc>
          <w:tcPr>
            <w:tcW w:w="1646"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7"/>
                <w:szCs w:val="22"/>
                <w:lang w:val="en-US"/>
              </w:rPr>
              <w:t>Best instrument</w:t>
            </w:r>
          </w:p>
        </w:tc>
      </w:tr>
      <w:tr>
        <w:trPr/>
        <w:tc>
          <w:tcPr>
            <w:tcW w:w="147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Equipment</w:t>
            </w:r>
          </w:p>
        </w:tc>
        <w:tc>
          <w:tcPr>
            <w:tcW w:w="211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Mokoros, boats, bikes, laundry machines, kitchen, craft tools</w:t>
            </w:r>
          </w:p>
        </w:tc>
        <w:tc>
          <w:tcPr>
            <w:tcW w:w="157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500–60,000</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Guides, suppliers, crafters</w:t>
            </w:r>
          </w:p>
        </w:tc>
        <w:tc>
          <w:tcPr>
            <w:tcW w:w="89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High</w:t>
            </w:r>
          </w:p>
        </w:tc>
        <w:tc>
          <w:tcPr>
            <w:tcW w:w="164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Seed grant (small), leasing or asset finance (large)</w:t>
            </w:r>
          </w:p>
        </w:tc>
      </w:tr>
      <w:tr>
        <w:trPr/>
        <w:tc>
          <w:tcPr>
            <w:tcW w:w="147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Facility upgrades</w:t>
            </w:r>
          </w:p>
        </w:tc>
        <w:tc>
          <w:tcPr>
            <w:tcW w:w="211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Rooms, ablutions, campsites, workshops, showrooms</w:t>
            </w:r>
          </w:p>
        </w:tc>
        <w:tc>
          <w:tcPr>
            <w:tcW w:w="157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5,000–150,000</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Accommodation, community enterprises</w:t>
            </w:r>
          </w:p>
        </w:tc>
        <w:tc>
          <w:tcPr>
            <w:tcW w:w="89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Medium</w:t>
            </w:r>
          </w:p>
        </w:tc>
        <w:tc>
          <w:tcPr>
            <w:tcW w:w="164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Growth grant plus guaranteed loan</w:t>
            </w:r>
          </w:p>
        </w:tc>
      </w:tr>
      <w:tr>
        <w:trPr/>
        <w:tc>
          <w:tcPr>
            <w:tcW w:w="147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Digital platforms</w:t>
            </w:r>
          </w:p>
        </w:tc>
        <w:tc>
          <w:tcPr>
            <w:tcW w:w="211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Websites, OTA listings, booking engines, POS, mobile money, bookkeeping apps</w:t>
            </w:r>
          </w:p>
        </w:tc>
        <w:tc>
          <w:tcPr>
            <w:tcW w:w="157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300–5,000</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All, especially youth</w:t>
            </w:r>
          </w:p>
        </w:tc>
        <w:tc>
          <w:tcPr>
            <w:tcW w:w="89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Very high</w:t>
            </w:r>
          </w:p>
        </w:tc>
        <w:tc>
          <w:tcPr>
            <w:tcW w:w="164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Seed grant (in kind), bundled</w:t>
            </w:r>
          </w:p>
        </w:tc>
      </w:tr>
      <w:tr>
        <w:trPr/>
        <w:tc>
          <w:tcPr>
            <w:tcW w:w="147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New products</w:t>
            </w:r>
          </w:p>
        </w:tc>
        <w:tc>
          <w:tcPr>
            <w:tcW w:w="211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Cultural tours, birding, river trips, food experiences, women-guided walks</w:t>
            </w:r>
          </w:p>
        </w:tc>
        <w:tc>
          <w:tcPr>
            <w:tcW w:w="157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2,000–30,000</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Activities, community enterprises</w:t>
            </w:r>
          </w:p>
        </w:tc>
        <w:tc>
          <w:tcPr>
            <w:tcW w:w="89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High</w:t>
            </w:r>
          </w:p>
        </w:tc>
        <w:tc>
          <w:tcPr>
            <w:tcW w:w="164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Seed or growth grant</w:t>
            </w:r>
          </w:p>
        </w:tc>
      </w:tr>
      <w:tr>
        <w:trPr/>
        <w:tc>
          <w:tcPr>
            <w:tcW w:w="147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Conservation</w:t>
            </w:r>
          </w:p>
        </w:tc>
        <w:tc>
          <w:tcPr>
            <w:tcW w:w="211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HWC mitigation, restoration, monitoring, anti-poaching support, wildlife-friendly fencing</w:t>
            </w:r>
          </w:p>
        </w:tc>
        <w:tc>
          <w:tcPr>
            <w:tcW w:w="157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2,000–50,000</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Community enterprises, conservancies</w:t>
            </w:r>
          </w:p>
        </w:tc>
        <w:tc>
          <w:tcPr>
            <w:tcW w:w="89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Medium</w:t>
            </w:r>
          </w:p>
        </w:tc>
        <w:tc>
          <w:tcPr>
            <w:tcW w:w="164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Grant; results-based payments (Wildlife Credits)</w:t>
            </w:r>
          </w:p>
        </w:tc>
      </w:tr>
      <w:tr>
        <w:trPr/>
        <w:tc>
          <w:tcPr>
            <w:tcW w:w="147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Circular economy</w:t>
            </w:r>
          </w:p>
        </w:tc>
        <w:tc>
          <w:tcPr>
            <w:tcW w:w="211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Recycling, composting, upcycled crafts, greywater, solar and energy efficiency</w:t>
            </w:r>
          </w:p>
        </w:tc>
        <w:tc>
          <w:tcPr>
            <w:tcW w:w="157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1,000–80,000</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Youth enterprises, lodges' suppliers</w:t>
            </w:r>
          </w:p>
        </w:tc>
        <w:tc>
          <w:tcPr>
            <w:tcW w:w="89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High for youth</w:t>
            </w:r>
          </w:p>
        </w:tc>
        <w:tc>
          <w:tcPr>
            <w:tcW w:w="164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Grant (start-up), green asset finance (scale)</w:t>
            </w:r>
          </w:p>
        </w:tc>
      </w:tr>
      <w:tr>
        <w:trPr/>
        <w:tc>
          <w:tcPr>
            <w:tcW w:w="147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Marketing</w:t>
            </w:r>
          </w:p>
        </w:tc>
        <w:tc>
          <w:tcPr>
            <w:tcW w:w="211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Branding, trade fairs (e.g. Our Heritage, Sanganai), photography, certification fees</w:t>
            </w:r>
          </w:p>
        </w:tc>
        <w:tc>
          <w:tcPr>
            <w:tcW w:w="157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500–10,000</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All</w:t>
            </w:r>
          </w:p>
        </w:tc>
        <w:tc>
          <w:tcPr>
            <w:tcW w:w="89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High</w:t>
            </w:r>
          </w:p>
        </w:tc>
        <w:tc>
          <w:tcPr>
            <w:tcW w:w="164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7"/>
                <w:szCs w:val="22"/>
                <w:lang w:val="en-US"/>
              </w:rPr>
              <w:t>Seed grant; co-marketing with anchors</w:t>
            </w:r>
          </w:p>
        </w:tc>
      </w:tr>
    </w:tbl>
    <w:p>
      <w:pPr>
        <w:pStyle w:val="Heading1"/>
        <w:spacing w:before="200" w:after="120"/>
        <w:rPr/>
      </w:pPr>
      <w:bookmarkStart w:id="27" w:name="__RefHeading___Toc9562_1627482358"/>
      <w:bookmarkEnd w:id="27"/>
      <w:r>
        <w:rPr/>
        <w:t>7. Recommendations</w:t>
      </w:r>
    </w:p>
    <w:p>
      <w:pPr>
        <w:pStyle w:val="Normal"/>
        <w:rPr/>
      </w:pPr>
      <w:r>
        <w:rPr/>
        <w:t>Each actor has a distinct part to play. The facility in Section 8 is the instrument that ties them together.</w:t>
      </w:r>
    </w:p>
    <w:p>
      <w:pPr>
        <w:pStyle w:val="Normal"/>
        <w:rPr/>
      </w:pPr>
      <w:r>
        <w:rPr>
          <w:b/>
        </w:rPr>
        <w:t>Financial institutions (banks, MFIs, development financiers)</w:t>
      </w:r>
    </w:p>
    <w:p>
      <w:pPr>
        <w:pStyle w:val="ListParagraph"/>
        <w:numPr>
          <w:ilvl w:val="0"/>
          <w:numId w:val="175"/>
        </w:numPr>
        <w:rPr/>
      </w:pPr>
      <w:r>
        <w:rPr/>
        <w:t>Launch seasonal tourism products with the five adaptations in 6.1, starting with seasonal schedules and green-season grace.</w:t>
      </w:r>
    </w:p>
    <w:p>
      <w:pPr>
        <w:pStyle w:val="ListParagraph"/>
        <w:numPr>
          <w:ilvl w:val="0"/>
          <w:numId w:val="176"/>
        </w:numPr>
        <w:rPr/>
      </w:pPr>
      <w:r>
        <w:rPr/>
        <w:t>Accept movable assets, receivables, group guarantees and community deposits as collateral. Register assets in the name of the woman or youth who runs the business.</w:t>
      </w:r>
    </w:p>
    <w:p>
      <w:pPr>
        <w:pStyle w:val="ListParagraph"/>
        <w:numPr>
          <w:ilvl w:val="0"/>
          <w:numId w:val="177"/>
        </w:numPr>
        <w:rPr/>
      </w:pPr>
      <w:r>
        <w:rPr/>
        <w:t>Drop spousal or parental co-signature requirements not required by law. Accept 6 months of mobile-money statements in place of bank statements.</w:t>
      </w:r>
    </w:p>
    <w:p>
      <w:pPr>
        <w:pStyle w:val="ListParagraph"/>
        <w:numPr>
          <w:ilvl w:val="0"/>
          <w:numId w:val="178"/>
        </w:numPr>
        <w:rPr/>
      </w:pPr>
      <w:r>
        <w:rPr/>
        <w:t>Delegate approval authority for guaranteed portfolios to hub branches in Kasane, Maun, Katima Mulilo, Livingstone and Victoria Falls.</w:t>
      </w:r>
    </w:p>
    <w:p>
      <w:pPr>
        <w:pStyle w:val="ListParagraph"/>
        <w:numPr>
          <w:ilvl w:val="0"/>
          <w:numId w:val="179"/>
        </w:numPr>
        <w:rPr/>
      </w:pPr>
      <w:r>
        <w:rPr/>
        <w:t>Report tourism MSME lending by sex and age of owner and by season. Share anonymised data with the facility.</w:t>
      </w:r>
    </w:p>
    <w:p>
      <w:pPr>
        <w:pStyle w:val="Normal"/>
        <w:rPr/>
      </w:pPr>
      <w:r>
        <w:rPr>
          <w:b/>
        </w:rPr>
        <w:t>Credit guarantee schemes and DFIs (CGS, ZCGS, ECGC, FGC, AGF, AFAWA, KfW, EIB, IFC, AfDB)</w:t>
      </w:r>
    </w:p>
    <w:p>
      <w:pPr>
        <w:pStyle w:val="ListParagraph"/>
        <w:numPr>
          <w:ilvl w:val="0"/>
          <w:numId w:val="180"/>
        </w:numPr>
        <w:rPr/>
      </w:pPr>
      <w:r>
        <w:rPr/>
        <w:t>Open KAZA tourism windows with a cover uplift for women and youth: 70% compared with 50–60% standard.</w:t>
      </w:r>
    </w:p>
    <w:p>
      <w:pPr>
        <w:pStyle w:val="ListParagraph"/>
        <w:numPr>
          <w:ilvl w:val="0"/>
          <w:numId w:val="181"/>
        </w:numPr>
        <w:rPr/>
      </w:pPr>
      <w:r>
        <w:rPr/>
        <w:t>Provide counter-guarantees and wholesale lines in local currency.</w:t>
      </w:r>
    </w:p>
    <w:p>
      <w:pPr>
        <w:pStyle w:val="ListParagraph"/>
        <w:numPr>
          <w:ilvl w:val="0"/>
          <w:numId w:val="182"/>
        </w:numPr>
        <w:rPr/>
      </w:pPr>
      <w:r>
        <w:rPr/>
        <w:t>Support design of a Botswana guarantee facility, which could be hosted by CEDA, NDB or BDC with AGF.</w:t>
      </w:r>
    </w:p>
    <w:p>
      <w:pPr>
        <w:pStyle w:val="Normal"/>
        <w:rPr/>
      </w:pPr>
      <w:r>
        <w:rPr>
          <w:b/>
        </w:rPr>
        <w:t>Governments and the KAZA Secretariat</w:t>
      </w:r>
    </w:p>
    <w:p>
      <w:pPr>
        <w:pStyle w:val="ListParagraph"/>
        <w:numPr>
          <w:ilvl w:val="0"/>
          <w:numId w:val="183"/>
        </w:numPr>
        <w:rPr/>
      </w:pPr>
      <w:r>
        <w:rPr/>
        <w:t>Commence and operationalise movable collateral registries, Botswana first. Verify Namibia's and Angola's frameworks.</w:t>
      </w:r>
    </w:p>
    <w:p>
      <w:pPr>
        <w:pStyle w:val="ListParagraph"/>
        <w:numPr>
          <w:ilvl w:val="0"/>
          <w:numId w:val="184"/>
        </w:numPr>
        <w:rPr/>
      </w:pPr>
      <w:r>
        <w:rPr/>
        <w:t>Simplify tourism licensing for micro operators: tiered licences, one-stop windows in hubs, and licence fees counted as grant-eligible costs.</w:t>
      </w:r>
    </w:p>
    <w:p>
      <w:pPr>
        <w:pStyle w:val="ListParagraph"/>
        <w:numPr>
          <w:ilvl w:val="0"/>
          <w:numId w:val="185"/>
        </w:numPr>
        <w:rPr/>
      </w:pPr>
      <w:r>
        <w:rPr/>
        <w:t>Adopt the KAZA R-NBT checklist as a common eligibility and tagging standard.</w:t>
      </w:r>
    </w:p>
    <w:p>
      <w:pPr>
        <w:pStyle w:val="ListParagraph"/>
        <w:numPr>
          <w:ilvl w:val="0"/>
          <w:numId w:val="186"/>
        </w:numPr>
        <w:rPr/>
      </w:pPr>
      <w:r>
        <w:rPr/>
        <w:t>Host the Supply Chain Compact and the annual R-NBT Finance Forum.</w:t>
      </w:r>
    </w:p>
    <w:p>
      <w:pPr>
        <w:pStyle w:val="ListParagraph"/>
        <w:numPr>
          <w:ilvl w:val="0"/>
          <w:numId w:val="187"/>
        </w:numPr>
        <w:rPr/>
      </w:pPr>
      <w:r>
        <w:rPr/>
        <w:t>Enforce women's land and lease registration targets, and support joint titling and registered leases for women on communal land.</w:t>
      </w:r>
    </w:p>
    <w:p>
      <w:pPr>
        <w:pStyle w:val="Normal"/>
        <w:rPr/>
      </w:pPr>
      <w:r>
        <w:rPr>
          <w:b/>
        </w:rPr>
        <w:t>Large tourism operators and DMCs</w:t>
      </w:r>
    </w:p>
    <w:p>
      <w:pPr>
        <w:pStyle w:val="ListParagraph"/>
        <w:numPr>
          <w:ilvl w:val="0"/>
          <w:numId w:val="188"/>
        </w:numPr>
        <w:rPr/>
      </w:pPr>
      <w:r>
        <w:rPr/>
        <w:t>Sign the Supply Chain Compact. It commits operators to written contracts, payment within 15 days to micro suppliers, and local, women and youth procurement targets.</w:t>
      </w:r>
    </w:p>
    <w:p>
      <w:pPr>
        <w:pStyle w:val="ListParagraph"/>
        <w:numPr>
          <w:ilvl w:val="0"/>
          <w:numId w:val="189"/>
        </w:numPr>
        <w:rPr/>
      </w:pPr>
      <w:r>
        <w:rPr/>
        <w:t>Join tripartite supply-chain finance (Wilderness–Stanbic model) and sponsor equipment leases for suppliers.</w:t>
      </w:r>
    </w:p>
    <w:p>
      <w:pPr>
        <w:pStyle w:val="ListParagraph"/>
        <w:numPr>
          <w:ilvl w:val="0"/>
          <w:numId w:val="190"/>
        </w:numPr>
        <w:rPr/>
      </w:pPr>
      <w:r>
        <w:rPr/>
        <w:t>Add audit rights and women's and youth employment clauses to JV agreements at renewal.</w:t>
      </w:r>
    </w:p>
    <w:p>
      <w:pPr>
        <w:pStyle w:val="Normal"/>
        <w:rPr/>
      </w:pPr>
      <w:r>
        <w:rPr>
          <w:b/>
        </w:rPr>
        <w:t>MSME associations, BSOs, CBNRM bodies and NGOs</w:t>
      </w:r>
    </w:p>
    <w:p>
      <w:pPr>
        <w:pStyle w:val="ListParagraph"/>
        <w:numPr>
          <w:ilvl w:val="0"/>
          <w:numId w:val="191"/>
        </w:numPr>
        <w:rPr/>
      </w:pPr>
      <w:r>
        <w:rPr/>
        <w:t>Run the shared pipeline diagnostic and investment-readiness coaching.</w:t>
      </w:r>
    </w:p>
    <w:p>
      <w:pPr>
        <w:pStyle w:val="ListParagraph"/>
        <w:numPr>
          <w:ilvl w:val="0"/>
          <w:numId w:val="192"/>
        </w:numPr>
        <w:rPr/>
      </w:pPr>
      <w:r>
        <w:rPr/>
        <w:t>Facilitate VSLA-to-bank graduation and community guarantee funds.</w:t>
      </w:r>
    </w:p>
    <w:p>
      <w:pPr>
        <w:pStyle w:val="ListParagraph"/>
        <w:numPr>
          <w:ilvl w:val="0"/>
          <w:numId w:val="193"/>
        </w:numPr>
        <w:rPr/>
      </w:pPr>
      <w:r>
        <w:rPr/>
        <w:t>Convene women-only and youth-only sessions within dialogue platforms.</w:t>
      </w:r>
    </w:p>
    <w:p>
      <w:pPr>
        <w:pStyle w:val="Heading1"/>
        <w:rPr/>
      </w:pPr>
      <w:bookmarkStart w:id="28" w:name="__RefHeading___Toc9564_1627482358"/>
      <w:bookmarkEnd w:id="28"/>
      <w:r>
        <w:rPr/>
        <w:t>8. Grant facility design: KAZA R-NBT Enterprise Facility</w:t>
      </w:r>
    </w:p>
    <w:p>
      <w:pPr>
        <w:pStyle w:val="Normal"/>
        <w:rPr/>
      </w:pPr>
      <w:r>
        <w:rPr/>
        <w:t>The facility is a three-window, performance-based grant fund. It graduates MSMEs from seed grants to bank loans and uses a de-risking layer to bring lenders in. It reserves at least half of grant value for women-led and 40% for youth-led enterprises.</w:t>
      </w:r>
    </w:p>
    <w:p>
      <w:pPr>
        <w:pStyle w:val="Normal"/>
        <w:rPr/>
      </w:pPr>
      <w:r>
        <w:rPr/>
        <w:drawing>
          <wp:inline distT="0" distB="0" distL="0" distR="0">
            <wp:extent cx="5486400" cy="2188210"/>
            <wp:effectExtent l="0" t="0" r="0" b="0"/>
            <wp:docPr id="1" name="image1" descr="KAZA R-NBT Enterprise Facility · 3 grant windows, de-risking layer, 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KAZA R-NBT Enterprise Facility · 3 grant windows, de-risking layer, TA"/>
                    <pic:cNvPicPr>
                      <a:picLocks noChangeAspect="1" noChangeArrowheads="1"/>
                    </pic:cNvPicPr>
                  </pic:nvPicPr>
                  <pic:blipFill>
                    <a:blip r:embed="rId17"/>
                    <a:stretch>
                      <a:fillRect/>
                    </a:stretch>
                  </pic:blipFill>
                  <pic:spPr bwMode="auto">
                    <a:xfrm>
                      <a:off x="0" y="0"/>
                      <a:ext cx="5486400" cy="2188210"/>
                    </a:xfrm>
                    <a:prstGeom prst="rect">
                      <a:avLst/>
                    </a:prstGeom>
                  </pic:spPr>
                </pic:pic>
              </a:graphicData>
            </a:graphic>
          </wp:inline>
        </w:drawing>
      </w:r>
    </w:p>
    <w:p>
      <w:pPr>
        <w:pStyle w:val="Normal"/>
        <w:rPr/>
      </w:pPr>
      <w:r>
        <w:rPr/>
        <w:t>KAZA R-NBT Enterprise Facility · 3 grant windows, de-risking layer, TA</w:t>
      </w:r>
    </w:p>
    <w:p>
      <w:pPr>
        <w:pStyle w:val="Normal"/>
        <w:rPr/>
      </w:pPr>
      <w:r>
        <w:rPr/>
        <w:t>Each window feeds the next. Window C and the de-risking layer exist to hand the MSME on to a partner lender.</w:t>
      </w:r>
    </w:p>
    <w:p>
      <w:pPr>
        <w:pStyle w:val="Heading2"/>
        <w:rPr/>
      </w:pPr>
      <w:bookmarkStart w:id="29" w:name="__RefHeading___Toc9566_1627482358"/>
      <w:bookmarkEnd w:id="29"/>
      <w:r>
        <w:rPr/>
        <w:t>8.1 Objectives</w:t>
      </w:r>
    </w:p>
    <w:p>
      <w:pPr>
        <w:pStyle w:val="ListParagraph"/>
        <w:numPr>
          <w:ilvl w:val="0"/>
          <w:numId w:val="194"/>
        </w:numPr>
        <w:rPr/>
      </w:pPr>
      <w:r>
        <w:rPr/>
        <w:t>Help women-, youth- and community-led tourism MSMEs near protected areas start, upgrade and grow regenerative businesses.</w:t>
      </w:r>
    </w:p>
    <w:p>
      <w:pPr>
        <w:pStyle w:val="ListParagraph"/>
        <w:numPr>
          <w:ilvl w:val="0"/>
          <w:numId w:val="195"/>
        </w:numPr>
        <w:rPr/>
      </w:pPr>
      <w:r>
        <w:rPr/>
        <w:t>Unlock commercial and development finance for these MSMEs at a target leverage of at least 1:1 by facility close.</w:t>
      </w:r>
    </w:p>
    <w:p>
      <w:pPr>
        <w:pStyle w:val="ListParagraph"/>
        <w:numPr>
          <w:ilvl w:val="0"/>
          <w:numId w:val="196"/>
        </w:numPr>
        <w:rPr/>
      </w:pPr>
      <w:r>
        <w:rPr/>
        <w:t>Build a disaggregated evidence base on tourism MSME finance in KAZA.</w:t>
      </w:r>
    </w:p>
    <w:p>
      <w:pPr>
        <w:pStyle w:val="Heading2"/>
        <w:rPr/>
      </w:pPr>
      <w:bookmarkStart w:id="30" w:name="__RefHeading___Toc9568_1627482358"/>
      <w:bookmarkEnd w:id="30"/>
      <w:r>
        <w:rPr/>
        <w:t>8.2 Structure and allocation</w:t>
      </w:r>
    </w:p>
    <w:p>
      <w:pPr>
        <w:pStyle w:val="Normal"/>
        <w:rPr/>
      </w:pPr>
      <w:r>
        <w:rPr/>
        <w:t>The R-NBT action budget is not public, so shares are shown as percentages of the facility envelope.</w:t>
      </w:r>
    </w:p>
    <w:p>
      <w:pPr>
        <w:pStyle w:val="Normal"/>
        <w:keepNext w:val="true"/>
        <w:rPr/>
      </w:pPr>
      <w:r>
        <w:rPr/>
        <w:t>Seventy percent of the facility goes to grants, split 35:40:25 across the seed, growth and scale windows. A further 15% funds the de-risking layer that brings lenders in. Technical assistance takes 10%, and measurement and administration take 5%.</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20</w:t>
      </w:r>
      <w:r>
        <w:rPr>
          <w:sz w:val="20"/>
          <w:b/>
          <w:color w:val="1F3A5F"/>
        </w:rPr>
        <w:fldChar w:fldCharType="end"/>
      </w:r>
      <w:r>
        <w:rPr>
          <w:b/>
          <w:color w:val="1F3A5F"/>
          <w:sz w:val="20"/>
        </w:rPr>
        <w:t>: Facility structure and allocation</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2955"/>
        <w:gridCol w:w="1975"/>
        <w:gridCol w:w="4482"/>
      </w:tblGrid>
      <w:tr>
        <w:trPr>
          <w:tblHeader w:val="true"/>
        </w:trPr>
        <w:tc>
          <w:tcPr>
            <w:tcW w:w="2955"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Component</w:t>
            </w:r>
          </w:p>
        </w:tc>
        <w:tc>
          <w:tcPr>
            <w:tcW w:w="1975"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Share of envelope</w:t>
            </w:r>
          </w:p>
        </w:tc>
        <w:tc>
          <w:tcPr>
            <w:tcW w:w="4482"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Purpose</w:t>
            </w:r>
          </w:p>
        </w:tc>
      </w:tr>
      <w:tr>
        <w:trPr/>
        <w:tc>
          <w:tcPr>
            <w:tcW w:w="295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Window A: Seed</w:t>
            </w:r>
          </w:p>
        </w:tc>
        <w:tc>
          <w:tcPr>
            <w:tcW w:w="197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24.5% (35% of grant pool)</w:t>
            </w:r>
          </w:p>
        </w:tc>
        <w:tc>
          <w:tcPr>
            <w:tcW w:w="448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Start-ups, VSLA-linked and community micro enterprises</w:t>
            </w:r>
          </w:p>
        </w:tc>
      </w:tr>
      <w:tr>
        <w:trPr/>
        <w:tc>
          <w:tcPr>
            <w:tcW w:w="295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Window B: Growth</w:t>
            </w:r>
          </w:p>
        </w:tc>
        <w:tc>
          <w:tcPr>
            <w:tcW w:w="197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28% (40% of grant pool)</w:t>
            </w:r>
          </w:p>
        </w:tc>
        <w:tc>
          <w:tcPr>
            <w:tcW w:w="448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Emerging MSMEs: upgrades, equipment, products</w:t>
            </w:r>
          </w:p>
        </w:tc>
      </w:tr>
      <w:tr>
        <w:trPr/>
        <w:tc>
          <w:tcPr>
            <w:tcW w:w="295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Window C: Scale and leverage</w:t>
            </w:r>
          </w:p>
        </w:tc>
        <w:tc>
          <w:tcPr>
            <w:tcW w:w="197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17.5% (25% of grant pool)</w:t>
            </w:r>
          </w:p>
        </w:tc>
        <w:tc>
          <w:tcPr>
            <w:tcW w:w="448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Scaling MSMEs with a lender term sheet; grant as quasi-equity or first-loss on their own loan</w:t>
            </w:r>
          </w:p>
        </w:tc>
      </w:tr>
      <w:tr>
        <w:trPr/>
        <w:tc>
          <w:tcPr>
            <w:tcW w:w="295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De-risking layer</w:t>
            </w:r>
          </w:p>
        </w:tc>
        <w:tc>
          <w:tcPr>
            <w:tcW w:w="197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15%</w:t>
            </w:r>
          </w:p>
        </w:tc>
        <w:tc>
          <w:tcPr>
            <w:tcW w:w="448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First-loss on partner-lender tourism portfolios; per-loan origination incentives for performing women- and youth-led loans; community guarantee fund matching</w:t>
            </w:r>
          </w:p>
        </w:tc>
      </w:tr>
      <w:tr>
        <w:trPr/>
        <w:tc>
          <w:tcPr>
            <w:tcW w:w="295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Technical assistance and pipeline</w:t>
            </w:r>
          </w:p>
        </w:tc>
        <w:tc>
          <w:tcPr>
            <w:tcW w:w="197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10%</w:t>
            </w:r>
          </w:p>
        </w:tc>
        <w:tc>
          <w:tcPr>
            <w:tcW w:w="448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Diagnostics, coaching, bookkeeping and digital onboarding, R-NBT checklist, lender training, dialogues</w:t>
            </w:r>
          </w:p>
        </w:tc>
      </w:tr>
      <w:tr>
        <w:trPr/>
        <w:tc>
          <w:tcPr>
            <w:tcW w:w="295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MEL and administration</w:t>
            </w:r>
          </w:p>
        </w:tc>
        <w:tc>
          <w:tcPr>
            <w:tcW w:w="1975"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w:t>
            </w:r>
          </w:p>
        </w:tc>
        <w:tc>
          <w:tcPr>
            <w:tcW w:w="4482"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Data system, disaggregated reporting, evaluations</w:t>
            </w:r>
          </w:p>
        </w:tc>
      </w:tr>
    </w:tbl>
    <w:p>
      <w:pPr>
        <w:pStyle w:val="Heading2"/>
        <w:spacing w:before="200" w:after="100"/>
        <w:rPr/>
      </w:pPr>
      <w:bookmarkStart w:id="31" w:name="__RefHeading___Toc9570_1627482358"/>
      <w:bookmarkEnd w:id="31"/>
      <w:r>
        <w:rPr/>
        <w:t>8.3 Window terms</w:t>
      </w:r>
    </w:p>
    <w:p>
      <w:pPr>
        <w:pStyle w:val="Normal"/>
        <w:keepNext w:val="true"/>
        <w:rPr/>
      </w:pPr>
      <w:r>
        <w:rPr/>
        <w:t>The window terms set out how size, stage, matching, disbursement, formality and lender links tighten from seed to scale. Seed grants ask the least: a 10% match, payment largely in kind, and six months to register. Scale grants require a lender's term sheet and two years of accounts.</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21</w:t>
      </w:r>
      <w:r>
        <w:rPr>
          <w:sz w:val="20"/>
          <w:b/>
          <w:color w:val="1F3A5F"/>
        </w:rPr>
        <w:fldChar w:fldCharType="end"/>
      </w:r>
      <w:r>
        <w:rPr>
          <w:b/>
          <w:color w:val="1F3A5F"/>
          <w:sz w:val="20"/>
        </w:rPr>
        <w:t>: Grant window terms</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1999"/>
        <w:gridCol w:w="2537"/>
        <w:gridCol w:w="2234"/>
        <w:gridCol w:w="2641"/>
      </w:tblGrid>
      <w:tr>
        <w:trPr>
          <w:tblHeader w:val="true"/>
        </w:trPr>
        <w:tc>
          <w:tcPr>
            <w:tcW w:w="1999"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Term</w:t>
            </w:r>
          </w:p>
        </w:tc>
        <w:tc>
          <w:tcPr>
            <w:tcW w:w="2537"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A. Seed</w:t>
            </w:r>
          </w:p>
        </w:tc>
        <w:tc>
          <w:tcPr>
            <w:tcW w:w="2234"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B. Growth</w:t>
            </w:r>
          </w:p>
        </w:tc>
        <w:tc>
          <w:tcPr>
            <w:tcW w:w="2641"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9"/>
                <w:szCs w:val="22"/>
                <w:lang w:val="en-US"/>
              </w:rPr>
              <w:t>C. Scale and leverage</w:t>
            </w:r>
          </w:p>
        </w:tc>
      </w:tr>
      <w:tr>
        <w:trPr/>
        <w:tc>
          <w:tcPr>
            <w:tcW w:w="199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Grant size (USD)</w:t>
            </w:r>
          </w:p>
        </w:tc>
        <w:tc>
          <w:tcPr>
            <w:tcW w:w="253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2,000–15,000</w:t>
            </w:r>
          </w:p>
        </w:tc>
        <w:tc>
          <w:tcPr>
            <w:tcW w:w="223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15,000–75,000</w:t>
            </w:r>
          </w:p>
        </w:tc>
        <w:tc>
          <w:tcPr>
            <w:tcW w:w="264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50,000–150,000</w:t>
            </w:r>
          </w:p>
        </w:tc>
      </w:tr>
      <w:tr>
        <w:trPr/>
        <w:tc>
          <w:tcPr>
            <w:tcW w:w="199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Stage</w:t>
            </w:r>
          </w:p>
        </w:tc>
        <w:tc>
          <w:tcPr>
            <w:tcW w:w="253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Start-up (under 2 seasons)</w:t>
            </w:r>
          </w:p>
        </w:tc>
        <w:tc>
          <w:tcPr>
            <w:tcW w:w="223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Emerging (2–5 seasons)</w:t>
            </w:r>
          </w:p>
        </w:tc>
        <w:tc>
          <w:tcPr>
            <w:tcW w:w="264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Scaling (5+ seasons)</w:t>
            </w:r>
          </w:p>
        </w:tc>
      </w:tr>
      <w:tr>
        <w:trPr/>
        <w:tc>
          <w:tcPr>
            <w:tcW w:w="199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Matching</w:t>
            </w:r>
          </w:p>
        </w:tc>
        <w:tc>
          <w:tcPr>
            <w:tcW w:w="253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10% (youth, women micro); 20% for community enterprises</w:t>
            </w:r>
          </w:p>
        </w:tc>
        <w:tc>
          <w:tcPr>
            <w:tcW w:w="223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25–30%</w:t>
            </w:r>
          </w:p>
        </w:tc>
        <w:tc>
          <w:tcPr>
            <w:tcW w:w="264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50%, at least half a loan</w:t>
            </w:r>
          </w:p>
        </w:tc>
      </w:tr>
      <w:tr>
        <w:trPr/>
        <w:tc>
          <w:tcPr>
            <w:tcW w:w="199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In-kind match allowed</w:t>
            </w:r>
          </w:p>
        </w:tc>
        <w:tc>
          <w:tcPr>
            <w:tcW w:w="253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Up to 100%</w:t>
            </w:r>
          </w:p>
        </w:tc>
        <w:tc>
          <w:tcPr>
            <w:tcW w:w="223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Up to 50%</w:t>
            </w:r>
          </w:p>
        </w:tc>
        <w:tc>
          <w:tcPr>
            <w:tcW w:w="264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Up to 20%</w:t>
            </w:r>
          </w:p>
        </w:tc>
      </w:tr>
      <w:tr>
        <w:trPr/>
        <w:tc>
          <w:tcPr>
            <w:tcW w:w="199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Disbursement</w:t>
            </w:r>
          </w:p>
        </w:tc>
        <w:tc>
          <w:tcPr>
            <w:tcW w:w="253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In-kind assets plus 2 cash tranches</w:t>
            </w:r>
          </w:p>
        </w:tc>
        <w:tc>
          <w:tcPr>
            <w:tcW w:w="223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3 milestone tranches</w:t>
            </w:r>
          </w:p>
        </w:tc>
        <w:tc>
          <w:tcPr>
            <w:tcW w:w="264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Tied to loan disbursement</w:t>
            </w:r>
          </w:p>
        </w:tc>
      </w:tr>
      <w:tr>
        <w:trPr/>
        <w:tc>
          <w:tcPr>
            <w:tcW w:w="199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Formality required</w:t>
            </w:r>
          </w:p>
        </w:tc>
        <w:tc>
          <w:tcPr>
            <w:tcW w:w="253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Basic registration within 6 months (cost covered)</w:t>
            </w:r>
          </w:p>
        </w:tc>
        <w:tc>
          <w:tcPr>
            <w:tcW w:w="223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Registered, licensed</w:t>
            </w:r>
          </w:p>
        </w:tc>
        <w:tc>
          <w:tcPr>
            <w:tcW w:w="264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Registered, licensed, 2 years of accounts</w:t>
            </w:r>
          </w:p>
        </w:tc>
      </w:tr>
      <w:tr>
        <w:trPr/>
        <w:tc>
          <w:tcPr>
            <w:tcW w:w="199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Lender link</w:t>
            </w:r>
          </w:p>
        </w:tc>
        <w:tc>
          <w:tcPr>
            <w:tcW w:w="253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Group or VSLA account opened</w:t>
            </w:r>
          </w:p>
        </w:tc>
        <w:tc>
          <w:tcPr>
            <w:tcW w:w="223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Loan referral encouraged</w:t>
            </w:r>
          </w:p>
        </w:tc>
        <w:tc>
          <w:tcPr>
            <w:tcW w:w="264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Lender term sheet mandatory</w:t>
            </w:r>
          </w:p>
        </w:tc>
      </w:tr>
      <w:tr>
        <w:trPr/>
        <w:tc>
          <w:tcPr>
            <w:tcW w:w="199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Eligible uses</w:t>
            </w:r>
          </w:p>
        </w:tc>
        <w:tc>
          <w:tcPr>
            <w:tcW w:w="2537"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Equipment, digital, marketing, new products, licences</w:t>
            </w:r>
          </w:p>
        </w:tc>
        <w:tc>
          <w:tcPr>
            <w:tcW w:w="223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All categories in 6.11</w:t>
            </w:r>
          </w:p>
        </w:tc>
        <w:tc>
          <w:tcPr>
            <w:tcW w:w="264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9"/>
                <w:szCs w:val="22"/>
                <w:lang w:val="en-US"/>
              </w:rPr>
              <w:t>Facility upgrades, fleets, circular and conservation capex</w:t>
            </w:r>
          </w:p>
        </w:tc>
      </w:tr>
    </w:tbl>
    <w:p>
      <w:pPr>
        <w:pStyle w:val="Heading2"/>
        <w:spacing w:before="200" w:after="100"/>
        <w:rPr/>
      </w:pPr>
      <w:bookmarkStart w:id="32" w:name="__RefHeading___Toc9572_1627482358"/>
      <w:bookmarkEnd w:id="32"/>
      <w:r>
        <w:rPr/>
        <w:t>8.4 Eligibility and targeting</w:t>
      </w:r>
    </w:p>
    <w:p>
      <w:pPr>
        <w:pStyle w:val="ListParagraph"/>
        <w:numPr>
          <w:ilvl w:val="0"/>
          <w:numId w:val="197"/>
        </w:numPr>
        <w:rPr/>
      </w:pPr>
      <w:r>
        <w:rPr>
          <w:b/>
        </w:rPr>
        <w:t>Location:</w:t>
      </w:r>
      <w:r>
        <w:rPr/>
        <w:t xml:space="preserve"> enterprise operates in the KAZA TFCA. Priority goes to wards, conservancies, trusts and GMAs next to protected areas: 60% of grant value or more.</w:t>
      </w:r>
    </w:p>
    <w:p>
      <w:pPr>
        <w:pStyle w:val="ListParagraph"/>
        <w:numPr>
          <w:ilvl w:val="0"/>
          <w:numId w:val="198"/>
        </w:numPr>
        <w:rPr/>
      </w:pPr>
      <w:r>
        <w:rPr>
          <w:b/>
        </w:rPr>
        <w:t>Women-led:</w:t>
      </w:r>
      <w:r>
        <w:rPr/>
        <w:t xml:space="preserve"> 51% or more owned by women, or 25% or more owned by women with a woman CEO or managing partner (2X Challenge-aligned). Target: at least 50% of grant value.</w:t>
      </w:r>
    </w:p>
    <w:p>
      <w:pPr>
        <w:pStyle w:val="ListParagraph"/>
        <w:numPr>
          <w:ilvl w:val="0"/>
          <w:numId w:val="199"/>
        </w:numPr>
        <w:rPr/>
      </w:pPr>
      <w:r>
        <w:rPr>
          <w:b/>
        </w:rPr>
        <w:t>Youth-led:</w:t>
      </w:r>
      <w:r>
        <w:rPr/>
        <w:t xml:space="preserve"> 51% or more owned by people aged 18–35. Target: at least 40% of grant value (overlap with women-led allowed).</w:t>
      </w:r>
    </w:p>
    <w:p>
      <w:pPr>
        <w:pStyle w:val="ListParagraph"/>
        <w:numPr>
          <w:ilvl w:val="0"/>
          <w:numId w:val="200"/>
        </w:numPr>
        <w:rPr/>
      </w:pPr>
      <w:r>
        <w:rPr>
          <w:b/>
        </w:rPr>
        <w:t>Community enterprises:</w:t>
      </w:r>
      <w:r>
        <w:rPr/>
        <w:t xml:space="preserve"> legally constituted trust, conservancy, CRB or CAMPFIRE ward enterprise, with a benefit-sharing plan showing allocation to women and youth.</w:t>
      </w:r>
    </w:p>
    <w:p>
      <w:pPr>
        <w:pStyle w:val="ListParagraph"/>
        <w:numPr>
          <w:ilvl w:val="0"/>
          <w:numId w:val="201"/>
        </w:numPr>
        <w:rPr/>
      </w:pPr>
      <w:r>
        <w:rPr>
          <w:b/>
        </w:rPr>
        <w:t>Regenerative screen:</w:t>
      </w:r>
      <w:r>
        <w:rPr/>
        <w:t xml:space="preserve"> a minimum score on the 10-point KAZA R-NBT checklist (6.6), with an improvement plan.</w:t>
      </w:r>
    </w:p>
    <w:p>
      <w:pPr>
        <w:pStyle w:val="ListParagraph"/>
        <w:numPr>
          <w:ilvl w:val="0"/>
          <w:numId w:val="202"/>
        </w:numPr>
        <w:rPr/>
      </w:pPr>
      <w:r>
        <w:rPr>
          <w:b/>
        </w:rPr>
        <w:t>Exclusions:</w:t>
      </w:r>
      <w:r>
        <w:rPr/>
        <w:t xml:space="preserve"> hunting operations (unless the facility's donors decide otherwise), firms already above USD 2 million turnover, and enterprises on the IFC exclusion list.</w:t>
      </w:r>
    </w:p>
    <w:p>
      <w:pPr>
        <w:pStyle w:val="Heading2"/>
        <w:rPr/>
      </w:pPr>
      <w:bookmarkStart w:id="33" w:name="__RefHeading___Toc9574_1627482358"/>
      <w:bookmarkEnd w:id="33"/>
      <w:r>
        <w:rPr/>
        <w:t>8.5 Selection criteria and weights</w:t>
      </w:r>
    </w:p>
    <w:p>
      <w:pPr>
        <w:pStyle w:val="Normal"/>
        <w:keepNext w:val="true"/>
        <w:rPr/>
      </w:pPr>
      <w:r>
        <w:rPr/>
        <w:t>Applicants are scored on six weighted criteria. Business viability carries the most weight at 25%. Regenerative contribution and inclusion of women, youth and communities count 20% each, so a firm can't win on financials alone. Market links, leverage and closeness to a protected area make up the remaining 35%.</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22</w:t>
      </w:r>
      <w:r>
        <w:rPr>
          <w:sz w:val="20"/>
          <w:b/>
          <w:color w:val="1F3A5F"/>
        </w:rPr>
        <w:fldChar w:fldCharType="end"/>
      </w:r>
      <w:r>
        <w:rPr>
          <w:b/>
          <w:color w:val="1F3A5F"/>
          <w:sz w:val="20"/>
        </w:rPr>
        <w:t>: Selection criteria and weights</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7763"/>
        <w:gridCol w:w="1648"/>
      </w:tblGrid>
      <w:tr>
        <w:trPr>
          <w:tblHeader w:val="true"/>
        </w:trPr>
        <w:tc>
          <w:tcPr>
            <w:tcW w:w="7763"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Criterion</w:t>
            </w:r>
          </w:p>
        </w:tc>
        <w:tc>
          <w:tcPr>
            <w:tcW w:w="1648"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Weight</w:t>
            </w:r>
          </w:p>
        </w:tc>
      </w:tr>
      <w:tr>
        <w:trPr/>
        <w:tc>
          <w:tcPr>
            <w:tcW w:w="776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Business viability and seasonal cash-flow plan</w:t>
            </w:r>
          </w:p>
        </w:tc>
        <w:tc>
          <w:tcPr>
            <w:tcW w:w="164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25%</w:t>
            </w:r>
          </w:p>
        </w:tc>
      </w:tr>
      <w:tr>
        <w:trPr/>
        <w:tc>
          <w:tcPr>
            <w:tcW w:w="776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Regenerative contribution (R-NBT checklist)</w:t>
            </w:r>
          </w:p>
        </w:tc>
        <w:tc>
          <w:tcPr>
            <w:tcW w:w="164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20%</w:t>
            </w:r>
          </w:p>
        </w:tc>
      </w:tr>
      <w:tr>
        <w:trPr/>
        <w:tc>
          <w:tcPr>
            <w:tcW w:w="776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Women, youth and community inclusion (ownership, jobs, benefit-sharing)</w:t>
            </w:r>
          </w:p>
        </w:tc>
        <w:tc>
          <w:tcPr>
            <w:tcW w:w="164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20%</w:t>
            </w:r>
          </w:p>
        </w:tc>
      </w:tr>
      <w:tr>
        <w:trPr/>
        <w:tc>
          <w:tcPr>
            <w:tcW w:w="776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Market linkage (contracts, bookings, anchor letter)</w:t>
            </w:r>
          </w:p>
        </w:tc>
        <w:tc>
          <w:tcPr>
            <w:tcW w:w="164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15%</w:t>
            </w:r>
          </w:p>
        </w:tc>
      </w:tr>
      <w:tr>
        <w:trPr/>
        <w:tc>
          <w:tcPr>
            <w:tcW w:w="776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Leverage potential (loan or own funds)</w:t>
            </w:r>
          </w:p>
        </w:tc>
        <w:tc>
          <w:tcPr>
            <w:tcW w:w="164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10%</w:t>
            </w:r>
          </w:p>
        </w:tc>
      </w:tr>
      <w:tr>
        <w:trPr/>
        <w:tc>
          <w:tcPr>
            <w:tcW w:w="776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Proximity to protected area and conservation link</w:t>
            </w:r>
          </w:p>
        </w:tc>
        <w:tc>
          <w:tcPr>
            <w:tcW w:w="164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10%</w:t>
            </w:r>
          </w:p>
        </w:tc>
      </w:tr>
    </w:tbl>
    <w:p>
      <w:pPr>
        <w:pStyle w:val="Normal"/>
        <w:spacing w:before="200" w:after="160"/>
        <w:rPr/>
      </w:pPr>
      <w:r>
        <w:rPr/>
        <w:t>Women and youth applicants are scored by panels that include women and youth members. Pitch-based selection is done in local languages.</w:t>
      </w:r>
    </w:p>
    <w:p>
      <w:pPr>
        <w:pStyle w:val="Heading2"/>
        <w:rPr/>
      </w:pPr>
      <w:bookmarkStart w:id="34" w:name="__RefHeading___Toc9576_1627482358"/>
      <w:bookmarkEnd w:id="34"/>
      <w:r>
        <w:rPr/>
        <w:t>8.6 Governance and delivery</w:t>
      </w:r>
    </w:p>
    <w:p>
      <w:pPr>
        <w:pStyle w:val="ListParagraph"/>
        <w:numPr>
          <w:ilvl w:val="0"/>
          <w:numId w:val="203"/>
        </w:numPr>
        <w:rPr/>
      </w:pPr>
      <w:r>
        <w:rPr>
          <w:b/>
        </w:rPr>
        <w:t>Facility manager:</w:t>
      </w:r>
      <w:r>
        <w:rPr/>
        <w:t xml:space="preserve"> a competitively selected fund manager or consortium with a KAZA presence and a hub office in Kasane.</w:t>
      </w:r>
    </w:p>
    <w:p>
      <w:pPr>
        <w:pStyle w:val="ListParagraph"/>
        <w:numPr>
          <w:ilvl w:val="0"/>
          <w:numId w:val="204"/>
        </w:numPr>
        <w:rPr/>
      </w:pPr>
      <w:r>
        <w:rPr>
          <w:b/>
        </w:rPr>
        <w:t>Investment committee:</w:t>
      </w:r>
      <w:r>
        <w:rPr/>
        <w:t xml:space="preserve"> KAZA Secretariat, GIZ, an EU observer, two independent finance experts, and one women's and one youth representative. Each Partner State is represented on a rotating basis.</w:t>
      </w:r>
    </w:p>
    <w:p>
      <w:pPr>
        <w:pStyle w:val="ListParagraph"/>
        <w:numPr>
          <w:ilvl w:val="0"/>
          <w:numId w:val="205"/>
        </w:numPr>
        <w:rPr/>
      </w:pPr>
      <w:r>
        <w:rPr>
          <w:b/>
        </w:rPr>
        <w:t>Country delivery partners:</w:t>
      </w:r>
      <w:r>
        <w:rPr/>
        <w:t xml:space="preserve"> LEA and CEDA (BW), NTB/MIT SME units and DBN (NA), CEEC and ZDA (ZM), SMEDCO and ZTA (ZW), INAPEM (AO). NGOs such as WWF, Peace Parks, CI, AWF and NACSO help with outreach and coaching.</w:t>
      </w:r>
    </w:p>
    <w:p>
      <w:pPr>
        <w:pStyle w:val="ListParagraph"/>
        <w:numPr>
          <w:ilvl w:val="0"/>
          <w:numId w:val="206"/>
        </w:numPr>
        <w:rPr/>
      </w:pPr>
      <w:r>
        <w:rPr>
          <w:b/>
        </w:rPr>
        <w:t>Partner lenders:</w:t>
      </w:r>
      <w:r>
        <w:rPr/>
        <w:t xml:space="preserve"> at least one bank or MFI per country under a cooperation agreement covering seasonal products, alternative collateral, data sharing and the first-loss terms.</w:t>
      </w:r>
    </w:p>
    <w:p>
      <w:pPr>
        <w:pStyle w:val="ListParagraph"/>
        <w:numPr>
          <w:ilvl w:val="0"/>
          <w:numId w:val="207"/>
        </w:numPr>
        <w:rPr/>
      </w:pPr>
      <w:r>
        <w:rPr>
          <w:b/>
        </w:rPr>
        <w:t>Process:</w:t>
      </w:r>
      <w:r>
        <w:rPr/>
        <w:t xml:space="preserve"> a call per country per year, then pre-screen, diagnostic, 6–8 weeks of coaching, pitch, IC decision, tranche contracts and graduation tracking. Target decision time is 60 days or less.</w:t>
      </w:r>
    </w:p>
    <w:p>
      <w:pPr>
        <w:pStyle w:val="Heading2"/>
        <w:rPr/>
      </w:pPr>
      <w:bookmarkStart w:id="35" w:name="__RefHeading___Toc9578_1627482358"/>
      <w:bookmarkEnd w:id="35"/>
      <w:r>
        <w:rPr/>
        <w:t>8.7 Measurement, evaluation and learning</w:t>
      </w:r>
    </w:p>
    <w:p>
      <w:pPr>
        <w:pStyle w:val="Normal"/>
        <w:rPr/>
      </w:pPr>
      <w:r>
        <w:rPr/>
        <w:t>All indicators are disaggregated by sex and age of owner (under 25, 25–35, over 35), enterprise size, stage, segment, country and protected-area adjacency.</w:t>
      </w:r>
    </w:p>
    <w:p>
      <w:pPr>
        <w:pStyle w:val="Normal"/>
        <w:keepNext w:val="true"/>
        <w:rPr/>
      </w:pPr>
      <w:r>
        <w:rPr/>
        <w:t>The indicators track reach, leverage, graduation to loans, loan quality by season, jobs, payment terms and regenerative performance. Every indicator is broken down by sex and age of owner. Lender rejection reasons are also recorded, to build the evidence base this report found missing.</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23</w:t>
      </w:r>
      <w:r>
        <w:rPr>
          <w:sz w:val="20"/>
          <w:b/>
          <w:color w:val="1F3A5F"/>
        </w:rPr>
        <w:fldChar w:fldCharType="end"/>
      </w:r>
      <w:r>
        <w:rPr>
          <w:b/>
          <w:color w:val="1F3A5F"/>
          <w:sz w:val="20"/>
        </w:rPr>
        <w:t>: Measurement indicators and indicative targets</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5273"/>
        <w:gridCol w:w="4138"/>
      </w:tblGrid>
      <w:tr>
        <w:trPr>
          <w:tblHeader w:val="true"/>
        </w:trPr>
        <w:tc>
          <w:tcPr>
            <w:tcW w:w="5273"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Indicator</w:t>
            </w:r>
          </w:p>
        </w:tc>
        <w:tc>
          <w:tcPr>
            <w:tcW w:w="4138"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Target (indicative)</w:t>
            </w:r>
          </w:p>
        </w:tc>
      </w:tr>
      <w:tr>
        <w:trPr/>
        <w:tc>
          <w:tcPr>
            <w:tcW w:w="527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MSMEs supported (grants)</w:t>
            </w:r>
          </w:p>
        </w:tc>
        <w:tc>
          <w:tcPr>
            <w:tcW w:w="413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Set by budget; at least 50% women-led, at least 40% youth-led</w:t>
            </w:r>
          </w:p>
        </w:tc>
      </w:tr>
      <w:tr>
        <w:trPr/>
        <w:tc>
          <w:tcPr>
            <w:tcW w:w="527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Finance leveraged (loans plus own funds) per grant dollar</w:t>
            </w:r>
          </w:p>
        </w:tc>
        <w:tc>
          <w:tcPr>
            <w:tcW w:w="413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1:1 or better at close; 2:1 for Window C</w:t>
            </w:r>
          </w:p>
        </w:tc>
      </w:tr>
      <w:tr>
        <w:trPr/>
        <w:tc>
          <w:tcPr>
            <w:tcW w:w="527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Grantees who access a formal loan within 24 months</w:t>
            </w:r>
          </w:p>
        </w:tc>
        <w:tc>
          <w:tcPr>
            <w:tcW w:w="413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30% or more</w:t>
            </w:r>
          </w:p>
        </w:tc>
      </w:tr>
      <w:tr>
        <w:trPr/>
        <w:tc>
          <w:tcPr>
            <w:tcW w:w="527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Portfolio at risk over 30 days on facility-linked loans, by season</w:t>
            </w:r>
          </w:p>
        </w:tc>
        <w:tc>
          <w:tcPr>
            <w:tcW w:w="413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8% or less in high season, 15% or less in low season</w:t>
            </w:r>
          </w:p>
        </w:tc>
      </w:tr>
      <w:tr>
        <w:trPr/>
        <w:tc>
          <w:tcPr>
            <w:tcW w:w="527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Jobs created or sustained (FTE), women and youth share</w:t>
            </w:r>
          </w:p>
        </w:tc>
        <w:tc>
          <w:tcPr>
            <w:tcW w:w="413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Women 50% or more, youth 40% or more</w:t>
            </w:r>
          </w:p>
        </w:tc>
      </w:tr>
      <w:tr>
        <w:trPr/>
        <w:tc>
          <w:tcPr>
            <w:tcW w:w="527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Average days to supplier payment (Compact signatories)</w:t>
            </w:r>
          </w:p>
        </w:tc>
        <w:tc>
          <w:tcPr>
            <w:tcW w:w="413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15 days or less for micro suppliers</w:t>
            </w:r>
          </w:p>
        </w:tc>
      </w:tr>
      <w:tr>
        <w:trPr/>
        <w:tc>
          <w:tcPr>
            <w:tcW w:w="527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R-NBT checklist score improvement</w:t>
            </w:r>
          </w:p>
        </w:tc>
        <w:tc>
          <w:tcPr>
            <w:tcW w:w="413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 points on average</w:t>
            </w:r>
          </w:p>
        </w:tc>
      </w:tr>
      <w:tr>
        <w:trPr/>
        <w:tc>
          <w:tcPr>
            <w:tcW w:w="527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Rejection reasons recorded by lenders (by gender and age)</w:t>
            </w:r>
          </w:p>
        </w:tc>
        <w:tc>
          <w:tcPr>
            <w:tcW w:w="4138"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100% of referrals</w:t>
            </w:r>
          </w:p>
        </w:tc>
      </w:tr>
    </w:tbl>
    <w:p>
      <w:pPr>
        <w:pStyle w:val="Normal"/>
        <w:spacing w:before="200" w:after="160"/>
        <w:rPr/>
      </w:pPr>
      <w:r>
        <w:rPr>
          <w:b/>
        </w:rPr>
        <w:t>Primary data to collect at inception:</w:t>
      </w:r>
    </w:p>
    <w:p>
      <w:pPr>
        <w:pStyle w:val="ListParagraph"/>
        <w:numPr>
          <w:ilvl w:val="0"/>
          <w:numId w:val="208"/>
        </w:numPr>
        <w:rPr/>
      </w:pPr>
      <w:r>
        <w:rPr/>
        <w:t>An MSME baseline survey of about 600 MSMEs across 5 countries, stratified by sex, age, segment and adjacency, covering cash-flow seasonality, collateral holdings and informal finance use.</w:t>
      </w:r>
    </w:p>
    <w:p>
      <w:pPr>
        <w:pStyle w:val="ListParagraph"/>
        <w:numPr>
          <w:ilvl w:val="0"/>
          <w:numId w:val="209"/>
        </w:numPr>
        <w:rPr/>
      </w:pPr>
      <w:r>
        <w:rPr/>
        <w:t>Interviews with 25–30 financial institutions on risk views, products and willingness to adopt women and youth incentives.</w:t>
      </w:r>
    </w:p>
    <w:p>
      <w:pPr>
        <w:pStyle w:val="ListParagraph"/>
        <w:numPr>
          <w:ilvl w:val="0"/>
          <w:numId w:val="210"/>
        </w:numPr>
        <w:rPr/>
      </w:pPr>
      <w:r>
        <w:rPr/>
        <w:t>Operator surveys on payment days and contract terms.</w:t>
      </w:r>
    </w:p>
    <w:p>
      <w:pPr>
        <w:pStyle w:val="ListParagraph"/>
        <w:numPr>
          <w:ilvl w:val="0"/>
          <w:numId w:val="211"/>
        </w:numPr>
        <w:rPr/>
      </w:pPr>
      <w:r>
        <w:rPr/>
        <w:t>VSLA and conservancy fund mapping in the pilot hubs.</w:t>
      </w:r>
    </w:p>
    <w:p>
      <w:pPr>
        <w:pStyle w:val="Heading2"/>
        <w:rPr/>
      </w:pPr>
      <w:bookmarkStart w:id="36" w:name="__RefHeading___Toc9580_1627482358"/>
      <w:bookmarkEnd w:id="36"/>
      <w:r>
        <w:rPr/>
        <w:t>8.8 Key risks and mitigations</w:t>
      </w:r>
    </w:p>
    <w:p>
      <w:pPr>
        <w:pStyle w:val="Normal"/>
        <w:keepNext w:val="true"/>
        <w:rPr/>
      </w:pPr>
      <w:r>
        <w:rPr/>
        <w:t>Six main risks could undermine the facility: elite capture, grant dependency, low lender uptake, shocks, gender backlash and environmental harm. Each has a specific mitigation built into the design. Low lender uptake draws directly on the lesson of Zimbabwe's Tourism Revival Fund.</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24</w:t>
      </w:r>
      <w:r>
        <w:rPr>
          <w:sz w:val="20"/>
          <w:b/>
          <w:color w:val="1F3A5F"/>
        </w:rPr>
        <w:fldChar w:fldCharType="end"/>
      </w:r>
      <w:r>
        <w:rPr>
          <w:b/>
          <w:color w:val="1F3A5F"/>
          <w:sz w:val="20"/>
        </w:rPr>
        <w:t>: Key facility risks and mitigations</w:t>
      </w:r>
    </w:p>
    <w:tbl>
      <w:tblPr>
        <w:tblStyle w:val="TableGrid"/>
        <w:tblW w:w="9412"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3841"/>
        <w:gridCol w:w="5570"/>
      </w:tblGrid>
      <w:tr>
        <w:trPr>
          <w:tblHeader w:val="true"/>
        </w:trPr>
        <w:tc>
          <w:tcPr>
            <w:tcW w:w="3841"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Risk</w:t>
            </w:r>
          </w:p>
        </w:tc>
        <w:tc>
          <w:tcPr>
            <w:tcW w:w="5570"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Mitigation</w:t>
            </w:r>
          </w:p>
        </w:tc>
      </w:tr>
      <w:tr>
        <w:trPr/>
        <w:tc>
          <w:tcPr>
            <w:tcW w:w="384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Elite capture of community grants</w:t>
            </w:r>
          </w:p>
        </w:tc>
        <w:tc>
          <w:tcPr>
            <w:tcW w:w="557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Benefit-sharing plans, women and youth quotas, public disclosure, independent audit</w:t>
            </w:r>
          </w:p>
        </w:tc>
      </w:tr>
      <w:tr>
        <w:trPr/>
        <w:tc>
          <w:tcPr>
            <w:tcW w:w="384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Grant dependency, no graduation to finance</w:t>
            </w:r>
          </w:p>
        </w:tc>
        <w:tc>
          <w:tcPr>
            <w:tcW w:w="557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Mandatory lender link in Window C; graduation milestones; first-loss tied to lending</w:t>
            </w:r>
          </w:p>
        </w:tc>
      </w:tr>
      <w:tr>
        <w:trPr/>
        <w:tc>
          <w:tcPr>
            <w:tcW w:w="384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Low lender uptake (as with Zimbabwe's USD 15m Tourism Revival Fund)</w:t>
            </w:r>
          </w:p>
        </w:tc>
        <w:tc>
          <w:tcPr>
            <w:tcW w:w="557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Bank-intermediated delivery, local-currency and USD options, simple process, active BSO marketing</w:t>
            </w:r>
          </w:p>
        </w:tc>
      </w:tr>
      <w:tr>
        <w:trPr/>
        <w:tc>
          <w:tcPr>
            <w:tcW w:w="384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Shocks (drought, pandemic, currency)</w:t>
            </w:r>
          </w:p>
        </w:tc>
        <w:tc>
          <w:tcPr>
            <w:tcW w:w="557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Shock clauses, contingency reserve (5% of the de-risking layer)</w:t>
            </w:r>
          </w:p>
        </w:tc>
      </w:tr>
      <w:tr>
        <w:trPr/>
        <w:tc>
          <w:tcPr>
            <w:tcW w:w="384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Gender-based backlash or control of women's grants by others</w:t>
            </w:r>
          </w:p>
        </w:tc>
        <w:tc>
          <w:tcPr>
            <w:tcW w:w="557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Women-only sessions, assets registered in women's names, safeguarding and GBV referral</w:t>
            </w:r>
          </w:p>
        </w:tc>
      </w:tr>
      <w:tr>
        <w:trPr/>
        <w:tc>
          <w:tcPr>
            <w:tcW w:w="384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Wildlife and environmental harm</w:t>
            </w:r>
          </w:p>
        </w:tc>
        <w:tc>
          <w:tcPr>
            <w:tcW w:w="557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R-NBT screening, E&amp;S exclusion list, monitoring</w:t>
            </w:r>
          </w:p>
        </w:tc>
      </w:tr>
    </w:tbl>
    <w:p>
      <w:pPr>
        <w:sectPr>
          <w:footerReference w:type="even" r:id="rId18"/>
          <w:footerReference w:type="default" r:id="rId19"/>
          <w:footerReference w:type="first" r:id="rId20"/>
          <w:type w:val="nextPage"/>
          <w:pgSz w:w="11906" w:h="16838"/>
          <w:pgMar w:left="1247" w:right="1247" w:gutter="0" w:header="0" w:top="1247" w:footer="720" w:bottom="1247"/>
          <w:pgNumType w:fmt="decimal"/>
          <w:formProt w:val="false"/>
          <w:textDirection w:val="lrTb"/>
          <w:docGrid w:type="default" w:linePitch="100" w:charSpace="4096"/>
        </w:sectPr>
      </w:pPr>
    </w:p>
    <w:p>
      <w:pPr>
        <w:pStyle w:val="Heading1"/>
        <w:spacing w:before="200" w:after="120"/>
        <w:rPr/>
      </w:pPr>
      <w:bookmarkStart w:id="37" w:name="__RefHeading___Toc9582_1627482358"/>
      <w:bookmarkEnd w:id="37"/>
      <w:r>
        <w:rPr/>
        <w:t>Annex A. Stakeholder contact database</w:t>
      </w:r>
    </w:p>
    <w:p>
      <w:pPr>
        <w:pStyle w:val="Normal"/>
        <w:rPr/>
      </w:pPr>
      <w:r>
        <w:rPr/>
        <w:t xml:space="preserve">The database lists 69 institutions across the region and the five Partner States, with each one's role in the facility. Named people, phone numbers and emails are deliberately left out. They should be confirmed from official sources when interviews are scheduled, and they are subject to data-protection consent. Websites are the institutions' known official domains and still need checking. </w:t>
      </w:r>
      <w:r>
        <w:rPr>
          <w:i/>
        </w:rPr>
        <w:t>To confirm</w:t>
      </w:r>
      <w:r>
        <w:rPr/>
        <w:t xml:space="preserve"> marks a domain that wasn't established. A CSV copy, with space for named contacts, is in the project repository (</w:t>
      </w:r>
      <w:r>
        <w:rPr>
          <w:rStyle w:val="CodeChar"/>
        </w:rPr>
        <w:t>annex/KAZA_Stakeholder_Contact_Database.csv</w:t>
      </w:r>
      <w:r>
        <w:rPr/>
        <w:t>).</w:t>
      </w:r>
    </w:p>
    <w:p>
      <w:pPr>
        <w:pStyle w:val="Normal"/>
        <w:keepNext w:val="true"/>
        <w:rPr/>
      </w:pPr>
      <w:r>
        <w:rPr/>
        <w:t>The 69 institutions break down as 13 regional organisations, 13 in Botswana, 11 in Namibia, 12 in Zambia, 12 in Zimbabwe and 8 in Angola. They cover lenders, guarantee schemes, development partners, business support organisations, tourism boards, operators and CBNRM bodies. Within each country, finance and delivery partners are listed first.</w:t>
      </w:r>
    </w:p>
    <w:p>
      <w:pPr>
        <w:pStyle w:val="Normal"/>
        <w:keepNext w:val="true"/>
        <w:spacing w:before="120" w:after="80"/>
        <w:rPr/>
      </w:pPr>
      <w:r>
        <w:rPr>
          <w:b/>
          <w:color w:val="1F3A5F"/>
          <w:sz w:val="20"/>
        </w:rPr>
        <w:t xml:space="preserve">Table </w:t>
      </w:r>
      <w:r>
        <w:rPr>
          <w:b/>
          <w:color w:val="1F3A5F"/>
          <w:sz w:val="20"/>
        </w:rPr>
        <w:fldChar w:fldCharType="begin"/>
      </w:r>
      <w:r>
        <w:rPr>
          <w:sz w:val="20"/>
          <w:b/>
          <w:color w:val="1F3A5F"/>
        </w:rPr>
        <w:instrText xml:space="preserve"> SEQ Table \* ARABIC </w:instrText>
      </w:r>
      <w:r>
        <w:rPr>
          <w:sz w:val="20"/>
          <w:b/>
          <w:color w:val="1F3A5F"/>
        </w:rPr>
        <w:fldChar w:fldCharType="separate"/>
      </w:r>
      <w:r>
        <w:rPr>
          <w:sz w:val="20"/>
          <w:b/>
          <w:color w:val="1F3A5F"/>
        </w:rPr>
        <w:t>25</w:t>
      </w:r>
      <w:r>
        <w:rPr>
          <w:sz w:val="20"/>
          <w:b/>
          <w:color w:val="1F3A5F"/>
        </w:rPr>
        <w:fldChar w:fldCharType="end"/>
      </w:r>
      <w:r>
        <w:rPr>
          <w:b/>
          <w:color w:val="1F3A5F"/>
          <w:sz w:val="20"/>
        </w:rPr>
        <w:t>: Stakeholder contact database</w:t>
      </w:r>
    </w:p>
    <w:tbl>
      <w:tblPr>
        <w:tblStyle w:val="TableGrid"/>
        <w:tblW w:w="14344" w:type="dxa"/>
        <w:jc w:val="left"/>
        <w:tblInd w:w="0" w:type="dxa"/>
        <w:tblLayout w:type="fixed"/>
        <w:tblCellMar>
          <w:top w:w="0" w:type="dxa"/>
          <w:left w:w="108" w:type="dxa"/>
          <w:bottom w:w="0" w:type="dxa"/>
          <w:right w:w="108" w:type="dxa"/>
        </w:tblCellMar>
        <w:tblLook w:val="04a0" w:noHBand="0" w:noVBand="1" w:firstColumn="0" w:lastRow="0" w:lastColumn="0" w:firstRow="1"/>
      </w:tblPr>
      <w:tblGrid>
        <w:gridCol w:w="629"/>
        <w:gridCol w:w="2254"/>
        <w:gridCol w:w="1166"/>
        <w:gridCol w:w="1500"/>
        <w:gridCol w:w="2503"/>
        <w:gridCol w:w="1711"/>
        <w:gridCol w:w="2060"/>
        <w:gridCol w:w="2519"/>
      </w:tblGrid>
      <w:tr>
        <w:trPr>
          <w:tblHeader w:val="true"/>
        </w:trPr>
        <w:tc>
          <w:tcPr>
            <w:tcW w:w="629"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6"/>
                <w:szCs w:val="22"/>
                <w:lang w:val="en-US"/>
              </w:rPr>
              <w:t>ID</w:t>
            </w:r>
          </w:p>
        </w:tc>
        <w:tc>
          <w:tcPr>
            <w:tcW w:w="2254"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6"/>
                <w:szCs w:val="22"/>
                <w:lang w:val="en-US"/>
              </w:rPr>
              <w:t>Organisation</w:t>
            </w:r>
          </w:p>
        </w:tc>
        <w:tc>
          <w:tcPr>
            <w:tcW w:w="1166"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6"/>
                <w:szCs w:val="22"/>
                <w:lang w:val="en-US"/>
              </w:rPr>
              <w:t>Country</w:t>
            </w:r>
          </w:p>
        </w:tc>
        <w:tc>
          <w:tcPr>
            <w:tcW w:w="1500"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6"/>
                <w:szCs w:val="22"/>
                <w:lang w:val="en-US"/>
              </w:rPr>
              <w:t>Category</w:t>
            </w:r>
          </w:p>
        </w:tc>
        <w:tc>
          <w:tcPr>
            <w:tcW w:w="2503"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6"/>
                <w:szCs w:val="22"/>
                <w:lang w:val="en-US"/>
              </w:rPr>
              <w:t>Role for the facility</w:t>
            </w:r>
          </w:p>
        </w:tc>
        <w:tc>
          <w:tcPr>
            <w:tcW w:w="1711"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6"/>
                <w:szCs w:val="22"/>
                <w:lang w:val="en-US"/>
              </w:rPr>
              <w:t>Hub or office</w:t>
            </w:r>
          </w:p>
        </w:tc>
        <w:tc>
          <w:tcPr>
            <w:tcW w:w="2060"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6"/>
                <w:szCs w:val="22"/>
                <w:lang w:val="en-US"/>
              </w:rPr>
              <w:t>Suggested contact point</w:t>
            </w:r>
          </w:p>
        </w:tc>
        <w:tc>
          <w:tcPr>
            <w:tcW w:w="2519" w:type="dxa"/>
            <w:tcBorders/>
            <w:shd w:color="auto" w:fill="E7EC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b/>
                <w:kern w:val="0"/>
                <w:sz w:val="16"/>
                <w:szCs w:val="22"/>
                <w:lang w:val="en-US"/>
              </w:rPr>
              <w:t>Website</w:t>
            </w:r>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R01</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KAZA TFCA Secretariat</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Regional</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Government / TFCA</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Facility host; IC member; Supply Chain Compact convenor</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Kasane (BW)</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Executive Director; Tourism and Enterprise Programme Officer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21">
              <w:r>
                <w:rPr>
                  <w:rStyle w:val="Hyperlink"/>
                  <w:rFonts w:eastAsia="Calibri" w:cs="Calibri"/>
                  <w:kern w:val="0"/>
                  <w:sz w:val="16"/>
                  <w:szCs w:val="22"/>
                  <w:lang w:val="en-US"/>
                </w:rPr>
                <w:t>kavangozambezi.org</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R02</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GIZ (R-NBT Joint Action in KAZA)</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Regional</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Development partner</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Implementer; IC member; TA lead</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Gaborone / Kasane (BW)</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R-NBT Project Lead</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22">
              <w:r>
                <w:rPr>
                  <w:rStyle w:val="Hyperlink"/>
                  <w:rFonts w:eastAsia="Calibri" w:cs="Calibri"/>
                  <w:kern w:val="0"/>
                  <w:sz w:val="16"/>
                  <w:szCs w:val="22"/>
                  <w:lang w:val="en-US"/>
                </w:rPr>
                <w:t>giz.de</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R03</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Delegation of the European Union to Botswana and SADC</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Regional</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Development partner</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Co-funder; IC observer</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Gaborone (BW)</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Programme Manager Green Economy / Tourism</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23">
              <w:r>
                <w:rPr>
                  <w:rStyle w:val="Hyperlink"/>
                  <w:rFonts w:eastAsia="Calibri" w:cs="Calibri"/>
                  <w:kern w:val="0"/>
                  <w:sz w:val="16"/>
                  <w:szCs w:val="22"/>
                  <w:lang w:val="en-US"/>
                </w:rPr>
                <w:t>eeas.europa.eu</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R04</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KfW Development Bank</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Regional</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DFI</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KAZA financial cooperation; co-financing of de-risking layer</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Frankfurt / regional office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Portfolio Manager Biodiversity / SADC TFCAs</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24">
              <w:r>
                <w:rPr>
                  <w:rStyle w:val="Hyperlink"/>
                  <w:rFonts w:eastAsia="Calibri" w:cs="Calibri"/>
                  <w:kern w:val="0"/>
                  <w:sz w:val="16"/>
                  <w:szCs w:val="22"/>
                  <w:lang w:val="en-US"/>
                </w:rPr>
                <w:t>kfw.de</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R05</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African Guarantee Fund (AGF)</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Regional</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Guarantee</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Counter-guarantee for national tourism windows; women's guarantees</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Regional (Nairobi HQ; Southern Africa coverage)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Head of Partnerships Southern Africa</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25">
              <w:r>
                <w:rPr>
                  <w:rStyle w:val="Hyperlink"/>
                  <w:rFonts w:eastAsia="Calibri" w:cs="Calibri"/>
                  <w:kern w:val="0"/>
                  <w:sz w:val="16"/>
                  <w:szCs w:val="22"/>
                  <w:lang w:val="en-US"/>
                </w:rPr>
                <w:t>africanguaranteefund.com</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R06</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African Development Bank – AFAWA</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Regional</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DFI</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Women's risk-sharing (up to 75%); TA to lenders</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Regional (Abidjan HQ; Southern Africa hub Pretoria)</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AFAWA Programme Coordinator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26">
              <w:r>
                <w:rPr>
                  <w:rStyle w:val="Hyperlink"/>
                  <w:rFonts w:eastAsia="Calibri" w:cs="Calibri"/>
                  <w:kern w:val="0"/>
                  <w:sz w:val="16"/>
                  <w:szCs w:val="22"/>
                  <w:lang w:val="en-US"/>
                </w:rPr>
                <w:t>afdb.org</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R07</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International Finance Corporation (IFC)</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Regional</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DFI</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Risk-sharing facilities; collateral registry TA (BW)</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Johannesburg / Lusaka</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SME Banking and Gender Lead Southern Africa</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27">
              <w:r>
                <w:rPr>
                  <w:rStyle w:val="Hyperlink"/>
                  <w:rFonts w:eastAsia="Calibri" w:cs="Calibri"/>
                  <w:kern w:val="0"/>
                  <w:sz w:val="16"/>
                  <w:szCs w:val="22"/>
                  <w:lang w:val="en-US"/>
                </w:rPr>
                <w:t>ifc.org</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R08</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World Bank</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Regional</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DFI</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Zambia GREAT tourism project (matching grants); Findex/Enterprise Survey data</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Lusaka / Washington</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Task Team Leader P180337</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28">
              <w:r>
                <w:rPr>
                  <w:rStyle w:val="Hyperlink"/>
                  <w:rFonts w:eastAsia="Calibri" w:cs="Calibri"/>
                  <w:kern w:val="0"/>
                  <w:sz w:val="16"/>
                  <w:szCs w:val="22"/>
                  <w:lang w:val="en-US"/>
                </w:rPr>
                <w:t>worldbank.org</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R09</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Peace Parks Foundation</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Regional</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NGO</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Community enterprise outreach (Simalaha and others)</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Stellenbosch / KAZA field offices</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KAZA Programme Manager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29">
              <w:r>
                <w:rPr>
                  <w:rStyle w:val="Hyperlink"/>
                  <w:rFonts w:eastAsia="Calibri" w:cs="Calibri"/>
                  <w:kern w:val="0"/>
                  <w:sz w:val="16"/>
                  <w:szCs w:val="22"/>
                  <w:lang w:val="en-US"/>
                </w:rPr>
                <w:t>peaceparks.org</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R10</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WWF (Namibia / Zambia / Zimbabwe / KAZA)</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Regional</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NGO</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Wildlife Credits; CBNRM enterprise support</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Windhoek / Lusaka / Harare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KAZA Landscape Lead</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30">
              <w:r>
                <w:rPr>
                  <w:rStyle w:val="Hyperlink"/>
                  <w:rFonts w:eastAsia="Calibri" w:cs="Calibri"/>
                  <w:kern w:val="0"/>
                  <w:sz w:val="16"/>
                  <w:szCs w:val="22"/>
                  <w:lang w:val="en-US"/>
                </w:rPr>
                <w:t>wwf.panda.org</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R11</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African Wildlife Foundation (AWF)</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Regional</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NGO</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Community conservation enterprises (Kazungula landscape)</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Nairobi / Zimbabwe field office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Conservation Enterprise Lead</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31">
              <w:r>
                <w:rPr>
                  <w:rStyle w:val="Hyperlink"/>
                  <w:rFonts w:eastAsia="Calibri" w:cs="Calibri"/>
                  <w:kern w:val="0"/>
                  <w:sz w:val="16"/>
                  <w:szCs w:val="22"/>
                  <w:lang w:val="en-US"/>
                </w:rPr>
                <w:t>awf.org</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R12</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Conservation International</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Regional</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NGO</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KAZA conservation finance</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Botswana / Zambia</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Southern Africa Programme Director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32">
              <w:r>
                <w:rPr>
                  <w:rStyle w:val="Hyperlink"/>
                  <w:rFonts w:eastAsia="Calibri" w:cs="Calibri"/>
                  <w:kern w:val="0"/>
                  <w:sz w:val="16"/>
                  <w:szCs w:val="22"/>
                  <w:lang w:val="en-US"/>
                </w:rPr>
                <w:t>conservation.org</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R13</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Adventure Travel Trade Association (ATTA)</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Regional</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Industry association</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Market access; regenerative tourism standards</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Global</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Africa Regional Director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33">
              <w:r>
                <w:rPr>
                  <w:rStyle w:val="Hyperlink"/>
                  <w:rFonts w:eastAsia="Calibri" w:cs="Calibri"/>
                  <w:kern w:val="0"/>
                  <w:sz w:val="16"/>
                  <w:szCs w:val="22"/>
                  <w:lang w:val="en-US"/>
                </w:rPr>
                <w:t>atta.travel</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B01</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Citizen Entrepreneurial Development Agency (CEDA)</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Botswana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DFI / empowerment</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Tourism window; co-financing Window C; candidate guarantee host</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Maun / Kasane branches</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Head of Tourism Lending; Branch Managers</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34">
              <w:r>
                <w:rPr>
                  <w:rStyle w:val="Hyperlink"/>
                  <w:rFonts w:eastAsia="Calibri" w:cs="Calibri"/>
                  <w:kern w:val="0"/>
                  <w:sz w:val="16"/>
                  <w:szCs w:val="22"/>
                  <w:lang w:val="en-US"/>
                </w:rPr>
                <w:t>ceda.co.bw</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B02</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Local Enterprise Authority (LEA)</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Botswana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BSO</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Delivery partner: pipeline; coaching; Wilderness supplier MoU</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Maun / Kasane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Chief Executive Officer; Regional Manager North</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35">
              <w:r>
                <w:rPr>
                  <w:rStyle w:val="Hyperlink"/>
                  <w:rFonts w:eastAsia="Calibri" w:cs="Calibri"/>
                  <w:kern w:val="0"/>
                  <w:sz w:val="16"/>
                  <w:szCs w:val="22"/>
                  <w:lang w:val="en-US"/>
                </w:rPr>
                <w:t>lea.co.bw</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B03</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National Development Bank (NDB)</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Botswana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DFI</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SME lending; candidate guarantee host</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Maun</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Head of SME</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36">
              <w:r>
                <w:rPr>
                  <w:rStyle w:val="Hyperlink"/>
                  <w:rFonts w:eastAsia="Calibri" w:cs="Calibri"/>
                  <w:kern w:val="0"/>
                  <w:sz w:val="16"/>
                  <w:szCs w:val="22"/>
                  <w:lang w:val="en-US"/>
                </w:rPr>
                <w:t>ndb.bw</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B04</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Stanbic Bank Botswana</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Botswana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Commercial bank</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Supplier finance (Wilderness model); partner lender</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Maun / Kasane / Gaborone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Head of Business and Commercial Banking</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37">
              <w:r>
                <w:rPr>
                  <w:rStyle w:val="Hyperlink"/>
                  <w:rFonts w:eastAsia="Calibri" w:cs="Calibri"/>
                  <w:kern w:val="0"/>
                  <w:sz w:val="16"/>
                  <w:szCs w:val="22"/>
                  <w:lang w:val="en-US"/>
                </w:rPr>
                <w:t>stanbicbank.co.bw</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B05</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Absa Bank Botswana</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Botswana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Commercial bank</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Partner lender; women's banking</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Maun / Kasane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Head of SME / Women in Business</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38">
              <w:r>
                <w:rPr>
                  <w:rStyle w:val="Hyperlink"/>
                  <w:rFonts w:eastAsia="Calibri" w:cs="Calibri"/>
                  <w:kern w:val="0"/>
                  <w:sz w:val="16"/>
                  <w:szCs w:val="22"/>
                  <w:lang w:val="en-US"/>
                </w:rPr>
                <w:t>absa.co.bw</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B06</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First National Bank Botswana</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Botswana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Commercial bank</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Partner lender</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Maun / Kasane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Head of Small Business</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39">
              <w:r>
                <w:rPr>
                  <w:rStyle w:val="Hyperlink"/>
                  <w:rFonts w:eastAsia="Calibri" w:cs="Calibri"/>
                  <w:kern w:val="0"/>
                  <w:sz w:val="16"/>
                  <w:szCs w:val="22"/>
                  <w:lang w:val="en-US"/>
                </w:rPr>
                <w:t>fnbbotswana.co.bw</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B07</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Letshego Botswana</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Botswana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MFI</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Micro and payroll-linked lending</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Maun</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Head of MSE Lending</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40">
              <w:r>
                <w:rPr>
                  <w:rStyle w:val="Hyperlink"/>
                  <w:rFonts w:eastAsia="Calibri" w:cs="Calibri"/>
                  <w:kern w:val="0"/>
                  <w:sz w:val="16"/>
                  <w:szCs w:val="22"/>
                  <w:lang w:val="en-US"/>
                </w:rPr>
                <w:t>letshego.com</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B08</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Botswana Tourism Organisation (BTO)</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Botswana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Tourism board</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Hub roundtable chair; grading and certification</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Maun / Kasane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Product Development and Ecotourism Certification Manager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41">
              <w:r>
                <w:rPr>
                  <w:rStyle w:val="Hyperlink"/>
                  <w:rFonts w:eastAsia="Calibri" w:cs="Calibri"/>
                  <w:kern w:val="0"/>
                  <w:sz w:val="16"/>
                  <w:szCs w:val="22"/>
                  <w:lang w:val="en-US"/>
                </w:rPr>
                <w:t>botswanatourism.co.bw</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B09</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Hospitality and Tourism Association of Botswana (HATAB)</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Botswana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Industry association</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Operator mobilisation; Supply Chain Compact</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Maun</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Chief Executive Officer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42">
              <w:r>
                <w:rPr>
                  <w:rStyle w:val="Hyperlink"/>
                  <w:rFonts w:eastAsia="Calibri" w:cs="Calibri"/>
                  <w:kern w:val="0"/>
                  <w:sz w:val="16"/>
                  <w:szCs w:val="22"/>
                  <w:lang w:val="en-US"/>
                </w:rPr>
                <w:t>hatab.bw</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B10</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Wilderness</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Botswana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Large operator</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Anchor; supplier finance pilot; Compact signatory</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Maun</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Head of Sustainability / Procurement</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43">
              <w:r>
                <w:rPr>
                  <w:rStyle w:val="Hyperlink"/>
                  <w:rFonts w:eastAsia="Calibri" w:cs="Calibri"/>
                  <w:kern w:val="0"/>
                  <w:sz w:val="16"/>
                  <w:szCs w:val="22"/>
                  <w:lang w:val="en-US"/>
                </w:rPr>
                <w:t>wildernessdestinations.com</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B11</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Botswana Community Based Organisations Network (BOCOBONET)</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Botswana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CBNRM</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Community trusts outreach; community guarantee fund</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Maun</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Coordinator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to confirm</w:t>
            </w:r>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B12</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Ministry of Youth / Youth Development Fund</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Botswana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Government</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Youth window co-financing</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Gaborone / district offices</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Youth Development Fund Coordinator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44">
              <w:r>
                <w:rPr>
                  <w:rStyle w:val="Hyperlink"/>
                  <w:rFonts w:eastAsia="Calibri" w:cs="Calibri"/>
                  <w:kern w:val="0"/>
                  <w:sz w:val="16"/>
                  <w:szCs w:val="22"/>
                  <w:lang w:val="en-US"/>
                </w:rPr>
                <w:t>gov.bw</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B13</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Bank of Botswana / Ministry of Finance (Collateral Registry)</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Botswana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Regulator</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Movable collateral registry commencement</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Gaborone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Financial Inclusion / Collateral Registry Lead</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45">
              <w:r>
                <w:rPr>
                  <w:rStyle w:val="Hyperlink"/>
                  <w:rFonts w:eastAsia="Calibri" w:cs="Calibri"/>
                  <w:kern w:val="0"/>
                  <w:sz w:val="16"/>
                  <w:szCs w:val="22"/>
                  <w:lang w:val="en-US"/>
                </w:rPr>
                <w:t>bankofbotswana.bw</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N01</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Development Bank of Namibia (DBN)</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Namibia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DFI</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Tourism window; CGS administrator; partner lender</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Katima Mulilo / Rundu / Windhoek</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Head of SME Finance; CGS Manager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46">
              <w:r>
                <w:rPr>
                  <w:rStyle w:val="Hyperlink"/>
                  <w:rFonts w:eastAsia="Calibri" w:cs="Calibri"/>
                  <w:kern w:val="0"/>
                  <w:sz w:val="16"/>
                  <w:szCs w:val="22"/>
                  <w:lang w:val="en-US"/>
                </w:rPr>
                <w:t>dbn.com.na</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N02</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Environmental Investment Fund of Namibia (EIF)</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Namibia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Green fund</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Green asset finance; conservancy grants</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Windhoek</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Head of Programmes / Green Finance</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47">
              <w:r>
                <w:rPr>
                  <w:rStyle w:val="Hyperlink"/>
                  <w:rFonts w:eastAsia="Calibri" w:cs="Calibri"/>
                  <w:kern w:val="0"/>
                  <w:sz w:val="16"/>
                  <w:szCs w:val="22"/>
                  <w:lang w:val="en-US"/>
                </w:rPr>
                <w:t>eif.org.na</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N03</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Namibian Association of CBNRM Support Organisations (NACSO)</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Namibia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CBNRM</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Conservancy outreach; model JV clauses; data</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Windhoek / Katima Mulilo</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Director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48">
              <w:r>
                <w:rPr>
                  <w:rStyle w:val="Hyperlink"/>
                  <w:rFonts w:eastAsia="Calibri" w:cs="Calibri"/>
                  <w:kern w:val="0"/>
                  <w:sz w:val="16"/>
                  <w:szCs w:val="22"/>
                  <w:lang w:val="en-US"/>
                </w:rPr>
                <w:t>nacso.org.na</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N04</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Community Conservation Fund of Namibia (CCFN)</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Namibia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Community fund</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Wildlife Credits; community guarantee fund management</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Windhoek</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Executive Director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49">
              <w:r>
                <w:rPr>
                  <w:rStyle w:val="Hyperlink"/>
                  <w:rFonts w:eastAsia="Calibri" w:cs="Calibri"/>
                  <w:kern w:val="0"/>
                  <w:sz w:val="16"/>
                  <w:szCs w:val="22"/>
                  <w:lang w:val="en-US"/>
                </w:rPr>
                <w:t>ccfn.org.na</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N05</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Ministry of Environment Forestry and Tourism (MEFT)</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Namibia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Government</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Concessions; conservancy policy; KAZA NCU</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Windhoek / Katima Mulilo</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KAZA National Coordinator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50">
              <w:r>
                <w:rPr>
                  <w:rStyle w:val="Hyperlink"/>
                  <w:rFonts w:eastAsia="Calibri" w:cs="Calibri"/>
                  <w:kern w:val="0"/>
                  <w:sz w:val="16"/>
                  <w:szCs w:val="22"/>
                  <w:lang w:val="en-US"/>
                </w:rPr>
                <w:t>meft.gov.na</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N06</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Namibia Tourism Board (NTB)</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Namibia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Tourism board</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Licensing simplification; hub roundtable</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Windhoek / Katima Mulilo</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Industry Services Manager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51">
              <w:r>
                <w:rPr>
                  <w:rStyle w:val="Hyperlink"/>
                  <w:rFonts w:eastAsia="Calibri" w:cs="Calibri"/>
                  <w:kern w:val="0"/>
                  <w:sz w:val="16"/>
                  <w:szCs w:val="22"/>
                  <w:lang w:val="en-US"/>
                </w:rPr>
                <w:t>namibiatourism.com.na</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N07</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Federation of Namibian Tourism Associations (FENATA)</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Namibia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Industry association</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Operator mobilisation; Compact</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Windhoek</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Chief Executive Officer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to confirm</w:t>
            </w:r>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N08</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Bank Windhoek</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Namibia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Commercial bank</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Partner lender (CGS participant)</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Katima Mulilo / Rundu</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Head of SME Banking</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52">
              <w:r>
                <w:rPr>
                  <w:rStyle w:val="Hyperlink"/>
                  <w:rFonts w:eastAsia="Calibri" w:cs="Calibri"/>
                  <w:kern w:val="0"/>
                  <w:sz w:val="16"/>
                  <w:szCs w:val="22"/>
                  <w:lang w:val="en-US"/>
                </w:rPr>
                <w:t>bankwindhoek.com.na</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N09</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First National Bank Namibia</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Namibia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Commercial bank</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Partner lender (CGS participant)</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Katima Mulilo / Rundu</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Head of Small Business</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53">
              <w:r>
                <w:rPr>
                  <w:rStyle w:val="Hyperlink"/>
                  <w:rFonts w:eastAsia="Calibri" w:cs="Calibri"/>
                  <w:kern w:val="0"/>
                  <w:sz w:val="16"/>
                  <w:szCs w:val="22"/>
                  <w:lang w:val="en-US"/>
                </w:rPr>
                <w:t>fnbnamibia.com.na</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N10</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Namibia Special Risks Insurance Association (NASRIA)</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Namibia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Guarantee / insurer</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CGS risk partner</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Windhoek</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Credit Guarantee Manager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54">
              <w:r>
                <w:rPr>
                  <w:rStyle w:val="Hyperlink"/>
                  <w:rFonts w:eastAsia="Calibri" w:cs="Calibri"/>
                  <w:kern w:val="0"/>
                  <w:sz w:val="16"/>
                  <w:szCs w:val="22"/>
                  <w:lang w:val="en-US"/>
                </w:rPr>
                <w:t>nasria.com.na</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N11</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Gondwana Collection</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Namibia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Large operator</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Anchor; local procurement</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Windhoek / Zambezi lodges</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Sustainability Manager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55">
              <w:r>
                <w:rPr>
                  <w:rStyle w:val="Hyperlink"/>
                  <w:rFonts w:eastAsia="Calibri" w:cs="Calibri"/>
                  <w:kern w:val="0"/>
                  <w:sz w:val="16"/>
                  <w:szCs w:val="22"/>
                  <w:lang w:val="en-US"/>
                </w:rPr>
                <w:t>gondwana-collection.com</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Z01</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Citizens Economic Empowerment Commission (CEEC)</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Zambia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DFI / empowerment</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Co-financing; vehicle loans; delivery partner</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Livingstone / Mongu</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Director General; Provincial Officers</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56">
              <w:r>
                <w:rPr>
                  <w:rStyle w:val="Hyperlink"/>
                  <w:rFonts w:eastAsia="Calibri" w:cs="Calibri"/>
                  <w:kern w:val="0"/>
                  <w:sz w:val="16"/>
                  <w:szCs w:val="22"/>
                  <w:lang w:val="en-US"/>
                </w:rPr>
                <w:t>ceec.org.zm</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Z02</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Zambia Credit Guarantee Scheme (ZCGS)</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Zambia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Guarantee</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Tourism window with women and youth uplift</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Lusaka</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Chief Executive Officer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to confirm</w:t>
            </w:r>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Z03</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Bank of Zambia (SBGI pilot guarantee; NFIS II)</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Zambia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Regulator</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Policy; guarantee pilot; disaggregated reporting</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Lusaka / Livingstone office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Director Financial Inclusion</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57">
              <w:r>
                <w:rPr>
                  <w:rStyle w:val="Hyperlink"/>
                  <w:rFonts w:eastAsia="Calibri" w:cs="Calibri"/>
                  <w:kern w:val="0"/>
                  <w:sz w:val="16"/>
                  <w:szCs w:val="22"/>
                  <w:lang w:val="en-US"/>
                </w:rPr>
                <w:t>boz.zm</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Z04</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FNB Zambia</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Zambia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Commercial bank</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Partner lender (ZCGS K100m partnership; women and youth focus)</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Livingstone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Head of Business Banking</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58">
              <w:r>
                <w:rPr>
                  <w:rStyle w:val="Hyperlink"/>
                  <w:rFonts w:eastAsia="Calibri" w:cs="Calibri"/>
                  <w:kern w:val="0"/>
                  <w:sz w:val="16"/>
                  <w:szCs w:val="22"/>
                  <w:lang w:val="en-US"/>
                </w:rPr>
                <w:t>fnbzambia.co.zm</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Z05</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Absa Bank Zambia</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Zambia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Commercial bank</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Partner lender (CEEC facility)</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Livingstone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Head of SME</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59">
              <w:r>
                <w:rPr>
                  <w:rStyle w:val="Hyperlink"/>
                  <w:rFonts w:eastAsia="Calibri" w:cs="Calibri"/>
                  <w:kern w:val="0"/>
                  <w:sz w:val="16"/>
                  <w:szCs w:val="22"/>
                  <w:lang w:val="en-US"/>
                </w:rPr>
                <w:t>absa.co.zm</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Z06</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Stanbic Bank Zambia</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Zambia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Commercial bank</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Supplier finance replication</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Livingstone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Head of Business Banking</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60">
              <w:r>
                <w:rPr>
                  <w:rStyle w:val="Hyperlink"/>
                  <w:rFonts w:eastAsia="Calibri" w:cs="Calibri"/>
                  <w:kern w:val="0"/>
                  <w:sz w:val="16"/>
                  <w:szCs w:val="22"/>
                  <w:lang w:val="en-US"/>
                </w:rPr>
                <w:t>stanbicbank.co.zm</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Z07</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FINCA Zambia</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Zambia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MFI</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Micro lending; women and youth (prior UNCDF guarantee)</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Livingstone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Chief Executive Officer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61">
              <w:r>
                <w:rPr>
                  <w:rStyle w:val="Hyperlink"/>
                  <w:rFonts w:eastAsia="Calibri" w:cs="Calibri"/>
                  <w:kern w:val="0"/>
                  <w:sz w:val="16"/>
                  <w:szCs w:val="22"/>
                  <w:lang w:val="en-US"/>
                </w:rPr>
                <w:t>finca.org</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Z08</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Ministry of Tourism / GREAT project PIU</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Zambia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Government</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Matching grants co-ordination; KAZA NCU</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Lusaka / Livingstone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Project Coordinator; KAZA National Coordinator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62">
              <w:r>
                <w:rPr>
                  <w:rStyle w:val="Hyperlink"/>
                  <w:rFonts w:eastAsia="Calibri" w:cs="Calibri"/>
                  <w:kern w:val="0"/>
                  <w:sz w:val="16"/>
                  <w:szCs w:val="22"/>
                  <w:lang w:val="en-US"/>
                </w:rPr>
                <w:t>mot.gov.zm</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Z09</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Zambia Tourism Agency</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Zambia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Tourism board</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Hub roundtable; licensing</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Livingstone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Director Product Development</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63">
              <w:r>
                <w:rPr>
                  <w:rStyle w:val="Hyperlink"/>
                  <w:rFonts w:eastAsia="Calibri" w:cs="Calibri"/>
                  <w:kern w:val="0"/>
                  <w:sz w:val="16"/>
                  <w:szCs w:val="22"/>
                  <w:lang w:val="en-US"/>
                </w:rPr>
                <w:t>zambia.travel</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Z10</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Zambia Development Agency (ZDA)</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Zambia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BSO</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MSME development; pipeline</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Lusaka / Livingstone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Director MSME Development</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64">
              <w:r>
                <w:rPr>
                  <w:rStyle w:val="Hyperlink"/>
                  <w:rFonts w:eastAsia="Calibri" w:cs="Calibri"/>
                  <w:kern w:val="0"/>
                  <w:sz w:val="16"/>
                  <w:szCs w:val="22"/>
                  <w:lang w:val="en-US"/>
                </w:rPr>
                <w:t>zda.org.zm</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Z11</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Tourism Council of Zambia / Livingstone Tourism Association</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Zambia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Industry association</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Operator mobilisation; Compact</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Livingstone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Chair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to confirm</w:t>
            </w:r>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Z12</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Simalaha Community Conservancy (with Peace Parks)</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Zambia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Community</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Community enterprise pilot</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Kazungula / Sesheke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Conservancy Manager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65">
              <w:r>
                <w:rPr>
                  <w:rStyle w:val="Hyperlink"/>
                  <w:rFonts w:eastAsia="Calibri" w:cs="Calibri"/>
                  <w:kern w:val="0"/>
                  <w:sz w:val="16"/>
                  <w:szCs w:val="22"/>
                  <w:lang w:val="en-US"/>
                </w:rPr>
                <w:t>peaceparks.org</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W01</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Small and Medium Enterprises Development Corporation (SMEDCO)</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Zimbabwe</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DFI / BSO</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Delivery partner; on-lending</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Victoria Falls / Hwange / Bulawayo</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Provincial Manager Matabeleland North</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66">
              <w:r>
                <w:rPr>
                  <w:rStyle w:val="Hyperlink"/>
                  <w:rFonts w:eastAsia="Calibri" w:cs="Calibri"/>
                  <w:kern w:val="0"/>
                  <w:sz w:val="16"/>
                  <w:szCs w:val="22"/>
                  <w:lang w:val="en-US"/>
                </w:rPr>
                <w:t>smedco.co.zw</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W02</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Export Credit Guarantee Corporation (ECGC) – MSME Credit Guarantee Scheme</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Zimbabwe</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Guarantee</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Tourism window; USD guarantees</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Harare / Bulawayo</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Managing Director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67">
              <w:r>
                <w:rPr>
                  <w:rStyle w:val="Hyperlink"/>
                  <w:rFonts w:eastAsia="Calibri" w:cs="Calibri"/>
                  <w:kern w:val="0"/>
                  <w:sz w:val="16"/>
                  <w:szCs w:val="22"/>
                  <w:lang w:val="en-US"/>
                </w:rPr>
                <w:t>ecgc.co.zw</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W03</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Zimbabwe Women's Microfinance Bank</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Zimbabwe</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MFI / women's bank</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Women's lending; seasonal product pilot</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Victoria Falls / Bulawayo</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Chief Executive Officer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68">
              <w:r>
                <w:rPr>
                  <w:rStyle w:val="Hyperlink"/>
                  <w:rFonts w:eastAsia="Calibri" w:cs="Calibri"/>
                  <w:kern w:val="0"/>
                  <w:sz w:val="16"/>
                  <w:szCs w:val="22"/>
                  <w:lang w:val="en-US"/>
                </w:rPr>
                <w:t>womensbank.co.zw</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W04</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CBZ Bank</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Zimbabwe</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Commercial bank</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Partner lender</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Victoria Falls</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Head of SME Banking</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69">
              <w:r>
                <w:rPr>
                  <w:rStyle w:val="Hyperlink"/>
                  <w:rFonts w:eastAsia="Calibri" w:cs="Calibri"/>
                  <w:kern w:val="0"/>
                  <w:sz w:val="16"/>
                  <w:szCs w:val="22"/>
                  <w:lang w:val="en-US"/>
                </w:rPr>
                <w:t>cbz.co.zw</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W05</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Stanbic Bank Zimbabwe</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Zimbabwe</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Commercial bank</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Supplier finance replication</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Victoria Falls</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Head of Business Banking</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70">
              <w:r>
                <w:rPr>
                  <w:rStyle w:val="Hyperlink"/>
                  <w:rFonts w:eastAsia="Calibri" w:cs="Calibri"/>
                  <w:kern w:val="0"/>
                  <w:sz w:val="16"/>
                  <w:szCs w:val="22"/>
                  <w:lang w:val="en-US"/>
                </w:rPr>
                <w:t>stanbicbank.co.zw</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W06</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Infrastructure Development Bank of Zimbabwe (IDBZ)</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Zimbabwe</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DFI</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Green finance (GCF accredited)</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Harare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Head of Climate Finance</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71">
              <w:r>
                <w:rPr>
                  <w:rStyle w:val="Hyperlink"/>
                  <w:rFonts w:eastAsia="Calibri" w:cs="Calibri"/>
                  <w:kern w:val="0"/>
                  <w:sz w:val="16"/>
                  <w:szCs w:val="22"/>
                  <w:lang w:val="en-US"/>
                </w:rPr>
                <w:t>idbz.co.zw</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W07</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Zimbabwe Tourism Authority (ZTA)</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Zimbabwe</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Tourism board</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Hub roundtable; licence rationalisation</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Victoria Falls</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Regional Manager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72">
              <w:r>
                <w:rPr>
                  <w:rStyle w:val="Hyperlink"/>
                  <w:rFonts w:eastAsia="Calibri" w:cs="Calibri"/>
                  <w:kern w:val="0"/>
                  <w:sz w:val="16"/>
                  <w:szCs w:val="22"/>
                  <w:lang w:val="en-US"/>
                </w:rPr>
                <w:t>zimbabwetourism.net</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W08</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Zimbabwe Parks and Wildlife Management Authority (ZimParks)</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Zimbabwe</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Government</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Concessions; KAZA NCU</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Harare / Hwange / Victoria Falls</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KAZA National Coordinator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73">
              <w:r>
                <w:rPr>
                  <w:rStyle w:val="Hyperlink"/>
                  <w:rFonts w:eastAsia="Calibri" w:cs="Calibri"/>
                  <w:kern w:val="0"/>
                  <w:sz w:val="16"/>
                  <w:szCs w:val="22"/>
                  <w:lang w:val="en-US"/>
                </w:rPr>
                <w:t>zimparks.org.zw</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W09</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CAMPFIRE Association</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Zimbabwe</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CBNRM</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Ward enterprises; community guarantee fund</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Harare / Hwange and Binga RDCs</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Director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to confirm</w:t>
            </w:r>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W10</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Wild Horizons</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Zimbabwe</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Large operator</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Anchor; supplier finance</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Victoria Falls</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Operations / Procurement Director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74">
              <w:r>
                <w:rPr>
                  <w:rStyle w:val="Hyperlink"/>
                  <w:rFonts w:eastAsia="Calibri" w:cs="Calibri"/>
                  <w:kern w:val="0"/>
                  <w:sz w:val="16"/>
                  <w:szCs w:val="22"/>
                  <w:lang w:val="en-US"/>
                </w:rPr>
                <w:t>wildhorizons.co.za</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W11</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Africa Albida Tourism</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Zimbabwe</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Large operator</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Anchor; local procurement</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Victoria Falls</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Sustainability / Community Lead</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75">
              <w:r>
                <w:rPr>
                  <w:rStyle w:val="Hyperlink"/>
                  <w:rFonts w:eastAsia="Calibri" w:cs="Calibri"/>
                  <w:kern w:val="0"/>
                  <w:sz w:val="16"/>
                  <w:szCs w:val="22"/>
                  <w:lang w:val="en-US"/>
                </w:rPr>
                <w:t>africaalbidatourism.com</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W12</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Tourism Business Council of Zimbabwe (TBCZ)</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Zimbabwe</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Industry association</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Operator mobilisation; Compact</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Harare / Victoria Falls chapter</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Chief Executive Officer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to confirm</w:t>
            </w:r>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A01</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Fundo de Garantia de Crédito (FGC)</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Angola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Guarantee</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KAZA guarantee window (Diversifica Mais model)</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Luanda</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Conselho de Administração / Director Comercial</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to confirm</w:t>
            </w:r>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A02</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Banco de Desenvolvimento de Angola (BDA)</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Angola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DFI</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On-lending lines</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Luanda</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Director de Crédito às PME</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76">
              <w:r>
                <w:rPr>
                  <w:rStyle w:val="Hyperlink"/>
                  <w:rFonts w:eastAsia="Calibri" w:cs="Calibri"/>
                  <w:kern w:val="0"/>
                  <w:sz w:val="16"/>
                  <w:szCs w:val="22"/>
                  <w:lang w:val="en-US"/>
                </w:rPr>
                <w:t>bda.ao</w:t>
              </w:r>
            </w:hyperlink>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A03</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Instituto Nacional de Apoio às MPME (INAPEM)</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Angola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BSO</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Delivery partner; MSME certification</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Luanda / Menongue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Director Provincial Cubango</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to confirm</w:t>
            </w:r>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A04</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KixiCrédito</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Angola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MFI</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Micro lending; group loans</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Menongue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Director Geral</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to confirm</w:t>
            </w:r>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A05</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Ministério do Turismo (MINTUR) / Okavango Tourism Pole</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Angola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Government</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Tourism policy; licensing</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Luanda / Menongue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Director Nacional de Turismo</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to confirm</w:t>
            </w:r>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A06</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INBAC / Ministry of Environment</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Angola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Government</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Conservation areas; KAZA NCU</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Luanda / Menongue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KAZA National Coordinator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to confirm</w:t>
            </w:r>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A07</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Banco Sol / Banco BPC</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Angola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Commercial bank</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Partner lender with provincial footprint</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Menongue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Director de Banca de Pequenos Negócios</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to confirm</w:t>
            </w:r>
          </w:p>
        </w:tc>
      </w:tr>
      <w:tr>
        <w:trPr/>
        <w:tc>
          <w:tcPr>
            <w:tcW w:w="62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A08</w:t>
            </w:r>
          </w:p>
        </w:tc>
        <w:tc>
          <w:tcPr>
            <w:tcW w:w="2254"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The HALO Trust</w:t>
            </w:r>
          </w:p>
        </w:tc>
        <w:tc>
          <w:tcPr>
            <w:tcW w:w="1166"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Angola</w:t>
            </w:r>
          </w:p>
        </w:tc>
        <w:tc>
          <w:tcPr>
            <w:tcW w:w="150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NGO</w:t>
            </w:r>
          </w:p>
        </w:tc>
        <w:tc>
          <w:tcPr>
            <w:tcW w:w="2503"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Access and community engagement in Cuando and Cubango</w:t>
            </w:r>
          </w:p>
        </w:tc>
        <w:tc>
          <w:tcPr>
            <w:tcW w:w="1711"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Menongue</w:t>
            </w:r>
          </w:p>
        </w:tc>
        <w:tc>
          <w:tcPr>
            <w:tcW w:w="206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16"/>
                <w:szCs w:val="22"/>
                <w:lang w:val="en-US"/>
              </w:rPr>
              <w:t>Angola Programme Manager</w:t>
            </w:r>
          </w:p>
        </w:tc>
        <w:tc>
          <w:tcPr>
            <w:tcW w:w="2519"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hyperlink r:id="rId77">
              <w:r>
                <w:rPr>
                  <w:rStyle w:val="Hyperlink"/>
                  <w:rFonts w:eastAsia="Calibri" w:cs="Calibri"/>
                  <w:kern w:val="0"/>
                  <w:sz w:val="16"/>
                  <w:szCs w:val="22"/>
                  <w:lang w:val="en-US"/>
                </w:rPr>
                <w:t>halotrust.org</w:t>
              </w:r>
            </w:hyperlink>
          </w:p>
        </w:tc>
      </w:tr>
    </w:tbl>
    <w:p>
      <w:pPr>
        <w:sectPr>
          <w:footerReference w:type="even" r:id="rId78"/>
          <w:footerReference w:type="default" r:id="rId79"/>
          <w:footerReference w:type="first" r:id="rId80"/>
          <w:type w:val="nextPage"/>
          <w:pgSz w:orient="landscape" w:w="16838" w:h="11906"/>
          <w:pgMar w:left="1247" w:right="1247" w:gutter="0" w:header="0" w:top="1247" w:footer="720" w:bottom="1247"/>
          <w:pgNumType w:fmt="decimal"/>
          <w:formProt w:val="false"/>
          <w:textDirection w:val="lrTb"/>
          <w:docGrid w:type="default" w:linePitch="100" w:charSpace="4096"/>
        </w:sectPr>
      </w:pPr>
    </w:p>
    <w:p>
      <w:pPr>
        <w:pStyle w:val="Heading1"/>
        <w:spacing w:before="200" w:after="120"/>
        <w:rPr/>
      </w:pPr>
      <w:bookmarkStart w:id="38" w:name="__RefHeading___Toc9584_1627482358"/>
      <w:bookmarkEnd w:id="38"/>
      <w:r>
        <w:rPr/>
        <w:t>Annex B. Sources</w:t>
      </w:r>
    </w:p>
    <w:p>
      <w:pPr>
        <w:pStyle w:val="Normal"/>
        <w:rPr/>
      </w:pPr>
      <w:r>
        <w:rPr/>
        <w:t xml:space="preserve">The sources were consulted in October 2026. Figures from the earlier </w:t>
      </w:r>
      <w:r>
        <w:rPr>
          <w:i/>
        </w:rPr>
        <w:t>Financial Landscape Analysis</w:t>
      </w:r>
      <w:r>
        <w:rPr/>
        <w:t xml:space="preserve"> (GIZ Works repository, October 2026) carry that report's references.</w:t>
      </w:r>
    </w:p>
    <w:p>
      <w:pPr>
        <w:pStyle w:val="ListParagraph"/>
        <w:numPr>
          <w:ilvl w:val="0"/>
          <w:numId w:val="212"/>
        </w:numPr>
        <w:rPr/>
      </w:pPr>
      <w:r>
        <w:rPr/>
        <w:t xml:space="preserve">ATTA (2026). </w:t>
      </w:r>
      <w:hyperlink r:id="rId81">
        <w:r>
          <w:rPr>
            <w:rStyle w:val="Hyperlink"/>
          </w:rPr>
          <w:t>KAZA launches regenerative tourism initiative backed by Germany and EU</w:t>
        </w:r>
      </w:hyperlink>
      <w:r>
        <w:rPr/>
        <w:t>.</w:t>
      </w:r>
    </w:p>
    <w:p>
      <w:pPr>
        <w:pStyle w:val="ListParagraph"/>
        <w:numPr>
          <w:ilvl w:val="0"/>
          <w:numId w:val="213"/>
        </w:numPr>
        <w:rPr/>
      </w:pPr>
      <w:r>
        <w:rPr/>
        <w:t xml:space="preserve">Africa Portal (2023). </w:t>
      </w:r>
      <w:hyperlink r:id="rId82">
        <w:r>
          <w:rPr>
            <w:rStyle w:val="Hyperlink"/>
          </w:rPr>
          <w:t>Why men and youth shun savings groups</w:t>
        </w:r>
      </w:hyperlink>
      <w:r>
        <w:rPr/>
        <w:t>.</w:t>
      </w:r>
    </w:p>
    <w:p>
      <w:pPr>
        <w:pStyle w:val="ListParagraph"/>
        <w:numPr>
          <w:ilvl w:val="0"/>
          <w:numId w:val="214"/>
        </w:numPr>
        <w:rPr/>
      </w:pPr>
      <w:r>
        <w:rPr/>
        <w:t xml:space="preserve">AFI (2023). </w:t>
      </w:r>
      <w:hyperlink r:id="rId83">
        <w:r>
          <w:rPr>
            <w:rStyle w:val="Hyperlink"/>
          </w:rPr>
          <w:t>Zambia: Increasing women's financial inclusion and closing the women's SME credit gap</w:t>
        </w:r>
      </w:hyperlink>
      <w:r>
        <w:rPr/>
        <w:t>.</w:t>
      </w:r>
    </w:p>
    <w:p>
      <w:pPr>
        <w:pStyle w:val="ListParagraph"/>
        <w:numPr>
          <w:ilvl w:val="0"/>
          <w:numId w:val="215"/>
        </w:numPr>
        <w:rPr/>
      </w:pPr>
      <w:r>
        <w:rPr/>
        <w:t xml:space="preserve">African Business (2024). </w:t>
      </w:r>
      <w:hyperlink r:id="rId84">
        <w:r>
          <w:rPr>
            <w:rStyle w:val="Hyperlink"/>
          </w:rPr>
          <w:t>AFAWA fast-tracks lending to women-led businesses</w:t>
        </w:r>
      </w:hyperlink>
      <w:r>
        <w:rPr/>
        <w:t>.</w:t>
      </w:r>
    </w:p>
    <w:p>
      <w:pPr>
        <w:pStyle w:val="ListParagraph"/>
        <w:numPr>
          <w:ilvl w:val="0"/>
          <w:numId w:val="216"/>
        </w:numPr>
        <w:rPr/>
      </w:pPr>
      <w:r>
        <w:rPr/>
        <w:t xml:space="preserve">Botswana Laws (2022). </w:t>
      </w:r>
      <w:hyperlink r:id="rId85">
        <w:r>
          <w:rPr>
            <w:rStyle w:val="Hyperlink"/>
          </w:rPr>
          <w:t>Movable Property (Security Interests) Act, Act 5 of 2022</w:t>
        </w:r>
      </w:hyperlink>
      <w:r>
        <w:rPr/>
        <w:t>.</w:t>
      </w:r>
    </w:p>
    <w:p>
      <w:pPr>
        <w:pStyle w:val="ListParagraph"/>
        <w:numPr>
          <w:ilvl w:val="0"/>
          <w:numId w:val="217"/>
        </w:numPr>
        <w:rPr/>
      </w:pPr>
      <w:r>
        <w:rPr/>
        <w:t xml:space="preserve">Daily News Botswana (2025). </w:t>
      </w:r>
      <w:hyperlink r:id="rId86">
        <w:r>
          <w:rPr>
            <w:rStyle w:val="Hyperlink"/>
          </w:rPr>
          <w:t>Wilderness, Stanbic sign MoU on supplier financing model</w:t>
        </w:r>
      </w:hyperlink>
      <w:r>
        <w:rPr/>
        <w:t>.</w:t>
      </w:r>
    </w:p>
    <w:p>
      <w:pPr>
        <w:pStyle w:val="ListParagraph"/>
        <w:numPr>
          <w:ilvl w:val="0"/>
          <w:numId w:val="218"/>
        </w:numPr>
        <w:rPr/>
      </w:pPr>
      <w:r>
        <w:rPr/>
        <w:t xml:space="preserve">IFC (2024). </w:t>
      </w:r>
      <w:hyperlink r:id="rId87">
        <w:r>
          <w:rPr>
            <w:rStyle w:val="Hyperlink"/>
          </w:rPr>
          <w:t>Botswana Secured Transactions and Collateral Registry Project</w:t>
        </w:r>
      </w:hyperlink>
      <w:r>
        <w:rPr/>
        <w:t>.</w:t>
      </w:r>
    </w:p>
    <w:p>
      <w:pPr>
        <w:pStyle w:val="ListParagraph"/>
        <w:numPr>
          <w:ilvl w:val="0"/>
          <w:numId w:val="219"/>
        </w:numPr>
        <w:rPr/>
      </w:pPr>
      <w:r>
        <w:rPr/>
        <w:t xml:space="preserve">IndexMundi, from World Bank Enterprise Surveys. </w:t>
      </w:r>
      <w:hyperlink r:id="rId88">
        <w:r>
          <w:rPr>
            <w:rStyle w:val="Hyperlink"/>
          </w:rPr>
          <w:t>Firms with female participation in ownership, Africa</w:t>
        </w:r>
      </w:hyperlink>
      <w:r>
        <w:rPr/>
        <w:t>.</w:t>
      </w:r>
    </w:p>
    <w:p>
      <w:pPr>
        <w:pStyle w:val="ListParagraph"/>
        <w:numPr>
          <w:ilvl w:val="0"/>
          <w:numId w:val="220"/>
        </w:numPr>
        <w:rPr/>
      </w:pPr>
      <w:r>
        <w:rPr/>
        <w:t xml:space="preserve">Mining Weekly (2026). </w:t>
      </w:r>
      <w:hyperlink r:id="rId89">
        <w:r>
          <w:rPr>
            <w:rStyle w:val="Hyperlink"/>
          </w:rPr>
          <w:t>South African suppliers are financing their own customers</w:t>
        </w:r>
      </w:hyperlink>
      <w:r>
        <w:rPr/>
        <w:t>.</w:t>
      </w:r>
    </w:p>
    <w:p>
      <w:pPr>
        <w:pStyle w:val="ListParagraph"/>
        <w:numPr>
          <w:ilvl w:val="0"/>
          <w:numId w:val="221"/>
        </w:numPr>
        <w:rPr/>
      </w:pPr>
      <w:r>
        <w:rPr/>
        <w:t xml:space="preserve">NACSO (2019). </w:t>
      </w:r>
      <w:hyperlink r:id="rId90">
        <w:r>
          <w:rPr>
            <w:rStyle w:val="Hyperlink"/>
          </w:rPr>
          <w:t>Wildlife Credit for conservancies</w:t>
        </w:r>
      </w:hyperlink>
      <w:r>
        <w:rPr/>
        <w:t>.</w:t>
      </w:r>
    </w:p>
    <w:p>
      <w:pPr>
        <w:pStyle w:val="ListParagraph"/>
        <w:numPr>
          <w:ilvl w:val="0"/>
          <w:numId w:val="222"/>
        </w:numPr>
        <w:rPr/>
      </w:pPr>
      <w:r>
        <w:rPr/>
        <w:t xml:space="preserve">Namibian Sun (2025). </w:t>
      </w:r>
      <w:hyperlink r:id="rId91">
        <w:r>
          <w:rPr>
            <w:rStyle w:val="Hyperlink"/>
          </w:rPr>
          <w:t>Community conservation creates over 2,000 jobs</w:t>
        </w:r>
      </w:hyperlink>
      <w:r>
        <w:rPr/>
        <w:t>.</w:t>
      </w:r>
    </w:p>
    <w:p>
      <w:pPr>
        <w:pStyle w:val="ListParagraph"/>
        <w:numPr>
          <w:ilvl w:val="0"/>
          <w:numId w:val="223"/>
        </w:numPr>
        <w:rPr/>
      </w:pPr>
      <w:r>
        <w:rPr/>
        <w:t xml:space="preserve">SME South Africa. </w:t>
      </w:r>
      <w:hyperlink r:id="rId92">
        <w:r>
          <w:rPr>
            <w:rStyle w:val="Hyperlink"/>
          </w:rPr>
          <w:t>How to develop a tourism business payment plan</w:t>
        </w:r>
      </w:hyperlink>
      <w:r>
        <w:rPr/>
        <w:t>.</w:t>
      </w:r>
    </w:p>
    <w:p>
      <w:pPr>
        <w:pStyle w:val="ListParagraph"/>
        <w:numPr>
          <w:ilvl w:val="0"/>
          <w:numId w:val="224"/>
        </w:numPr>
        <w:rPr/>
      </w:pPr>
      <w:r>
        <w:rPr/>
        <w:t xml:space="preserve">Statistics Botswana (2025). </w:t>
      </w:r>
      <w:hyperlink r:id="rId93">
        <w:r>
          <w:rPr>
            <w:rStyle w:val="Hyperlink"/>
          </w:rPr>
          <w:t>Botswana Multi-Topic Household Survey 2024/25 stats brief</w:t>
        </w:r>
      </w:hyperlink>
      <w:r>
        <w:rPr/>
        <w:t>.</w:t>
      </w:r>
    </w:p>
    <w:p>
      <w:pPr>
        <w:pStyle w:val="ListParagraph"/>
        <w:numPr>
          <w:ilvl w:val="0"/>
          <w:numId w:val="225"/>
        </w:numPr>
        <w:rPr/>
      </w:pPr>
      <w:r>
        <w:rPr/>
        <w:t xml:space="preserve">The Brief (2026). </w:t>
      </w:r>
      <w:hyperlink r:id="rId94">
        <w:r>
          <w:rPr>
            <w:rStyle w:val="Hyperlink"/>
          </w:rPr>
          <w:t>Credit guarantee scheme disburses N$145m to 153 SMEs</w:t>
        </w:r>
      </w:hyperlink>
      <w:r>
        <w:rPr/>
        <w:t>.</w:t>
      </w:r>
    </w:p>
    <w:p>
      <w:pPr>
        <w:pStyle w:val="ListParagraph"/>
        <w:numPr>
          <w:ilvl w:val="0"/>
          <w:numId w:val="226"/>
        </w:numPr>
        <w:rPr/>
      </w:pPr>
      <w:r>
        <w:rPr/>
        <w:t xml:space="preserve">The Herald. </w:t>
      </w:r>
      <w:hyperlink r:id="rId95">
        <w:r>
          <w:rPr>
            <w:rStyle w:val="Hyperlink"/>
          </w:rPr>
          <w:t>Women's Bank rolls out USD loans</w:t>
        </w:r>
      </w:hyperlink>
      <w:r>
        <w:rPr/>
        <w:t xml:space="preserve">; </w:t>
      </w:r>
      <w:hyperlink r:id="rId96">
        <w:r>
          <w:rPr>
            <w:rStyle w:val="Hyperlink"/>
          </w:rPr>
          <w:t>Low uptake for tourism fund</w:t>
        </w:r>
      </w:hyperlink>
      <w:r>
        <w:rPr/>
        <w:t>.</w:t>
      </w:r>
    </w:p>
    <w:p>
      <w:pPr>
        <w:pStyle w:val="ListParagraph"/>
        <w:numPr>
          <w:ilvl w:val="0"/>
          <w:numId w:val="227"/>
        </w:numPr>
        <w:rPr/>
      </w:pPr>
      <w:r>
        <w:rPr/>
        <w:t xml:space="preserve">The New Humanitarian. </w:t>
      </w:r>
      <w:hyperlink r:id="rId97">
        <w:r>
          <w:rPr>
            <w:rStyle w:val="Hyperlink"/>
          </w:rPr>
          <w:t>Women and land in Zimbabwe</w:t>
        </w:r>
      </w:hyperlink>
      <w:r>
        <w:rPr/>
        <w:t>.</w:t>
      </w:r>
    </w:p>
    <w:p>
      <w:pPr>
        <w:pStyle w:val="ListParagraph"/>
        <w:numPr>
          <w:ilvl w:val="0"/>
          <w:numId w:val="228"/>
        </w:numPr>
        <w:rPr/>
      </w:pPr>
      <w:r>
        <w:rPr/>
        <w:t xml:space="preserve">TravelNam. </w:t>
      </w:r>
      <w:hyperlink r:id="rId98">
        <w:r>
          <w:rPr>
            <w:rStyle w:val="Hyperlink"/>
          </w:rPr>
          <w:t>The increasing role of women in conservancies</w:t>
        </w:r>
      </w:hyperlink>
      <w:r>
        <w:rPr/>
        <w:t>.</w:t>
      </w:r>
    </w:p>
    <w:p>
      <w:pPr>
        <w:pStyle w:val="ListParagraph"/>
        <w:numPr>
          <w:ilvl w:val="0"/>
          <w:numId w:val="229"/>
        </w:numPr>
        <w:rPr/>
      </w:pPr>
      <w:r>
        <w:rPr/>
        <w:t xml:space="preserve">UNCDF. </w:t>
      </w:r>
      <w:hyperlink r:id="rId99">
        <w:r>
          <w:rPr>
            <w:rStyle w:val="Hyperlink"/>
          </w:rPr>
          <w:t>UNCDF's first portfolio guarantee launches in Zambia</w:t>
        </w:r>
      </w:hyperlink>
      <w:r>
        <w:rPr/>
        <w:t>.</w:t>
      </w:r>
    </w:p>
    <w:p>
      <w:pPr>
        <w:pStyle w:val="ListParagraph"/>
        <w:numPr>
          <w:ilvl w:val="0"/>
          <w:numId w:val="230"/>
        </w:numPr>
        <w:rPr/>
      </w:pPr>
      <w:r>
        <w:rPr/>
        <w:t xml:space="preserve">UNFPA Botswana (2024). </w:t>
      </w:r>
      <w:hyperlink r:id="rId100">
        <w:r>
          <w:rPr>
            <w:rStyle w:val="Hyperlink"/>
          </w:rPr>
          <w:t>Youth and population dynamics policy brief</w:t>
        </w:r>
      </w:hyperlink>
      <w:r>
        <w:rPr/>
        <w:t>.</w:t>
      </w:r>
    </w:p>
    <w:p>
      <w:pPr>
        <w:pStyle w:val="ListParagraph"/>
        <w:numPr>
          <w:ilvl w:val="0"/>
          <w:numId w:val="231"/>
        </w:numPr>
        <w:rPr/>
      </w:pPr>
      <w:r>
        <w:rPr/>
        <w:t xml:space="preserve">World Bank (2023). </w:t>
      </w:r>
      <w:hyperlink r:id="rId101">
        <w:r>
          <w:rPr>
            <w:rStyle w:val="Hyperlink"/>
          </w:rPr>
          <w:t>Zambia receives USD 100 million for green, resilient and transformational tourism</w:t>
        </w:r>
      </w:hyperlink>
      <w:r>
        <w:rPr/>
        <w:t>.</w:t>
      </w:r>
    </w:p>
    <w:p>
      <w:pPr>
        <w:pStyle w:val="ListParagraph"/>
        <w:numPr>
          <w:ilvl w:val="0"/>
          <w:numId w:val="232"/>
        </w:numPr>
        <w:rPr/>
      </w:pPr>
      <w:r>
        <w:rPr/>
        <w:t xml:space="preserve">Zambia Monitor (2025). </w:t>
      </w:r>
      <w:hyperlink r:id="rId102">
        <w:r>
          <w:rPr>
            <w:rStyle w:val="Hyperlink"/>
          </w:rPr>
          <w:t>ZCGS, FNB Zambia sign K100 million partnership for MSMEs</w:t>
        </w:r>
      </w:hyperlink>
      <w:r>
        <w:rPr/>
        <w:t>.</w:t>
      </w:r>
    </w:p>
    <w:p>
      <w:pPr>
        <w:pStyle w:val="ListParagraph"/>
        <w:numPr>
          <w:ilvl w:val="0"/>
          <w:numId w:val="233"/>
        </w:numPr>
        <w:spacing w:before="0" w:after="160"/>
        <w:contextualSpacing/>
        <w:rPr/>
      </w:pPr>
      <w:r>
        <w:rPr/>
        <w:t xml:space="preserve">ZimLII. </w:t>
      </w:r>
      <w:hyperlink r:id="rId103">
        <w:r>
          <w:rPr>
            <w:rStyle w:val="Hyperlink"/>
          </w:rPr>
          <w:t>Movable Property Security Interests Act (Zimbabwe)</w:t>
        </w:r>
      </w:hyperlink>
      <w:r>
        <w:rPr/>
        <w:t>.</w:t>
      </w:r>
    </w:p>
    <w:sectPr>
      <w:footerReference w:type="even" r:id="rId104"/>
      <w:footerReference w:type="default" r:id="rId105"/>
      <w:footerReference w:type="first" r:id="rId106"/>
      <w:type w:val="nextPage"/>
      <w:pgSz w:w="11906" w:h="16838"/>
      <w:pgMar w:left="1247" w:right="1247" w:gutter="0" w:header="0" w:top="1247" w:footer="720" w:bottom="1247"/>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r>
      <w:rPr>
        <w:sz w:val="17"/>
      </w:rPr>
      <w:t xml:space="preserve">KAZA Tourism MSME Financial Barriers &amp; Opportunities Report  ·  Page </w:t>
    </w:r>
    <w:r>
      <w:rPr>
        <w:sz w:val="17"/>
      </w:rPr>
      <w:fldChar w:fldCharType="begin"/>
    </w:r>
    <w:r>
      <w:rPr>
        <w:sz w:val="17"/>
      </w:rPr>
      <w:instrText xml:space="preserve"> PAGE </w:instrText>
    </w:r>
    <w:r>
      <w:rPr>
        <w:sz w:val="17"/>
      </w:rPr>
      <w:fldChar w:fldCharType="separate"/>
    </w:r>
    <w:r>
      <w:rPr>
        <w:sz w:val="17"/>
      </w:rPr>
      <w:t>28</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35</w:t>
    </w:r>
    <w:r>
      <w:rPr>
        <w:sz w:val="17"/>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r>
      <w:rPr>
        <w:sz w:val="17"/>
      </w:rPr>
      <w:t xml:space="preserve">KAZA Tourism MSME Financial Barriers &amp; Opportunities Report  ·  Page </w:t>
    </w:r>
    <w:r>
      <w:rPr>
        <w:sz w:val="17"/>
      </w:rPr>
      <w:fldChar w:fldCharType="begin"/>
    </w:r>
    <w:r>
      <w:rPr>
        <w:sz w:val="17"/>
      </w:rPr>
      <w:instrText xml:space="preserve"> PAGE </w:instrText>
    </w:r>
    <w:r>
      <w:rPr>
        <w:sz w:val="17"/>
      </w:rPr>
      <w:fldChar w:fldCharType="separate"/>
    </w:r>
    <w:r>
      <w:rPr>
        <w:sz w:val="17"/>
      </w:rPr>
      <w:t>28</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35</w:t>
    </w:r>
    <w:r>
      <w:rPr>
        <w:sz w:val="17"/>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r>
      <w:rPr>
        <w:sz w:val="17"/>
      </w:rPr>
      <w:t xml:space="preserve">KAZA Tourism MSME Financial Barriers &amp; Opportunities Report  ·  Page </w:t>
    </w:r>
    <w:r>
      <w:rPr>
        <w:sz w:val="17"/>
      </w:rPr>
      <w:fldChar w:fldCharType="begin"/>
    </w:r>
    <w:r>
      <w:rPr>
        <w:sz w:val="17"/>
      </w:rPr>
      <w:instrText xml:space="preserve"> PAGE </w:instrText>
    </w:r>
    <w:r>
      <w:rPr>
        <w:sz w:val="17"/>
      </w:rPr>
      <w:fldChar w:fldCharType="separate"/>
    </w:r>
    <w:r>
      <w:rPr>
        <w:sz w:val="17"/>
      </w:rPr>
      <w:t>34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35</w:t>
    </w:r>
    <w:r>
      <w:rPr>
        <w:sz w:val="17"/>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r>
      <w:rPr>
        <w:sz w:val="17"/>
      </w:rPr>
      <w:t xml:space="preserve">KAZA Tourism MSME Financial Barriers &amp; Opportunities Report  ·  Page </w:t>
    </w:r>
    <w:r>
      <w:rPr>
        <w:sz w:val="17"/>
      </w:rPr>
      <w:fldChar w:fldCharType="begin"/>
    </w:r>
    <w:r>
      <w:rPr>
        <w:sz w:val="17"/>
      </w:rPr>
      <w:instrText xml:space="preserve"> PAGE </w:instrText>
    </w:r>
    <w:r>
      <w:rPr>
        <w:sz w:val="17"/>
      </w:rPr>
      <w:fldChar w:fldCharType="separate"/>
    </w:r>
    <w:r>
      <w:rPr>
        <w:sz w:val="17"/>
      </w:rPr>
      <w:t>35</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35</w:t>
    </w:r>
    <w:r>
      <w:rPr>
        <w:sz w:val="17"/>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5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5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5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5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5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
  </w:num>
  <w:num w:numId="119">
    <w:abstractNumId w:val="1"/>
  </w:num>
  <w:num w:numId="120">
    <w:abstractNumId w:val="1"/>
  </w:num>
  <w:num w:numId="121">
    <w:abstractNumId w:val="6"/>
    <w:lvlOverride w:ilvl="0">
      <w:startOverride w:val="1"/>
    </w:lvlOverride>
  </w:num>
  <w:num w:numId="122">
    <w:abstractNumId w:val="6"/>
  </w:num>
  <w:num w:numId="123">
    <w:abstractNumId w:val="6"/>
  </w:num>
  <w:num w:numId="124">
    <w:abstractNumId w:val="6"/>
    <w:lvlOverride w:ilvl="0">
      <w:startOverride w:val="1"/>
    </w:lvlOverride>
  </w:num>
  <w:num w:numId="125">
    <w:abstractNumId w:val="6"/>
  </w:num>
  <w:num w:numId="126">
    <w:abstractNumId w:val="6"/>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6"/>
    <w:lvlOverride w:ilvl="0">
      <w:startOverride w:val="1"/>
    </w:lvlOverride>
  </w:num>
  <w:num w:numId="151">
    <w:abstractNumId w:val="6"/>
  </w:num>
  <w:num w:numId="152">
    <w:abstractNumId w:val="6"/>
  </w:num>
  <w:num w:numId="153">
    <w:abstractNumId w:val="6"/>
  </w:num>
  <w:num w:numId="154">
    <w:abstractNumId w:val="6"/>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6"/>
    <w:lvlOverride w:ilvl="0">
      <w:startOverride w:val="1"/>
    </w:lvlOverride>
  </w:num>
  <w:num w:numId="162">
    <w:abstractNumId w:val="6"/>
  </w:num>
  <w:num w:numId="163">
    <w:abstractNumId w:val="6"/>
  </w:num>
  <w:num w:numId="164">
    <w:abstractNumId w:val="6"/>
  </w:num>
  <w:num w:numId="165">
    <w:abstractNumId w:val="6"/>
  </w:num>
  <w:num w:numId="166">
    <w:abstractNumId w:val="6"/>
  </w:num>
  <w:num w:numId="167">
    <w:abstractNumId w:val="6"/>
  </w:num>
  <w:num w:numId="168">
    <w:abstractNumId w:val="6"/>
  </w:num>
  <w:num w:numId="169">
    <w:abstractNumId w:val="6"/>
  </w:num>
  <w:num w:numId="170">
    <w:abstractNumId w:val="6"/>
  </w:num>
  <w:num w:numId="171">
    <w:abstractNumId w:val="1"/>
  </w:num>
  <w:num w:numId="172">
    <w:abstractNumId w:val="1"/>
  </w:num>
  <w:num w:numId="173">
    <w:abstractNumId w:val="1"/>
  </w:num>
  <w:num w:numId="174">
    <w:abstractNumId w:val="1"/>
  </w:num>
  <w:num w:numId="175">
    <w:abstractNumId w:val="6"/>
    <w:lvlOverride w:ilvl="0">
      <w:startOverride w:val="1"/>
    </w:lvlOverride>
  </w:num>
  <w:num w:numId="176">
    <w:abstractNumId w:val="6"/>
  </w:num>
  <w:num w:numId="177">
    <w:abstractNumId w:val="6"/>
  </w:num>
  <w:num w:numId="178">
    <w:abstractNumId w:val="6"/>
  </w:num>
  <w:num w:numId="179">
    <w:abstractNumId w:val="6"/>
  </w:num>
  <w:num w:numId="180">
    <w:abstractNumId w:val="6"/>
    <w:lvlOverride w:ilvl="0">
      <w:startOverride w:val="1"/>
    </w:lvlOverride>
  </w:num>
  <w:num w:numId="181">
    <w:abstractNumId w:val="6"/>
  </w:num>
  <w:num w:numId="182">
    <w:abstractNumId w:val="6"/>
  </w:num>
  <w:num w:numId="183">
    <w:abstractNumId w:val="6"/>
    <w:lvlOverride w:ilvl="0">
      <w:startOverride w:val="1"/>
    </w:lvlOverride>
  </w:num>
  <w:num w:numId="184">
    <w:abstractNumId w:val="6"/>
  </w:num>
  <w:num w:numId="185">
    <w:abstractNumId w:val="6"/>
  </w:num>
  <w:num w:numId="186">
    <w:abstractNumId w:val="6"/>
  </w:num>
  <w:num w:numId="187">
    <w:abstractNumId w:val="6"/>
  </w:num>
  <w:num w:numId="188">
    <w:abstractNumId w:val="6"/>
    <w:lvlOverride w:ilvl="0">
      <w:startOverride w:val="1"/>
    </w:lvlOverride>
  </w:num>
  <w:num w:numId="189">
    <w:abstractNumId w:val="6"/>
  </w:num>
  <w:num w:numId="190">
    <w:abstractNumId w:val="6"/>
  </w:num>
  <w:num w:numId="191">
    <w:abstractNumId w:val="6"/>
    <w:lvlOverride w:ilvl="0">
      <w:startOverride w:val="1"/>
    </w:lvlOverride>
  </w:num>
  <w:num w:numId="192">
    <w:abstractNumId w:val="6"/>
  </w:num>
  <w:num w:numId="193">
    <w:abstractNumId w:val="6"/>
  </w:num>
  <w:num w:numId="194">
    <w:abstractNumId w:val="6"/>
    <w:lvlOverride w:ilvl="0">
      <w:startOverride w:val="1"/>
    </w:lvlOverride>
  </w:num>
  <w:num w:numId="195">
    <w:abstractNumId w:val="6"/>
  </w:num>
  <w:num w:numId="196">
    <w:abstractNumId w:val="6"/>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sz w:val="32"/>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qFormat/>
    <w:rPr>
      <w:rFonts w:ascii="Consolas" w:hAnsi="Consolas" w:eastAsia="Consolas" w:cs="Consolas"/>
      <w:sz w:val="20"/>
      <w:shd w:fill="F5F5F5" w:val="clear"/>
    </w:rPr>
  </w:style>
  <w:style w:type="character" w:styleId="Hyperlink">
    <w:name w:val="Hyperlink"/>
    <w:rPr>
      <w:color w:val="0563C1"/>
      <w:u w:val="single"/>
    </w:rPr>
  </w:style>
  <w:style w:type="character" w:styleId="annotationreference">
    <w:name w:val="annotation reference"/>
    <w:qFormat/>
    <w:rPr>
      <w:sz w:val="16"/>
      <w:szCs w:val="16"/>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qFormat/>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AnnotationText">
    <w:name w:val="Annotation Text"/>
    <w:basedOn w:val="Normal"/>
    <w:pPr>
      <w:spacing w:lineRule="auto" w:line="24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412" w:leader="dot"/>
      </w:tabs>
      <w:ind w:hanging="0" w:left="0"/>
    </w:pPr>
    <w:rPr/>
  </w:style>
  <w:style w:type="paragraph" w:styleId="TOC2">
    <w:name w:val="TOC 2"/>
    <w:basedOn w:val="Index"/>
    <w:pPr>
      <w:tabs>
        <w:tab w:val="clear" w:pos="720"/>
        <w:tab w:val="right" w:pos="9129" w:leader="dot"/>
      </w:tabs>
      <w:ind w:hanging="0" w:left="283"/>
    </w:pPr>
    <w:rPr/>
  </w:style>
  <w:style w:type="paragraph" w:styleId="TableofFigures">
    <w:name w:val="Table of Figures"/>
    <w:basedOn w:val="Index"/>
    <w:pPr>
      <w:tabs>
        <w:tab w:val="clear" w:pos="720"/>
        <w:tab w:val="right" w:pos="9412" w:leader="dot"/>
      </w:tabs>
      <w:ind w:hanging="0" w:left="0"/>
    </w:pPr>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tta.travel/resource/kaza-launches-regenerative-tourism-initiative-backed-by-germany-and-eu.html" TargetMode="External"/><Relationship Id="rId3" Type="http://schemas.openxmlformats.org/officeDocument/2006/relationships/hyperlink" Target="https://www.indexmundi.com/facts/indicators/IC.FRM.FEMO.ZS/rankings/africa" TargetMode="External"/><Relationship Id="rId4" Type="http://schemas.openxmlformats.org/officeDocument/2006/relationships/hyperlink" Target="https://statsbots.org.bw/sites/default/files/Botswana%20Multitopic%20Household%20Survey%20Stats%20Brief%202025.pdf" TargetMode="External"/><Relationship Id="rId5" Type="http://schemas.openxmlformats.org/officeDocument/2006/relationships/hyperlink" Target="https://botswana.unfpa.org/sites/default/files/pub-pdf/2date26-date3/Youth%20and%20Population%20Dynamics%20%20Policy%20Brief%20Botswana%20D4%20%281%29%20%282%29.pdf" TargetMode="External"/><Relationship Id="rId6" Type="http://schemas.openxmlformats.org/officeDocument/2006/relationships/hyperlink" Target="https://www.afi-global.org/wp-content/uploads/2023/07/Zambia-Increasing-Womens-Financial-Inclusion-and-Closing-the-Womens-SME-Credit-Gap-Through-Enabling-Financial-Policy-and-Regulation.pdf" TargetMode="External"/><Relationship Id="rId7" Type="http://schemas.openxmlformats.org/officeDocument/2006/relationships/hyperlink" Target="https://africaportal.org/wp-content/uploads/2023/05/Why_Men__Youth_Shun_Savings_Groups-1.pdf" TargetMode="External"/><Relationship Id="rId8" Type="http://schemas.openxmlformats.org/officeDocument/2006/relationships/hyperlink" Target="https://travelnam.com/?p=1571" TargetMode="External"/><Relationship Id="rId9" Type="http://schemas.openxmlformats.org/officeDocument/2006/relationships/hyperlink" Target="https://www.thenewhumanitarian.org/node/179416" TargetMode="External"/><Relationship Id="rId10" Type="http://schemas.openxmlformats.org/officeDocument/2006/relationships/hyperlink" Target="https://thebrief.com.na/2026/04/credit-guarantee-scheme-disburses-n145m-to-153-smes/" TargetMode="External"/><Relationship Id="rId11" Type="http://schemas.openxmlformats.org/officeDocument/2006/relationships/hyperlink" Target="https://www.zambiamonitor.com/?p=69748" TargetMode="External"/><Relationship Id="rId12" Type="http://schemas.openxmlformats.org/officeDocument/2006/relationships/hyperlink" Target="https://www.nacso.org.na/news/2019/07/wildlife-credit-for-conservancies" TargetMode="External"/><Relationship Id="rId13" Type="http://schemas.openxmlformats.org/officeDocument/2006/relationships/hyperlink" Target="https://botswanalaws.com/bulletin/principal-legislation/bulletin-2022/act-5-of-2022-movable-property-security-interests-act" TargetMode="External"/><Relationship Id="rId14" Type="http://schemas.openxmlformats.org/officeDocument/2006/relationships/hyperlink" Target="https://smesouthafrica.co.za/?p=79358" TargetMode="External"/><Relationship Id="rId15" Type="http://schemas.openxmlformats.org/officeDocument/2006/relationships/hyperlink" Target="https://www.miningweekly.com/article/south-african-suppliers-are-financing-their-own-customers-2026-10-01" TargetMode="External"/><Relationship Id="rId16" Type="http://schemas.openxmlformats.org/officeDocument/2006/relationships/hyperlink" Target="https://dailynews.gov.bw/news-detail/87299" TargetMode="External"/><Relationship Id="rId17" Type="http://schemas.openxmlformats.org/officeDocument/2006/relationships/image" Target="media/image1.pn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hyperlink" Target="https://kavangozambezi.org/" TargetMode="External"/><Relationship Id="rId22" Type="http://schemas.openxmlformats.org/officeDocument/2006/relationships/hyperlink" Target="https://giz.de/" TargetMode="External"/><Relationship Id="rId23" Type="http://schemas.openxmlformats.org/officeDocument/2006/relationships/hyperlink" Target="https://eeas.europa.eu/" TargetMode="External"/><Relationship Id="rId24" Type="http://schemas.openxmlformats.org/officeDocument/2006/relationships/hyperlink" Target="https://kfw.de/" TargetMode="External"/><Relationship Id="rId25" Type="http://schemas.openxmlformats.org/officeDocument/2006/relationships/hyperlink" Target="https://africanguaranteefund.com/" TargetMode="External"/><Relationship Id="rId26" Type="http://schemas.openxmlformats.org/officeDocument/2006/relationships/hyperlink" Target="https://afdb.org/" TargetMode="External"/><Relationship Id="rId27" Type="http://schemas.openxmlformats.org/officeDocument/2006/relationships/hyperlink" Target="https://ifc.org/" TargetMode="External"/><Relationship Id="rId28" Type="http://schemas.openxmlformats.org/officeDocument/2006/relationships/hyperlink" Target="https://worldbank.org/" TargetMode="External"/><Relationship Id="rId29" Type="http://schemas.openxmlformats.org/officeDocument/2006/relationships/hyperlink" Target="https://peaceparks.org/" TargetMode="External"/><Relationship Id="rId30" Type="http://schemas.openxmlformats.org/officeDocument/2006/relationships/hyperlink" Target="https://wwf.panda.org/" TargetMode="External"/><Relationship Id="rId31" Type="http://schemas.openxmlformats.org/officeDocument/2006/relationships/hyperlink" Target="https://awf.org/" TargetMode="External"/><Relationship Id="rId32" Type="http://schemas.openxmlformats.org/officeDocument/2006/relationships/hyperlink" Target="https://conservation.org/" TargetMode="External"/><Relationship Id="rId33" Type="http://schemas.openxmlformats.org/officeDocument/2006/relationships/hyperlink" Target="https://atta.travel/" TargetMode="External"/><Relationship Id="rId34" Type="http://schemas.openxmlformats.org/officeDocument/2006/relationships/hyperlink" Target="https://ceda.co.bw/" TargetMode="External"/><Relationship Id="rId35" Type="http://schemas.openxmlformats.org/officeDocument/2006/relationships/hyperlink" Target="https://lea.co.bw/" TargetMode="External"/><Relationship Id="rId36" Type="http://schemas.openxmlformats.org/officeDocument/2006/relationships/hyperlink" Target="https://ndb.bw/" TargetMode="External"/><Relationship Id="rId37" Type="http://schemas.openxmlformats.org/officeDocument/2006/relationships/hyperlink" Target="https://stanbicbank.co.bw/" TargetMode="External"/><Relationship Id="rId38" Type="http://schemas.openxmlformats.org/officeDocument/2006/relationships/hyperlink" Target="https://absa.co.bw/" TargetMode="External"/><Relationship Id="rId39" Type="http://schemas.openxmlformats.org/officeDocument/2006/relationships/hyperlink" Target="https://fnbbotswana.co.bw/" TargetMode="External"/><Relationship Id="rId40" Type="http://schemas.openxmlformats.org/officeDocument/2006/relationships/hyperlink" Target="https://letshego.com/" TargetMode="External"/><Relationship Id="rId41" Type="http://schemas.openxmlformats.org/officeDocument/2006/relationships/hyperlink" Target="https://botswanatourism.co.bw/" TargetMode="External"/><Relationship Id="rId42" Type="http://schemas.openxmlformats.org/officeDocument/2006/relationships/hyperlink" Target="https://hatab.bw/" TargetMode="External"/><Relationship Id="rId43" Type="http://schemas.openxmlformats.org/officeDocument/2006/relationships/hyperlink" Target="https://wildernessdestinations.com/" TargetMode="External"/><Relationship Id="rId44" Type="http://schemas.openxmlformats.org/officeDocument/2006/relationships/hyperlink" Target="https://gov.bw/" TargetMode="External"/><Relationship Id="rId45" Type="http://schemas.openxmlformats.org/officeDocument/2006/relationships/hyperlink" Target="https://bankofbotswana.bw/" TargetMode="External"/><Relationship Id="rId46" Type="http://schemas.openxmlformats.org/officeDocument/2006/relationships/hyperlink" Target="https://dbn.com.na/" TargetMode="External"/><Relationship Id="rId47" Type="http://schemas.openxmlformats.org/officeDocument/2006/relationships/hyperlink" Target="https://eif.org.na/" TargetMode="External"/><Relationship Id="rId48" Type="http://schemas.openxmlformats.org/officeDocument/2006/relationships/hyperlink" Target="https://nacso.org.na/" TargetMode="External"/><Relationship Id="rId49" Type="http://schemas.openxmlformats.org/officeDocument/2006/relationships/hyperlink" Target="https://ccfn.org.na/" TargetMode="External"/><Relationship Id="rId50" Type="http://schemas.openxmlformats.org/officeDocument/2006/relationships/hyperlink" Target="https://meft.gov.na/" TargetMode="External"/><Relationship Id="rId51" Type="http://schemas.openxmlformats.org/officeDocument/2006/relationships/hyperlink" Target="https://namibiatourism.com.na/" TargetMode="External"/><Relationship Id="rId52" Type="http://schemas.openxmlformats.org/officeDocument/2006/relationships/hyperlink" Target="https://bankwindhoek.com.na/" TargetMode="External"/><Relationship Id="rId53" Type="http://schemas.openxmlformats.org/officeDocument/2006/relationships/hyperlink" Target="https://fnbnamibia.com.na/" TargetMode="External"/><Relationship Id="rId54" Type="http://schemas.openxmlformats.org/officeDocument/2006/relationships/hyperlink" Target="https://nasria.com.na/" TargetMode="External"/><Relationship Id="rId55" Type="http://schemas.openxmlformats.org/officeDocument/2006/relationships/hyperlink" Target="https://gondwana-collection.com/" TargetMode="External"/><Relationship Id="rId56" Type="http://schemas.openxmlformats.org/officeDocument/2006/relationships/hyperlink" Target="https://ceec.org.zm/" TargetMode="External"/><Relationship Id="rId57" Type="http://schemas.openxmlformats.org/officeDocument/2006/relationships/hyperlink" Target="https://boz.zm/" TargetMode="External"/><Relationship Id="rId58" Type="http://schemas.openxmlformats.org/officeDocument/2006/relationships/hyperlink" Target="https://fnbzambia.co.zm/" TargetMode="External"/><Relationship Id="rId59" Type="http://schemas.openxmlformats.org/officeDocument/2006/relationships/hyperlink" Target="https://absa.co.zm/" TargetMode="External"/><Relationship Id="rId60" Type="http://schemas.openxmlformats.org/officeDocument/2006/relationships/hyperlink" Target="https://stanbicbank.co.zm/" TargetMode="External"/><Relationship Id="rId61" Type="http://schemas.openxmlformats.org/officeDocument/2006/relationships/hyperlink" Target="https://finca.org/" TargetMode="External"/><Relationship Id="rId62" Type="http://schemas.openxmlformats.org/officeDocument/2006/relationships/hyperlink" Target="https://mot.gov.zm/" TargetMode="External"/><Relationship Id="rId63" Type="http://schemas.openxmlformats.org/officeDocument/2006/relationships/hyperlink" Target="https://zambia.travel/" TargetMode="External"/><Relationship Id="rId64" Type="http://schemas.openxmlformats.org/officeDocument/2006/relationships/hyperlink" Target="https://zda.org.zm/" TargetMode="External"/><Relationship Id="rId65" Type="http://schemas.openxmlformats.org/officeDocument/2006/relationships/hyperlink" Target="https://peaceparks.org/" TargetMode="External"/><Relationship Id="rId66" Type="http://schemas.openxmlformats.org/officeDocument/2006/relationships/hyperlink" Target="https://smedco.co.zw/" TargetMode="External"/><Relationship Id="rId67" Type="http://schemas.openxmlformats.org/officeDocument/2006/relationships/hyperlink" Target="https://ecgc.co.zw/" TargetMode="External"/><Relationship Id="rId68" Type="http://schemas.openxmlformats.org/officeDocument/2006/relationships/hyperlink" Target="https://womensbank.co.zw/" TargetMode="External"/><Relationship Id="rId69" Type="http://schemas.openxmlformats.org/officeDocument/2006/relationships/hyperlink" Target="https://cbz.co.zw/" TargetMode="External"/><Relationship Id="rId70" Type="http://schemas.openxmlformats.org/officeDocument/2006/relationships/hyperlink" Target="https://stanbicbank.co.zw/" TargetMode="External"/><Relationship Id="rId71" Type="http://schemas.openxmlformats.org/officeDocument/2006/relationships/hyperlink" Target="https://idbz.co.zw/" TargetMode="External"/><Relationship Id="rId72" Type="http://schemas.openxmlformats.org/officeDocument/2006/relationships/hyperlink" Target="https://zimbabwetourism.net/" TargetMode="External"/><Relationship Id="rId73" Type="http://schemas.openxmlformats.org/officeDocument/2006/relationships/hyperlink" Target="https://zimparks.org.zw/" TargetMode="External"/><Relationship Id="rId74" Type="http://schemas.openxmlformats.org/officeDocument/2006/relationships/hyperlink" Target="https://wildhorizons.co.za/" TargetMode="External"/><Relationship Id="rId75" Type="http://schemas.openxmlformats.org/officeDocument/2006/relationships/hyperlink" Target="https://africaalbidatourism.com/" TargetMode="External"/><Relationship Id="rId76" Type="http://schemas.openxmlformats.org/officeDocument/2006/relationships/hyperlink" Target="https://bda.ao/" TargetMode="External"/><Relationship Id="rId77" Type="http://schemas.openxmlformats.org/officeDocument/2006/relationships/hyperlink" Target="https://halotrust.org/" TargetMode="External"/><Relationship Id="rId78" Type="http://schemas.openxmlformats.org/officeDocument/2006/relationships/footer" Target="footer4.xml"/><Relationship Id="rId79" Type="http://schemas.openxmlformats.org/officeDocument/2006/relationships/footer" Target="footer5.xml"/><Relationship Id="rId80" Type="http://schemas.openxmlformats.org/officeDocument/2006/relationships/footer" Target="footer6.xml"/><Relationship Id="rId81" Type="http://schemas.openxmlformats.org/officeDocument/2006/relationships/hyperlink" Target="https://atta.travel/resource/kaza-launches-regenerative-tourism-initiative-backed-by-germany-and-eu.html" TargetMode="External"/><Relationship Id="rId82" Type="http://schemas.openxmlformats.org/officeDocument/2006/relationships/hyperlink" Target="https://africaportal.org/wp-content/uploads/2023/05/Why_Men__Youth_Shun_Savings_Groups-1.pdf" TargetMode="External"/><Relationship Id="rId83" Type="http://schemas.openxmlformats.org/officeDocument/2006/relationships/hyperlink" Target="https://www.afi-global.org/wp-content/uploads/2023/07/Zambia-Increasing-Womens-Financial-Inclusion-and-Closing-the-Womens-SME-Credit-Gap-Through-Enabling-Financial-Policy-and-Regulation.pdf" TargetMode="External"/><Relationship Id="rId84" Type="http://schemas.openxmlformats.org/officeDocument/2006/relationships/hyperlink" Target="https://african.business/2024/04/partner-content/afawa-fast-tracks-lending-to-women-led-businesses" TargetMode="External"/><Relationship Id="rId85" Type="http://schemas.openxmlformats.org/officeDocument/2006/relationships/hyperlink" Target="https://botswanalaws.com/bulletin/principal-legislation/bulletin-2022/act-5-of-2022-movable-property-security-interests-act" TargetMode="External"/><Relationship Id="rId86" Type="http://schemas.openxmlformats.org/officeDocument/2006/relationships/hyperlink" Target="https://dailynews.gov.bw/news-detail/87299" TargetMode="External"/><Relationship Id="rId87" Type="http://schemas.openxmlformats.org/officeDocument/2006/relationships/hyperlink" Target="https://disclosures.ifc.org/project-detail/AS/607303/botswana-secured-transactions-and-collateral-registry-project" TargetMode="External"/><Relationship Id="rId88" Type="http://schemas.openxmlformats.org/officeDocument/2006/relationships/hyperlink" Target="https://www.indexmundi.com/facts/indicators/IC.FRM.FEMO.ZS/rankings/africa" TargetMode="External"/><Relationship Id="rId89" Type="http://schemas.openxmlformats.org/officeDocument/2006/relationships/hyperlink" Target="https://www.miningweekly.com/article/south-african-suppliers-are-financing-their-own-customers-2026-10-01" TargetMode="External"/><Relationship Id="rId90" Type="http://schemas.openxmlformats.org/officeDocument/2006/relationships/hyperlink" Target="https://www.nacso.org.na/news/2019/07/wildlife-credit-for-conservancies" TargetMode="External"/><Relationship Id="rId91" Type="http://schemas.openxmlformats.org/officeDocument/2006/relationships/hyperlink" Target="https://namibiansun.com/tourism/community-conservation-creates-over-2-000-jobs2025-03-11150675" TargetMode="External"/><Relationship Id="rId92" Type="http://schemas.openxmlformats.org/officeDocument/2006/relationships/hyperlink" Target="https://smesouthafrica.co.za/?p=79358" TargetMode="External"/><Relationship Id="rId93" Type="http://schemas.openxmlformats.org/officeDocument/2006/relationships/hyperlink" Target="https://statsbots.org.bw/sites/default/files/Botswana%20Multitopic%20Household%20Survey%20Stats%20Brief%202025.pdf" TargetMode="External"/><Relationship Id="rId94" Type="http://schemas.openxmlformats.org/officeDocument/2006/relationships/hyperlink" Target="https://thebrief.com.na/2026/04/credit-guarantee-scheme-disburses-n145m-to-153-smes/" TargetMode="External"/><Relationship Id="rId95" Type="http://schemas.openxmlformats.org/officeDocument/2006/relationships/hyperlink" Target="https://www.heraldonline.co.zw/womens-bank-rolls-out-usd-loans/" TargetMode="External"/><Relationship Id="rId96" Type="http://schemas.openxmlformats.org/officeDocument/2006/relationships/hyperlink" Target="https://www.heraldonline.co.zw/low-uptake-for-tourism-fund/" TargetMode="External"/><Relationship Id="rId97" Type="http://schemas.openxmlformats.org/officeDocument/2006/relationships/hyperlink" Target="https://www.thenewhumanitarian.org/node/179416" TargetMode="External"/><Relationship Id="rId98" Type="http://schemas.openxmlformats.org/officeDocument/2006/relationships/hyperlink" Target="https://travelnam.com/?p=1571" TargetMode="External"/><Relationship Id="rId99" Type="http://schemas.openxmlformats.org/officeDocument/2006/relationships/hyperlink" Target="https://www.uncdf.org/article/8069/uncdfs-first-portfolio-guarantee-launches-in-zambia-to-improve-access-to-finance-for-msmes" TargetMode="External"/><Relationship Id="rId100" Type="http://schemas.openxmlformats.org/officeDocument/2006/relationships/hyperlink" Target="https://botswana.unfpa.org/sites/default/files/pub-pdf/2date26-date3/Youth%20and%20Population%20Dynamics%20%20Policy%20Brief%20Botswana%20D4%20%281%29%20%282%29.pdf" TargetMode="External"/><Relationship Id="rId101" Type="http://schemas.openxmlformats.org/officeDocument/2006/relationships/hyperlink" Target="https://www.worldbank.org/en/news/press-release/2023/06/12/zambia-afe-receives-100-million-boost-for-green-resilient-and-transformational-tourism-development" TargetMode="External"/><Relationship Id="rId102" Type="http://schemas.openxmlformats.org/officeDocument/2006/relationships/hyperlink" Target="https://www.zambiamonitor.com/?p=69748" TargetMode="External"/><Relationship Id="rId103" Type="http://schemas.openxmlformats.org/officeDocument/2006/relationships/hyperlink" Target="https://zimlii.org/akn/zw/act/2017/9" TargetMode="External"/><Relationship Id="rId104" Type="http://schemas.openxmlformats.org/officeDocument/2006/relationships/footer" Target="footer7.xml"/><Relationship Id="rId105" Type="http://schemas.openxmlformats.org/officeDocument/2006/relationships/footer" Target="footer8.xml"/><Relationship Id="rId106" Type="http://schemas.openxmlformats.org/officeDocument/2006/relationships/footer" Target="footer9.xml"/><Relationship Id="rId107" Type="http://schemas.openxmlformats.org/officeDocument/2006/relationships/numbering" Target="numbering.xml"/><Relationship Id="rId108" Type="http://schemas.openxmlformats.org/officeDocument/2006/relationships/fontTable" Target="fontTable.xml"/><Relationship Id="rId109" Type="http://schemas.openxmlformats.org/officeDocument/2006/relationships/settings" Target="settings.xml"/><Relationship Id="rId1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35</Pages>
  <Words>11701</Words>
  <Characters>67603</Characters>
  <CharactersWithSpaces>77486</CharactersWithSpaces>
  <Paragraphs>1598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node/01130ec7-8596@20 docx-w6</dc:description>
  <dc:language>en-US</dc:language>
  <cp:lastModifiedBy/>
  <dcterms:modified xsi:type="dcterms:W3CDTF">2026-10-12T13:08:41Z</dcterms:modified>
  <cp:revision>22</cp:revision>
  <dc:subject/>
  <dc:title>KAZA Tourism MSME Financial Barriers &amp; Opportunities Report</dc:title>
</cp:coreProperties>
</file>

<file path=docProps/custom.xml><?xml version="1.0" encoding="utf-8"?>
<Properties xmlns="http://schemas.openxmlformats.org/officeDocument/2006/custom-properties" xmlns:vt="http://schemas.openxmlformats.org/officeDocument/2006/docPropsVTypes"/>
</file>