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120"/>
        <w:rPr/>
      </w:pPr>
      <w:r>
        <w:rPr/>
      </w:r>
    </w:p>
    <w:p>
      <w:pPr>
        <w:pStyle w:val="Normal"/>
        <w:pBdr>
          <w:bottom w:val="single" w:sz="18" w:space="6" w:color="C8A951"/>
        </w:pBdr>
        <w:spacing w:before="0" w:after="300"/>
        <w:rPr/>
      </w:pPr>
      <w:r>
        <w:rPr>
          <w:rFonts w:eastAsia="Calibri" w:cs="Calibri"/>
          <w:b/>
          <w:bCs/>
          <w:color w:val="1F5135"/>
          <w:sz w:val="56"/>
          <w:szCs w:val="56"/>
        </w:rPr>
        <w:t>MSME Investment Readiness Assessment</w:t>
      </w:r>
    </w:p>
    <w:p>
      <w:pPr>
        <w:pStyle w:val="Normal"/>
        <w:spacing w:before="0" w:after="200"/>
        <w:rPr/>
      </w:pPr>
      <w:r>
        <w:rPr>
          <w:color w:val="333333"/>
          <w:sz w:val="30"/>
          <w:szCs w:val="30"/>
        </w:rPr>
        <w:t>Priority Value Chains for Regenerative Nature-Based Tourism (R-NBT) in the Kavango Zambezi Transfrontier Conservation Area (KAZA TFCA)</w:t>
      </w:r>
    </w:p>
    <w:p>
      <w:pPr>
        <w:pStyle w:val="Normal"/>
        <w:spacing w:before="0" w:after="1200"/>
        <w:rPr/>
      </w:pPr>
      <w:r>
        <w:rPr>
          <w:b/>
          <w:bCs/>
          <w:color w:val="1F5135"/>
          <w:sz w:val="26"/>
          <w:szCs w:val="26"/>
        </w:rPr>
        <w:t>Angola · Botswana · Namibia · Zambia · Zimbabwe</w:t>
      </w:r>
    </w:p>
    <w:p>
      <w:pPr>
        <w:pStyle w:val="Normal"/>
        <w:rPr/>
      </w:pPr>
      <w:r>
        <w:rPr>
          <w:i/>
          <w:iCs/>
          <w:color w:val="555555"/>
          <w:sz w:val="20"/>
          <w:szCs w:val="20"/>
        </w:rPr>
        <w:t>MSME business models, financial practices, record-keeping and informality by gender, age and value chain node; capacity gaps and capacity-building needs of MSMEs, BSOs and financial institutions; enabling environment, market access and business support organisations in the five Partner States; readiness for financial products; recommended interventions and financing pathways</w:t>
      </w:r>
    </w:p>
    <w:p>
      <w:pPr>
        <w:pStyle w:val="Normal"/>
        <w:spacing w:before="1600" w:after="120"/>
        <w:rPr/>
      </w:pPr>
      <w:r>
        <w:rPr>
          <w:b/>
          <w:bCs/>
          <w:sz w:val="22"/>
          <w:szCs w:val="22"/>
        </w:rPr>
        <w:t>Draft for Discussion (Version 3)</w:t>
      </w:r>
    </w:p>
    <w:p>
      <w:pPr>
        <w:pStyle w:val="Normal"/>
        <w:rPr/>
      </w:pPr>
      <w:r>
        <w:rPr>
          <w:sz w:val="22"/>
          <w:szCs w:val="22"/>
        </w:rPr>
        <w:t>October 2026</w:t>
      </w:r>
    </w:p>
    <w:p>
      <w:pPr>
        <w:pStyle w:val="Normal"/>
        <w:rPr/>
      </w:pPr>
      <w:r>
        <w:rPr/>
      </w:r>
      <w:r>
        <w:br w:type="page"/>
      </w:r>
    </w:p>
    <w:p>
      <w:pPr>
        <w:pStyle w:val="Normal"/>
        <w:spacing w:before="0" w:after="240"/>
        <w:rPr/>
      </w:pPr>
      <w:r>
        <w:rPr>
          <w:b/>
          <w:bCs/>
          <w:color w:val="1F5135"/>
          <w:sz w:val="32"/>
          <w:szCs w:val="32"/>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2903_2470420549">
            <w:r>
              <w:rPr>
                <w:rStyle w:val="IndexLink"/>
              </w:rPr>
              <w:t>Executive Summary</w:t>
              <w:tab/>
              <w:t>6</w:t>
            </w:r>
          </w:hyperlink>
        </w:p>
        <w:p>
          <w:pPr>
            <w:pStyle w:val="TOC1"/>
            <w:tabs>
              <w:tab w:val="clear" w:pos="9026"/>
              <w:tab w:val="right" w:pos="9025" w:leader="dot"/>
            </w:tabs>
            <w:rPr/>
          </w:pPr>
          <w:hyperlink w:anchor="__RefHeading___Toc2905_2470420549">
            <w:r>
              <w:rPr>
                <w:rStyle w:val="IndexLink"/>
              </w:rPr>
              <w:t>1. Introduction and Methodology</w:t>
              <w:tab/>
              <w:t>9</w:t>
            </w:r>
          </w:hyperlink>
        </w:p>
        <w:p>
          <w:pPr>
            <w:pStyle w:val="TOC2"/>
            <w:tabs>
              <w:tab w:val="clear" w:pos="8743"/>
              <w:tab w:val="right" w:pos="9025" w:leader="dot"/>
            </w:tabs>
            <w:rPr/>
          </w:pPr>
          <w:hyperlink w:anchor="__RefHeading___Toc2907_2470420549">
            <w:r>
              <w:rPr>
                <w:rStyle w:val="IndexLink"/>
              </w:rPr>
              <w:t>1.1 Purpose and Scope</w:t>
              <w:tab/>
              <w:t>9</w:t>
            </w:r>
          </w:hyperlink>
        </w:p>
        <w:p>
          <w:pPr>
            <w:pStyle w:val="TOC2"/>
            <w:tabs>
              <w:tab w:val="clear" w:pos="8743"/>
              <w:tab w:val="right" w:pos="9025" w:leader="dot"/>
            </w:tabs>
            <w:rPr/>
          </w:pPr>
          <w:hyperlink w:anchor="__RefHeading___Toc2909_2470420549">
            <w:r>
              <w:rPr>
                <w:rStyle w:val="IndexLink"/>
              </w:rPr>
              <w:t>1.2 Evidence Base</w:t>
              <w:tab/>
              <w:t>9</w:t>
            </w:r>
          </w:hyperlink>
        </w:p>
        <w:p>
          <w:pPr>
            <w:pStyle w:val="TOC2"/>
            <w:tabs>
              <w:tab w:val="clear" w:pos="8743"/>
              <w:tab w:val="right" w:pos="9025" w:leader="dot"/>
            </w:tabs>
            <w:rPr/>
          </w:pPr>
          <w:hyperlink w:anchor="__RefHeading___Toc2911_2470420549">
            <w:r>
              <w:rPr>
                <w:rStyle w:val="IndexLink"/>
              </w:rPr>
              <w:t>1.3 Readiness Framework</w:t>
              <w:tab/>
              <w:t>10</w:t>
            </w:r>
          </w:hyperlink>
        </w:p>
        <w:p>
          <w:pPr>
            <w:pStyle w:val="TOC2"/>
            <w:tabs>
              <w:tab w:val="clear" w:pos="8743"/>
              <w:tab w:val="right" w:pos="9025" w:leader="dot"/>
            </w:tabs>
            <w:rPr/>
          </w:pPr>
          <w:hyperlink w:anchor="__RefHeading___Toc2913_2470420549">
            <w:r>
              <w:rPr>
                <w:rStyle w:val="IndexLink"/>
              </w:rPr>
              <w:t>1.4 Limitations</w:t>
              <w:tab/>
              <w:t>11</w:t>
            </w:r>
          </w:hyperlink>
        </w:p>
        <w:p>
          <w:pPr>
            <w:pStyle w:val="TOC1"/>
            <w:tabs>
              <w:tab w:val="clear" w:pos="9026"/>
              <w:tab w:val="right" w:pos="9025" w:leader="dot"/>
            </w:tabs>
            <w:rPr/>
          </w:pPr>
          <w:hyperlink w:anchor="__RefHeading___Toc2915_2470420549">
            <w:r>
              <w:rPr>
                <w:rStyle w:val="IndexLink"/>
              </w:rPr>
              <w:t>2. Priority Value Chains and Value Chain Nodes</w:t>
              <w:tab/>
              <w:t>12</w:t>
            </w:r>
          </w:hyperlink>
        </w:p>
        <w:p>
          <w:pPr>
            <w:pStyle w:val="TOC2"/>
            <w:tabs>
              <w:tab w:val="clear" w:pos="8743"/>
              <w:tab w:val="right" w:pos="9025" w:leader="dot"/>
            </w:tabs>
            <w:rPr/>
          </w:pPr>
          <w:hyperlink w:anchor="__RefHeading___Toc2917_2470420549">
            <w:r>
              <w:rPr>
                <w:rStyle w:val="IndexLink"/>
              </w:rPr>
              <w:t>2.1 The Eight Value Chains</w:t>
              <w:tab/>
              <w:t>12</w:t>
            </w:r>
          </w:hyperlink>
        </w:p>
        <w:p>
          <w:pPr>
            <w:pStyle w:val="TOC2"/>
            <w:tabs>
              <w:tab w:val="clear" w:pos="8743"/>
              <w:tab w:val="right" w:pos="9025" w:leader="dot"/>
            </w:tabs>
            <w:rPr/>
          </w:pPr>
          <w:hyperlink w:anchor="__RefHeading___Toc2919_2470420549">
            <w:r>
              <w:rPr>
                <w:rStyle w:val="IndexLink"/>
              </w:rPr>
              <w:t>2.2 Value Chain Nodes</w:t>
              <w:tab/>
              <w:t>13</w:t>
            </w:r>
          </w:hyperlink>
        </w:p>
        <w:p>
          <w:pPr>
            <w:pStyle w:val="TOC1"/>
            <w:tabs>
              <w:tab w:val="clear" w:pos="9026"/>
              <w:tab w:val="right" w:pos="9025" w:leader="dot"/>
            </w:tabs>
            <w:rPr/>
          </w:pPr>
          <w:hyperlink w:anchor="__RefHeading___Toc2921_2470420549">
            <w:r>
              <w:rPr>
                <w:rStyle w:val="IndexLink"/>
              </w:rPr>
              <w:t>3. MSME Business Models</w:t>
              <w:tab/>
              <w:t>15</w:t>
            </w:r>
          </w:hyperlink>
        </w:p>
        <w:p>
          <w:pPr>
            <w:pStyle w:val="TOC2"/>
            <w:tabs>
              <w:tab w:val="clear" w:pos="8743"/>
              <w:tab w:val="right" w:pos="9025" w:leader="dot"/>
            </w:tabs>
            <w:rPr/>
          </w:pPr>
          <w:hyperlink w:anchor="__RefHeading___Toc2923_2470420549">
            <w:r>
              <w:rPr>
                <w:rStyle w:val="IndexLink"/>
              </w:rPr>
              <w:t>3.1 Common Features</w:t>
              <w:tab/>
              <w:t>15</w:t>
            </w:r>
          </w:hyperlink>
        </w:p>
        <w:p>
          <w:pPr>
            <w:pStyle w:val="TOC2"/>
            <w:tabs>
              <w:tab w:val="clear" w:pos="8743"/>
              <w:tab w:val="right" w:pos="9025" w:leader="dot"/>
            </w:tabs>
            <w:rPr/>
          </w:pPr>
          <w:hyperlink w:anchor="__RefHeading___Toc2925_2470420549">
            <w:r>
              <w:rPr>
                <w:rStyle w:val="IndexLink"/>
              </w:rPr>
              <w:t>3.2 Business Models by Value Chain</w:t>
              <w:tab/>
              <w:t>15</w:t>
            </w:r>
          </w:hyperlink>
        </w:p>
        <w:p>
          <w:pPr>
            <w:pStyle w:val="TOC1"/>
            <w:tabs>
              <w:tab w:val="clear" w:pos="9026"/>
              <w:tab w:val="right" w:pos="9025" w:leader="dot"/>
            </w:tabs>
            <w:rPr/>
          </w:pPr>
          <w:hyperlink w:anchor="__RefHeading___Toc2927_2470420549">
            <w:r>
              <w:rPr>
                <w:rStyle w:val="IndexLink"/>
              </w:rPr>
              <w:t>4. Financial Practices, Record-Keeping and Informality</w:t>
              <w:tab/>
              <w:t>17</w:t>
            </w:r>
          </w:hyperlink>
        </w:p>
        <w:p>
          <w:pPr>
            <w:pStyle w:val="TOC2"/>
            <w:tabs>
              <w:tab w:val="clear" w:pos="8743"/>
              <w:tab w:val="right" w:pos="9025" w:leader="dot"/>
            </w:tabs>
            <w:rPr/>
          </w:pPr>
          <w:hyperlink w:anchor="__RefHeading___Toc2929_2470420549">
            <w:r>
              <w:rPr>
                <w:rStyle w:val="IndexLink"/>
              </w:rPr>
              <w:t>4.1 Financial Practices</w:t>
              <w:tab/>
              <w:t>17</w:t>
            </w:r>
          </w:hyperlink>
        </w:p>
        <w:p>
          <w:pPr>
            <w:pStyle w:val="TOC2"/>
            <w:tabs>
              <w:tab w:val="clear" w:pos="8743"/>
              <w:tab w:val="right" w:pos="9025" w:leader="dot"/>
            </w:tabs>
            <w:rPr/>
          </w:pPr>
          <w:hyperlink w:anchor="__RefHeading___Toc2931_2470420549">
            <w:r>
              <w:rPr>
                <w:rStyle w:val="IndexLink"/>
              </w:rPr>
              <w:t>4.2 Record-Keeping</w:t>
              <w:tab/>
              <w:t>17</w:t>
            </w:r>
          </w:hyperlink>
        </w:p>
        <w:p>
          <w:pPr>
            <w:pStyle w:val="TOC2"/>
            <w:tabs>
              <w:tab w:val="clear" w:pos="8743"/>
              <w:tab w:val="right" w:pos="9025" w:leader="dot"/>
            </w:tabs>
            <w:rPr/>
          </w:pPr>
          <w:hyperlink w:anchor="__RefHeading___Toc2933_2470420549">
            <w:r>
              <w:rPr>
                <w:rStyle w:val="IndexLink"/>
              </w:rPr>
              <w:t>4.3 Informality and its Cost</w:t>
              <w:tab/>
              <w:t>17</w:t>
            </w:r>
          </w:hyperlink>
        </w:p>
        <w:p>
          <w:pPr>
            <w:pStyle w:val="TOC2"/>
            <w:tabs>
              <w:tab w:val="clear" w:pos="8743"/>
              <w:tab w:val="right" w:pos="9025" w:leader="dot"/>
            </w:tabs>
            <w:rPr/>
          </w:pPr>
          <w:hyperlink w:anchor="__RefHeading___Toc2935_2470420549">
            <w:r>
              <w:rPr>
                <w:rStyle w:val="IndexLink"/>
              </w:rPr>
              <w:t>4.4 Readiness by Value Chain</w:t>
              <w:tab/>
              <w:t>18</w:t>
            </w:r>
          </w:hyperlink>
        </w:p>
        <w:p>
          <w:pPr>
            <w:pStyle w:val="TOC1"/>
            <w:tabs>
              <w:tab w:val="clear" w:pos="9026"/>
              <w:tab w:val="right" w:pos="9025" w:leader="dot"/>
            </w:tabs>
            <w:rPr/>
          </w:pPr>
          <w:hyperlink w:anchor="__RefHeading___Toc2937_2470420549">
            <w:r>
              <w:rPr>
                <w:rStyle w:val="IndexLink"/>
              </w:rPr>
              <w:t>5. Variation by Gender, Age and Value Chain Node</w:t>
              <w:tab/>
              <w:t>19</w:t>
            </w:r>
          </w:hyperlink>
        </w:p>
        <w:p>
          <w:pPr>
            <w:pStyle w:val="TOC2"/>
            <w:tabs>
              <w:tab w:val="clear" w:pos="8743"/>
              <w:tab w:val="right" w:pos="9025" w:leader="dot"/>
            </w:tabs>
            <w:rPr/>
          </w:pPr>
          <w:hyperlink w:anchor="__RefHeading___Toc2939_2470420549">
            <w:r>
              <w:rPr>
                <w:rStyle w:val="IndexLink"/>
              </w:rPr>
              <w:t>5.1 What the Evidence Can and Cannot Say</w:t>
              <w:tab/>
              <w:t>19</w:t>
            </w:r>
          </w:hyperlink>
        </w:p>
        <w:p>
          <w:pPr>
            <w:pStyle w:val="TOC2"/>
            <w:tabs>
              <w:tab w:val="clear" w:pos="8743"/>
              <w:tab w:val="right" w:pos="9025" w:leader="dot"/>
            </w:tabs>
            <w:rPr/>
          </w:pPr>
          <w:hyperlink w:anchor="__RefHeading___Toc2941_2470420549">
            <w:r>
              <w:rPr>
                <w:rStyle w:val="IndexLink"/>
              </w:rPr>
              <w:t>5.2 Gender</w:t>
              <w:tab/>
              <w:t>19</w:t>
            </w:r>
          </w:hyperlink>
        </w:p>
        <w:p>
          <w:pPr>
            <w:pStyle w:val="TOC2"/>
            <w:tabs>
              <w:tab w:val="clear" w:pos="8743"/>
              <w:tab w:val="right" w:pos="9025" w:leader="dot"/>
            </w:tabs>
            <w:rPr/>
          </w:pPr>
          <w:hyperlink w:anchor="__RefHeading___Toc2943_2470420549">
            <w:r>
              <w:rPr>
                <w:rStyle w:val="IndexLink"/>
              </w:rPr>
              <w:t>5.3 Age</w:t>
              <w:tab/>
              <w:t>20</w:t>
            </w:r>
          </w:hyperlink>
        </w:p>
        <w:p>
          <w:pPr>
            <w:pStyle w:val="TOC2"/>
            <w:tabs>
              <w:tab w:val="clear" w:pos="8743"/>
              <w:tab w:val="right" w:pos="9025" w:leader="dot"/>
            </w:tabs>
            <w:rPr/>
          </w:pPr>
          <w:hyperlink w:anchor="__RefHeading___Toc2945_2470420549">
            <w:r>
              <w:rPr>
                <w:rStyle w:val="IndexLink"/>
              </w:rPr>
              <w:t>5.4 Value Chain Node</w:t>
              <w:tab/>
              <w:t>20</w:t>
            </w:r>
          </w:hyperlink>
        </w:p>
        <w:p>
          <w:pPr>
            <w:pStyle w:val="TOC1"/>
            <w:tabs>
              <w:tab w:val="clear" w:pos="9026"/>
              <w:tab w:val="right" w:pos="9025" w:leader="dot"/>
            </w:tabs>
            <w:rPr/>
          </w:pPr>
          <w:hyperlink w:anchor="__RefHeading___Toc2947_2470420549">
            <w:r>
              <w:rPr>
                <w:rStyle w:val="IndexLink"/>
              </w:rPr>
              <w:t>6. Capacity-Building Needs</w:t>
              <w:tab/>
              <w:t>21</w:t>
            </w:r>
          </w:hyperlink>
        </w:p>
        <w:p>
          <w:pPr>
            <w:pStyle w:val="TOC2"/>
            <w:tabs>
              <w:tab w:val="clear" w:pos="8743"/>
              <w:tab w:val="right" w:pos="9025" w:leader="dot"/>
            </w:tabs>
            <w:rPr/>
          </w:pPr>
          <w:hyperlink w:anchor="__RefHeading___Toc2949_2470420549">
            <w:r>
              <w:rPr>
                <w:rStyle w:val="IndexLink"/>
              </w:rPr>
              <w:t>6.1 MSMEs</w:t>
              <w:tab/>
              <w:t>21</w:t>
            </w:r>
          </w:hyperlink>
        </w:p>
        <w:p>
          <w:pPr>
            <w:pStyle w:val="TOC2"/>
            <w:tabs>
              <w:tab w:val="clear" w:pos="8743"/>
              <w:tab w:val="right" w:pos="9025" w:leader="dot"/>
            </w:tabs>
            <w:rPr/>
          </w:pPr>
          <w:hyperlink w:anchor="__RefHeading___Toc2951_2470420549">
            <w:r>
              <w:rPr>
                <w:rStyle w:val="IndexLink"/>
              </w:rPr>
              <w:t>6.2 Business Support Organisations</w:t>
              <w:tab/>
              <w:t>22</w:t>
            </w:r>
          </w:hyperlink>
        </w:p>
        <w:p>
          <w:pPr>
            <w:pStyle w:val="TOC2"/>
            <w:tabs>
              <w:tab w:val="clear" w:pos="8743"/>
              <w:tab w:val="right" w:pos="9025" w:leader="dot"/>
            </w:tabs>
            <w:rPr/>
          </w:pPr>
          <w:hyperlink w:anchor="__RefHeading___Toc2953_2470420549">
            <w:r>
              <w:rPr>
                <w:rStyle w:val="IndexLink"/>
              </w:rPr>
              <w:t>6.3 Financial Institutions</w:t>
              <w:tab/>
              <w:t>23</w:t>
            </w:r>
          </w:hyperlink>
        </w:p>
        <w:p>
          <w:pPr>
            <w:pStyle w:val="TOC1"/>
            <w:tabs>
              <w:tab w:val="clear" w:pos="9026"/>
              <w:tab w:val="right" w:pos="9025" w:leader="dot"/>
            </w:tabs>
            <w:rPr/>
          </w:pPr>
          <w:hyperlink w:anchor="__RefHeading___Toc2955_2470420549">
            <w:r>
              <w:rPr>
                <w:rStyle w:val="IndexLink"/>
              </w:rPr>
              <w:t>7. Enabling Environment</w:t>
              <w:tab/>
              <w:t>24</w:t>
            </w:r>
          </w:hyperlink>
        </w:p>
        <w:p>
          <w:pPr>
            <w:pStyle w:val="TOC2"/>
            <w:tabs>
              <w:tab w:val="clear" w:pos="8743"/>
              <w:tab w:val="right" w:pos="9025" w:leader="dot"/>
            </w:tabs>
            <w:rPr/>
          </w:pPr>
          <w:hyperlink w:anchor="__RefHeading___Toc2957_2470420549">
            <w:r>
              <w:rPr>
                <w:rStyle w:val="IndexLink"/>
              </w:rPr>
              <w:t>7.1 National and Regional Regulatory Frameworks</w:t>
              <w:tab/>
              <w:t>24</w:t>
            </w:r>
          </w:hyperlink>
        </w:p>
        <w:p>
          <w:pPr>
            <w:pStyle w:val="TOC2"/>
            <w:tabs>
              <w:tab w:val="clear" w:pos="8743"/>
              <w:tab w:val="right" w:pos="9025" w:leader="dot"/>
            </w:tabs>
            <w:rPr/>
          </w:pPr>
          <w:hyperlink w:anchor="__RefHeading___Toc2959_2470420549">
            <w:r>
              <w:rPr>
                <w:rStyle w:val="IndexLink"/>
              </w:rPr>
              <w:t>7.2 Market Access and Linkages with Larger Operators</w:t>
              <w:tab/>
              <w:t>28</w:t>
            </w:r>
          </w:hyperlink>
        </w:p>
        <w:p>
          <w:pPr>
            <w:pStyle w:val="TOC2"/>
            <w:tabs>
              <w:tab w:val="clear" w:pos="8743"/>
              <w:tab w:val="right" w:pos="9025" w:leader="dot"/>
            </w:tabs>
            <w:rPr/>
          </w:pPr>
          <w:hyperlink w:anchor="__RefHeading___Toc2961_2470420549">
            <w:r>
              <w:rPr>
                <w:rStyle w:val="IndexLink"/>
              </w:rPr>
              <w:t>7.3 Business Development Services</w:t>
              <w:tab/>
              <w:t>30</w:t>
            </w:r>
          </w:hyperlink>
        </w:p>
        <w:p>
          <w:pPr>
            <w:pStyle w:val="TOC2"/>
            <w:tabs>
              <w:tab w:val="clear" w:pos="8743"/>
              <w:tab w:val="right" w:pos="9025" w:leader="dot"/>
            </w:tabs>
            <w:rPr/>
          </w:pPr>
          <w:hyperlink w:anchor="__RefHeading___Toc2963_2470420549">
            <w:r>
              <w:rPr>
                <w:rStyle w:val="IndexLink"/>
              </w:rPr>
              <w:t>7.4 Policy Conditions</w:t>
              <w:tab/>
              <w:t>32</w:t>
            </w:r>
          </w:hyperlink>
        </w:p>
        <w:p>
          <w:pPr>
            <w:pStyle w:val="TOC1"/>
            <w:tabs>
              <w:tab w:val="clear" w:pos="9026"/>
              <w:tab w:val="right" w:pos="9025" w:leader="dot"/>
            </w:tabs>
            <w:rPr/>
          </w:pPr>
          <w:hyperlink w:anchor="__RefHeading___Toc2965_2470420549">
            <w:r>
              <w:rPr>
                <w:rStyle w:val="IndexLink"/>
              </w:rPr>
              <w:t>8. Readiness for Financial Products</w:t>
              <w:tab/>
              <w:t>34</w:t>
            </w:r>
          </w:hyperlink>
        </w:p>
        <w:p>
          <w:pPr>
            <w:pStyle w:val="TOC2"/>
            <w:tabs>
              <w:tab w:val="clear" w:pos="8743"/>
              <w:tab w:val="right" w:pos="9025" w:leader="dot"/>
            </w:tabs>
            <w:rPr/>
          </w:pPr>
          <w:hyperlink w:anchor="__RefHeading___Toc2967_2470420549">
            <w:r>
              <w:rPr>
                <w:rStyle w:val="IndexLink"/>
              </w:rPr>
              <w:t>8.1 The Effect of Seasonality on Debt</w:t>
              <w:tab/>
              <w:t>34</w:t>
            </w:r>
          </w:hyperlink>
        </w:p>
        <w:p>
          <w:pPr>
            <w:pStyle w:val="TOC2"/>
            <w:tabs>
              <w:tab w:val="clear" w:pos="8743"/>
              <w:tab w:val="right" w:pos="9025" w:leader="dot"/>
            </w:tabs>
            <w:rPr/>
          </w:pPr>
          <w:hyperlink w:anchor="__RefHeading___Toc2969_2470420549">
            <w:r>
              <w:rPr>
                <w:rStyle w:val="IndexLink"/>
              </w:rPr>
              <w:t>8.2 MSME Readiness by Product</w:t>
              <w:tab/>
              <w:t>34</w:t>
            </w:r>
          </w:hyperlink>
        </w:p>
        <w:p>
          <w:pPr>
            <w:pStyle w:val="TOC2"/>
            <w:tabs>
              <w:tab w:val="clear" w:pos="8743"/>
              <w:tab w:val="right" w:pos="9025" w:leader="dot"/>
            </w:tabs>
            <w:rPr/>
          </w:pPr>
          <w:hyperlink w:anchor="__RefHeading___Toc2971_2470420549">
            <w:r>
              <w:rPr>
                <w:rStyle w:val="IndexLink"/>
              </w:rPr>
              <w:t>8.3 Financial Institution Readiness by Product</w:t>
              <w:tab/>
              <w:t>35</w:t>
            </w:r>
          </w:hyperlink>
        </w:p>
        <w:p>
          <w:pPr>
            <w:pStyle w:val="TOC1"/>
            <w:tabs>
              <w:tab w:val="clear" w:pos="9026"/>
              <w:tab w:val="right" w:pos="9025" w:leader="dot"/>
            </w:tabs>
            <w:rPr/>
          </w:pPr>
          <w:hyperlink w:anchor="__RefHeading___Toc2973_2470420549">
            <w:r>
              <w:rPr>
                <w:rStyle w:val="IndexLink"/>
              </w:rPr>
              <w:t>9. Scalable Women- and Youth-Led Models</w:t>
              <w:tab/>
              <w:t>37</w:t>
            </w:r>
          </w:hyperlink>
        </w:p>
        <w:p>
          <w:pPr>
            <w:pStyle w:val="TOC1"/>
            <w:tabs>
              <w:tab w:val="clear" w:pos="9026"/>
              <w:tab w:val="right" w:pos="9025" w:leader="dot"/>
            </w:tabs>
            <w:rPr/>
          </w:pPr>
          <w:hyperlink w:anchor="__RefHeading___Toc2975_2470420549">
            <w:r>
              <w:rPr>
                <w:rStyle w:val="IndexLink"/>
              </w:rPr>
              <w:t>10. Recommended Capacity-Building Interventions</w:t>
              <w:tab/>
              <w:t>39</w:t>
            </w:r>
          </w:hyperlink>
        </w:p>
        <w:p>
          <w:pPr>
            <w:pStyle w:val="TOC2"/>
            <w:tabs>
              <w:tab w:val="clear" w:pos="8743"/>
              <w:tab w:val="right" w:pos="9025" w:leader="dot"/>
            </w:tabs>
            <w:rPr/>
          </w:pPr>
          <w:hyperlink w:anchor="__RefHeading___Toc2977_2470420549">
            <w:r>
              <w:rPr>
                <w:rStyle w:val="IndexLink"/>
              </w:rPr>
              <w:t>10.1 A Tiered Readiness Pathway</w:t>
              <w:tab/>
              <w:t>39</w:t>
            </w:r>
          </w:hyperlink>
        </w:p>
        <w:p>
          <w:pPr>
            <w:pStyle w:val="TOC2"/>
            <w:tabs>
              <w:tab w:val="clear" w:pos="8743"/>
              <w:tab w:val="right" w:pos="9025" w:leader="dot"/>
            </w:tabs>
            <w:rPr/>
          </w:pPr>
          <w:hyperlink w:anchor="__RefHeading___Toc2979_2470420549">
            <w:r>
              <w:rPr>
                <w:rStyle w:val="IndexLink"/>
              </w:rPr>
              <w:t>10.2 Gender-Transformative Approaches</w:t>
              <w:tab/>
              <w:t>39</w:t>
            </w:r>
          </w:hyperlink>
        </w:p>
        <w:p>
          <w:pPr>
            <w:pStyle w:val="TOC2"/>
            <w:tabs>
              <w:tab w:val="clear" w:pos="8743"/>
              <w:tab w:val="right" w:pos="9025" w:leader="dot"/>
            </w:tabs>
            <w:rPr/>
          </w:pPr>
          <w:hyperlink w:anchor="__RefHeading___Toc2981_2470420549">
            <w:r>
              <w:rPr>
                <w:rStyle w:val="IndexLink"/>
              </w:rPr>
              <w:t>10.3 Youth-Focused Incubation</w:t>
              <w:tab/>
              <w:t>40</w:t>
            </w:r>
          </w:hyperlink>
        </w:p>
        <w:p>
          <w:pPr>
            <w:pStyle w:val="TOC2"/>
            <w:tabs>
              <w:tab w:val="clear" w:pos="8743"/>
              <w:tab w:val="right" w:pos="9025" w:leader="dot"/>
            </w:tabs>
            <w:rPr/>
          </w:pPr>
          <w:hyperlink w:anchor="__RefHeading___Toc2983_2470420549">
            <w:r>
              <w:rPr>
                <w:rStyle w:val="IndexLink"/>
              </w:rPr>
              <w:t>10.4 Blended Support Packages</w:t>
              <w:tab/>
              <w:t>40</w:t>
            </w:r>
          </w:hyperlink>
        </w:p>
        <w:p>
          <w:pPr>
            <w:pStyle w:val="TOC2"/>
            <w:tabs>
              <w:tab w:val="clear" w:pos="8743"/>
              <w:tab w:val="right" w:pos="9025" w:leader="dot"/>
            </w:tabs>
            <w:rPr/>
          </w:pPr>
          <w:hyperlink w:anchor="__RefHeading___Toc2985_2470420549">
            <w:r>
              <w:rPr>
                <w:rStyle w:val="IndexLink"/>
              </w:rPr>
              <w:t>10.5 BSO Strengthening</w:t>
              <w:tab/>
              <w:t>40</w:t>
            </w:r>
          </w:hyperlink>
        </w:p>
        <w:p>
          <w:pPr>
            <w:pStyle w:val="TOC2"/>
            <w:tabs>
              <w:tab w:val="clear" w:pos="8743"/>
              <w:tab w:val="right" w:pos="9025" w:leader="dot"/>
            </w:tabs>
            <w:rPr/>
          </w:pPr>
          <w:hyperlink w:anchor="__RefHeading___Toc2987_2470420549">
            <w:r>
              <w:rPr>
                <w:rStyle w:val="IndexLink"/>
              </w:rPr>
              <w:t>10.6 Financial Institution Strengthening</w:t>
              <w:tab/>
              <w:t>41</w:t>
            </w:r>
          </w:hyperlink>
        </w:p>
        <w:p>
          <w:pPr>
            <w:pStyle w:val="TOC2"/>
            <w:tabs>
              <w:tab w:val="clear" w:pos="8743"/>
              <w:tab w:val="right" w:pos="9025" w:leader="dot"/>
            </w:tabs>
            <w:rPr/>
          </w:pPr>
          <w:hyperlink w:anchor="__RefHeading___Toc2989_2470420549">
            <w:r>
              <w:rPr>
                <w:rStyle w:val="IndexLink"/>
              </w:rPr>
              <w:t>10.7 Enabling Environment and Market Linkage Actions</w:t>
              <w:tab/>
              <w:t>42</w:t>
            </w:r>
          </w:hyperlink>
        </w:p>
        <w:p>
          <w:pPr>
            <w:pStyle w:val="TOC2"/>
            <w:tabs>
              <w:tab w:val="clear" w:pos="8743"/>
              <w:tab w:val="right" w:pos="9025" w:leader="dot"/>
            </w:tabs>
            <w:rPr/>
          </w:pPr>
          <w:hyperlink w:anchor="__RefHeading___Toc2991_2470420549">
            <w:r>
              <w:rPr>
                <w:rStyle w:val="IndexLink"/>
              </w:rPr>
              <w:t>10.8 Pathways to Financing</w:t>
              <w:tab/>
              <w:t>42</w:t>
            </w:r>
          </w:hyperlink>
        </w:p>
        <w:p>
          <w:pPr>
            <w:pStyle w:val="TOC2"/>
            <w:tabs>
              <w:tab w:val="clear" w:pos="8743"/>
              <w:tab w:val="right" w:pos="9025" w:leader="dot"/>
            </w:tabs>
            <w:rPr/>
          </w:pPr>
          <w:hyperlink w:anchor="__RefHeading___Toc2993_2470420549">
            <w:r>
              <w:rPr>
                <w:rStyle w:val="IndexLink"/>
              </w:rPr>
              <w:t>10.9 Priorities and Next Steps</w:t>
              <w:tab/>
              <w:t>42</w:t>
            </w:r>
          </w:hyperlink>
        </w:p>
        <w:p>
          <w:pPr>
            <w:pStyle w:val="TOC1"/>
            <w:tabs>
              <w:tab w:val="clear" w:pos="9026"/>
              <w:tab w:val="right" w:pos="9025" w:leader="dot"/>
            </w:tabs>
            <w:rPr/>
          </w:pPr>
          <w:hyperlink w:anchor="__RefHeading___Toc2995_2470420549">
            <w:r>
              <w:rPr>
                <w:rStyle w:val="IndexLink"/>
              </w:rPr>
              <w:t>Annex A: Evidence Map</w:t>
              <w:tab/>
              <w:t>44</w:t>
            </w:r>
          </w:hyperlink>
        </w:p>
        <w:p>
          <w:pPr>
            <w:pStyle w:val="TOC1"/>
            <w:tabs>
              <w:tab w:val="clear" w:pos="9026"/>
              <w:tab w:val="right" w:pos="9025" w:leader="dot"/>
            </w:tabs>
            <w:rPr/>
          </w:pPr>
          <w:hyperlink w:anchor="__RefHeading___Toc2997_2470420549">
            <w:r>
              <w:rPr>
                <w:rStyle w:val="IndexLink"/>
              </w:rPr>
              <w:t>Annex B: Closing the Gender and Age Data Gap</w:t>
              <w:tab/>
              <w:t>45</w:t>
            </w:r>
          </w:hyperlink>
        </w:p>
        <w:p>
          <w:pPr>
            <w:pStyle w:val="TOC1"/>
            <w:tabs>
              <w:tab w:val="clear" w:pos="9026"/>
              <w:tab w:val="right" w:pos="9025" w:leader="dot"/>
            </w:tabs>
            <w:rPr/>
          </w:pPr>
          <w:hyperlink w:anchor="__RefHeading___Toc2999_2470420549">
            <w:r>
              <w:rPr>
                <w:rStyle w:val="IndexLink"/>
              </w:rPr>
              <w:t>References</w:t>
              <w:tab/>
              <w:t>46</w:t>
            </w:r>
          </w:hyperlink>
          <w:r>
            <w:rPr>
              <w:rStyle w:val="IndexLink"/>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itlePg/>
              <w:textDirection w:val="lrTb"/>
              <w:docGrid w:type="default" w:linePitch="360" w:charSpace="4096"/>
            </w:sectPr>
          </w:pPr>
          <w:r>
            <w:br w:type="page"/>
          </w:r>
        </w:p>
      </w:sdtContent>
    </w:sdt>
    <w:p>
      <w:pPr>
        <w:pStyle w:val="Normal"/>
        <w:spacing w:before="0" w:after="240"/>
        <w:rPr/>
      </w:pPr>
      <w:r>
        <w:rPr>
          <w:b/>
          <w:bCs/>
          <w:color w:val="1F5135"/>
          <w:sz w:val="32"/>
          <w:szCs w:val="32"/>
        </w:rPr>
        <w:t>Acronyms and Abbreviations</w:t>
      </w:r>
    </w:p>
    <w:tbl>
      <w:tblPr>
        <w:tblW w:w="9026" w:type="dxa"/>
        <w:jc w:val="left"/>
        <w:tblInd w:w="0" w:type="dxa"/>
        <w:tblLayout w:type="fixed"/>
        <w:tblCellMar>
          <w:top w:w="60" w:type="dxa"/>
          <w:left w:w="100" w:type="dxa"/>
          <w:bottom w:w="60" w:type="dxa"/>
          <w:right w:w="100" w:type="dxa"/>
        </w:tblCellMar>
      </w:tblPr>
      <w:tblGrid>
        <w:gridCol w:w="2000"/>
        <w:gridCol w:w="7025"/>
      </w:tblGrid>
      <w:tr>
        <w:trPr>
          <w:tblHeader w:val="true"/>
        </w:trPr>
        <w:tc>
          <w:tcPr>
            <w:tcW w:w="20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Acronym</w:t>
            </w:r>
          </w:p>
        </w:tc>
        <w:tc>
          <w:tcPr>
            <w:tcW w:w="7025"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Meaning</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AFAWA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Affirmative Finance Action for Women in Africa (AfDB)</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AFI</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Alliance for Financial Inclusion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AGF</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African Guarantee Fund</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AIPEX</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Agência de Investimento Privado e Promoção das Exportações (Angola)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B-READY</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Ready (World Bank successor to Doing Business)</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BDC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 Development Corporation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BDS</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development services</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BIPA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and Intellectual Property Authority (Namibia)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BRRA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Regulatory Review Agency (Zambia)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BSO</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support organisation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BTO</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 Tourism Organisation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BUE</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Balcão Único do Empreendedor (Angola)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BWP</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 pula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CAMPFIRE</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Communal Areas Management Programme for Indigenous Resources (Zimbabwe)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CBNRM</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Community-based natural resource management</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CBO</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Community-based organisation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CEDA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Citizen Entrepreneurial Development Agency (Botswana)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CEEC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Citizens Economic Empowerment Commission (Zambia)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CGS</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Credit Guarantee Scheme (Namibia)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CIPA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Companies and Intellectual Property Authority (Botswana)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COMESA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Common Market for Eastern and Southern Africa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DB</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Doing Business (World Bank report series, 2004-2020)</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DBN</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Bank of Namibia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DFI</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finance institution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DMC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Destination management company</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ECGC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Export Credit Guarantee Company (Zimbabwe)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EIF</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Environmental Investment Fund (Namibia)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FENATA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Federation of Namibian Tourism Associations</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FGC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Fundo de Garantia de Crédito (Angola)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GIZ</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Deutsche Gesellschaft für Internationale Zusammenarbeit</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HAN</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Hospitality Association of Namibia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HATAB</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Hospitality and Tourism Association of Botswana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IDBZ</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Infrastructure Development Bank of Zimbabwe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INAPEM</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Instituto Nacional de Apoio às Micro, Pequenas e Médias Empresas (Angola)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JV</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Joint venture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TFCA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Kavango Zambezi Transfrontier Conservation Area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Enterprise Authority (Botswana)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MD</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R-NBT Macro Diagnostic Report</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MFI</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Microfinance institution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 small and medium-sized enterprise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NACSO</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Namibian Association of CBNRM Support Organisations</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NIPDB</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 Investment Promotion and Development Board</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NTB</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 Tourism Board</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OSISC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One Stop Investment Services Centre (ZIDA, Zimbabwe)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R-NBT</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Regenerative nature-based tourism</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SADC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Southern African Development Community</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SMEDCO</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Small and Medium Enterprises Development Corporation (Zimbabwe)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STR</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Simplified Trade Regime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Technical assistance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TBCZ</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Business Council of Zimbabwe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TCZ</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Council of Zambia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VSLA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Village savings and loan association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WIBA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Women in Business Association (Botswana)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YDF</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Youth Development Fund (Botswana)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ZCGS</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Credit Guarantee Scheme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ZCSMBA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Chamber of Small and Medium Business Associations</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ZDA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Development Agency</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ZEEX</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Zimbabwe Entrepreneurship Exchange (planned)</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ZIDA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Zimbabwe Investment and Development Agency</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ZIMRA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Zimbabwe Revenue Authority</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ZMW</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Zambian kwacha</w:t>
            </w:r>
          </w:p>
        </w:tc>
      </w:tr>
    </w:tbl>
    <w:p>
      <w:pPr>
        <w:pStyle w:val="Heading1"/>
        <w:rPr/>
      </w:pPr>
      <w:r>
        <w:br w:type="page"/>
      </w:r>
      <w:bookmarkStart w:id="0" w:name="__RefHeading___Toc2903_2470420549"/>
      <w:bookmarkEnd w:id="0"/>
      <w:r>
        <w:rPr/>
        <w:t>Executive Summary</w:t>
      </w:r>
    </w:p>
    <w:p>
      <w:pPr>
        <w:pStyle w:val="Normal"/>
        <w:jc w:val="both"/>
        <w:rPr/>
      </w:pPr>
      <w:r>
        <w:rPr/>
        <w:t>This assessment examines the investment readiness of micro, small and medium-sized enterprises (MSMEs) in the priority value chains of regenerative nature-based tourism (R-NBT) in the Kavango Zambezi Transfrontier Conservation Area (KAZA TFCA). It looks at MSME business models, financial practices, record-keeping and informality, and how these vary by gender, age and value chain node. It identifies the capacity-building needs of MSMEs, business support organisations (BSOs) and financial institutions, evaluates the enabling environment in the five Partner States, and recommends interventions and financing pathways. It is a companion to the KAZA Financial Landscape Analysis, which maps the supply of finance; this report maps the demand side and the gap between the two.</w:t>
      </w:r>
    </w:p>
    <w:p>
      <w:pPr>
        <w:pStyle w:val="Normal"/>
        <w:jc w:val="both"/>
        <w:rPr/>
      </w:pPr>
      <w:r>
        <w:rPr>
          <w:b/>
          <w:bCs/>
        </w:rPr>
        <w:t>Core finding.</w:t>
      </w:r>
      <w:r>
        <w:rPr/>
        <w:t xml:space="preserve"> The binding constraint on MSME investment readiness in KAZA is supplier reliability and business readiness, not buyer interest or the absence of finance. Anchor lodges want to buy locally but cannot consistently find suppliers who meet quality, volume and season-proof supply, and about 80% of lodge design and décor items in Namibia's Kavango and Zambezi regions are still imported. Most MSMEs in the priority chains are micro, informal or semi-formal, keep limited records, fund themselves from savings, family and savings groups, and earn highly seasonal revenue. Few are ready for conventional bank debt today; many are ready for smaller, better-structured finance linked to a credible buyer.</w:t>
      </w:r>
    </w:p>
    <w:p>
      <w:pPr>
        <w:pStyle w:val="Normal"/>
        <w:jc w:val="both"/>
        <w:rPr/>
      </w:pPr>
      <w:r>
        <w:rPr>
          <w:b/>
          <w:bCs/>
        </w:rPr>
        <w:t>Value chains.</w:t>
      </w:r>
      <w:r>
        <w:rPr/>
        <w:t xml:space="preserve"> Eight value chains emerge from the Macro Diagnostic. Two carry the strongest signal: </w:t>
      </w:r>
      <w:r>
        <w:rPr>
          <w:b/>
          <w:bCs/>
        </w:rPr>
        <w:t>local food and agricultural supply</w:t>
      </w:r>
      <w:r>
        <w:rPr/>
        <w:t xml:space="preserve"> to lodges, and </w:t>
      </w:r>
      <w:r>
        <w:rPr>
          <w:b/>
          <w:bCs/>
        </w:rPr>
        <w:t>lodge-linked goods</w:t>
      </w:r>
      <w:r>
        <w:rPr/>
        <w:t xml:space="preserve"> (décor, furnishings, building materials and gifts). </w:t>
      </w:r>
      <w:r>
        <w:rPr>
          <w:b/>
          <w:bCs/>
        </w:rPr>
        <w:t>Crafts and cultural products</w:t>
      </w:r>
      <w:r>
        <w:rPr/>
        <w:t xml:space="preserve"> are an opportunity with a warning attached: generic curios are oversupplied and buyer relationships are weak. </w:t>
      </w:r>
      <w:r>
        <w:rPr>
          <w:b/>
          <w:bCs/>
        </w:rPr>
        <w:t>Guiding and activities</w:t>
      </w:r>
      <w:r>
        <w:rPr/>
        <w:t xml:space="preserve">, </w:t>
      </w:r>
      <w:r>
        <w:rPr>
          <w:b/>
          <w:bCs/>
        </w:rPr>
        <w:t>transport and transfers</w:t>
      </w:r>
      <w:r>
        <w:rPr/>
        <w:t xml:space="preserve">, and </w:t>
      </w:r>
      <w:r>
        <w:rPr>
          <w:b/>
          <w:bCs/>
        </w:rPr>
        <w:t>waste, recycling and cleaning</w:t>
      </w:r>
      <w:r>
        <w:rPr/>
        <w:t xml:space="preserve"> are listed opportunities. </w:t>
      </w:r>
      <w:r>
        <w:rPr>
          <w:b/>
          <w:bCs/>
        </w:rPr>
        <w:t>Nature-positive community products</w:t>
      </w:r>
      <w:r>
        <w:rPr/>
        <w:t xml:space="preserve"> (honey, forest products, conservation-compatible farming) are emerging and show some of the clearest women-led models. </w:t>
      </w:r>
      <w:r>
        <w:rPr>
          <w:b/>
          <w:bCs/>
        </w:rPr>
        <w:t>Accommodation</w:t>
      </w:r>
      <w:r>
        <w:rPr/>
        <w:t xml:space="preserve"> is mainly context: MSME participation is thin and in several states legally reserved for citizens.</w:t>
      </w:r>
    </w:p>
    <w:p>
      <w:pPr>
        <w:pStyle w:val="Normal"/>
        <w:jc w:val="both"/>
        <w:rPr/>
      </w:pPr>
      <w:r>
        <w:rPr>
          <w:b/>
          <w:bCs/>
        </w:rPr>
        <w:t>Readiness varies most by value chain node.</w:t>
      </w:r>
      <w:r>
        <w:rPr/>
        <w:t xml:space="preserve"> Producers and community groups at the base of the chain are the least ready; suppliers with a contract or repeat orders from an anchor buyer are the most ready for finance; direct tourism service enterprises (guides, transfers) sit in between, with asset finance needs and acute seasonality. Readiness tiers in this report run from Tier 0 (pre-enterprise or group activity) to Tier 3 (investment-ready), and most MSMEs in the priority chains sit in Tiers 0 and 1.</w:t>
      </w:r>
    </w:p>
    <w:p>
      <w:pPr>
        <w:pStyle w:val="Normal"/>
        <w:jc w:val="both"/>
        <w:rPr/>
      </w:pPr>
      <w:r>
        <w:rPr>
          <w:b/>
          <w:bCs/>
        </w:rPr>
        <w:t>Capacity gaps.</w:t>
      </w:r>
      <w:r>
        <w:rPr/>
        <w:t xml:space="preserve"> MSMEs need supplier-readiness skills (quality, volume, reliability and pricing), aggregation into producer groups and cooperatives, basic bookkeeping and seasonal cash-flow planning, and formalisation sequenced to buyer and lender demands. BSOs offer mostly generic training, are concentrated in capitals, lack a common readiness diagnostic and seldom broker finance. Financial institutions need to learn seasonal cash-flow lending, use contracts, receivables and movable assets as security, use existing guarantee schemes, and collect sex-disaggregated portfolio data.</w:t>
      </w:r>
    </w:p>
    <w:p>
      <w:pPr>
        <w:pStyle w:val="Normal"/>
        <w:jc w:val="both"/>
        <w:rPr/>
      </w:pPr>
      <w:r>
        <w:rPr>
          <w:b/>
          <w:bCs/>
        </w:rPr>
        <w:t>Enabling environment.</w:t>
      </w:r>
      <w:r>
        <w:rPr/>
        <w:t xml:space="preserve"> In the World Bank's last Doing Business rankings (Doing Business 2020), Zambia (85th of 190) and Botswana (87th) were the easiest of the five KAZA states in which to do business, followed by Namibia (104th), Zimbabwe (140th) and Angola (177th). The weaknesses that matter most for R-NBT MSMEs are shared: all five states ranked 117th or lower for starting a business, four of the five ranked 138th or lower for trading across borders, and contract enforcement was slow and costly everywhere except Namibia. Zambia's 4th place for getting credit shows that the legal basis for movable-asset and receivables lending exists in at least one state. Sector rules add to this: citizen reservation in Botswana, Zambia and Zimbabwe protects MSME space in transport, crafts and retail but limits outside capital, and Zimbabwe expanded its reserved sectors in 2025. Since 2020, online business registration (Botswana, Angola), one-stop investment centres (Zimbabwe) and risk-based licensing (Zambia) have eased formalisation, but implementation is uneven and Namibia's online registration system was reported not to be working in 2025.</w:t>
      </w:r>
    </w:p>
    <w:p>
      <w:pPr>
        <w:pStyle w:val="Normal"/>
        <w:jc w:val="both"/>
        <w:rPr/>
      </w:pPr>
      <w:r>
        <w:rPr>
          <w:b/>
          <w:bCs/>
        </w:rPr>
        <w:t>Market access.</w:t>
      </w:r>
      <w:r>
        <w:rPr/>
        <w:t xml:space="preserve"> Evidence beyond the Macro Diagnostic confirms that anchor operators can and do buy locally when suppliers are ready. Wilderness Botswana reports that more than 80% of its procurement by value comes from Botswana-based suppliers, and its supplier development programme raised annual contract value with citizen suppliers from BWP 6.3 million to BWP 15 million. In Livingstone, hotels have contracted smallholder farmers, including a women's mushroom farm, to supply produce. Earlier research in the Okavango Delta and Livingstone shows how much value leaks out of the region when supply chains are not local. Cross-border supply is held back by limited adoption of the KAZA Univisa and by low use of the COMESA Simplified Trade Regime.</w:t>
      </w:r>
    </w:p>
    <w:p>
      <w:pPr>
        <w:pStyle w:val="Normal"/>
        <w:jc w:val="both"/>
        <w:rPr/>
      </w:pPr>
      <w:r>
        <w:rPr>
          <w:b/>
          <w:bCs/>
        </w:rPr>
        <w:t>Business development services.</w:t>
      </w:r>
      <w:r>
        <w:rPr/>
        <w:t xml:space="preserve"> Each state has a lead public BSO (INAPEM in Angola, LEA in Botswana, NIPDB in Namibia, ZDA and CEEC in Zambia, SMEDCO in Zimbabwe), supported by chambers, tourism associations and conservation NGOs. Several new programmes could serve as entry points: NIPDB's High Potential Pool, the ZDA-CEEC agreement on financial and non-financial services, SMEDCO's MSME hubs and its planned entrepreneurship exchange with the Zimbabwe Stock Exchange, the national incubator network INAPEM is building, and the Wilderness-LEA supplier-development partnership. None yet offers a tourism supplier-development service at scale in the KAZA hubs.</w:t>
      </w:r>
    </w:p>
    <w:p>
      <w:pPr>
        <w:pStyle w:val="Normal"/>
        <w:jc w:val="both"/>
        <w:rPr/>
      </w:pPr>
      <w:r>
        <w:rPr>
          <w:b/>
          <w:bCs/>
        </w:rPr>
        <w:t>Gender and age.</w:t>
      </w:r>
      <w:r>
        <w:rPr/>
        <w:t xml:space="preserve"> The primary evidence used for this draft does not disaggregate MSME data by gender or age. Secondary national surveys indicate that women own a large share of MSMEs (more than 60% in Zimbabwe) and are concentrated in micro, informal and lower-margin activities such as crafts and food, while young people face very high unemployment and enter tourism mainly through guiding, transport and services. The clearest women-led model with investment potential in the evidence is a Zambian women's forest-products cooperative that supplies Livingstone hotels and has unsolicited export interest. All gender and age findings are flagged as indicative and should be confirmed through a disaggregated MSME survey in the next phase.</w:t>
      </w:r>
    </w:p>
    <w:p>
      <w:pPr>
        <w:pStyle w:val="Normal"/>
        <w:jc w:val="both"/>
        <w:rPr/>
      </w:pPr>
      <w:r>
        <w:rPr>
          <w:b/>
          <w:bCs/>
        </w:rPr>
        <w:t>Financial products.</w:t>
      </w:r>
      <w:r>
        <w:rPr/>
        <w:t xml:space="preserve"> Seasonality is decisive. In an illustrative guiding enterprise that earns 75% of its revenue in five peak months, a standard 24-month loan absorbs about 11% of peak-month revenue but about 48% of low-season revenue. Seasonal amortisation, low-season grace periods, contract-backed receivables finance and revenue-based repayment are better suited than standard monthly amortisation for most R-NBT MSMEs. Guarantees are relevant to financial institutions rather than directly to MSMEs. Equity is relevant to only a small number of growth enterprises and cooperatives and is better delivered as quasi-equity or revenue-share instruments.</w:t>
      </w:r>
    </w:p>
    <w:p>
      <w:pPr>
        <w:pStyle w:val="Normal"/>
        <w:jc w:val="both"/>
        <w:rPr/>
      </w:pPr>
      <w:r>
        <w:rPr>
          <w:b/>
          <w:bCs/>
        </w:rPr>
        <w:t>Recommendations.</w:t>
      </w:r>
      <w:r>
        <w:rPr/>
        <w:t xml:space="preserve"> The report proposes a four-tier readiness pathway with a different support package and finance pathway at each tier, delivered through strengthened BSOs and linked to real buyer contracts. It recommends gender-transformative measures (women's group-to-enterprise pathways, collateral alternatives, care-aware scheduling and women's leadership in cooperatives), youth-focused incubation centred on guiding, transport, waste and digital services, blended packages that pair technical assistance with grants converting to loans, BSO strengthening for investment-readiness and supplier development services, capacity building for financial institutions on seasonal cash-flow lending and tourism-sector risk, and a short list of enabling-environment actions that the programme can influence directly.</w:t>
      </w:r>
    </w:p>
    <w:p>
      <w:pPr>
        <w:pStyle w:val="Normal"/>
        <w:pBdr>
          <w:left w:val="single" w:sz="24" w:space="8" w:color="C8A951"/>
        </w:pBdr>
        <w:shd w:val="clear" w:color="auto" w:fill="E8F0EA"/>
        <w:spacing w:before="160" w:after="200"/>
        <w:ind w:left="200" w:right="200"/>
        <w:rPr/>
      </w:pPr>
      <w:r>
        <w:rPr>
          <w:i/>
          <w:iCs/>
          <w:sz w:val="21"/>
          <w:szCs w:val="21"/>
        </w:rPr>
        <w:t>This is a draft for discussion. It draws mainly on an extract of the KAZA R-NBT Macro Diagnostic Report (Draft, September 2026), which describes all of its findings as preliminary pending Partner State validation. Doing Business 2020 data date from May 2019 and refer to each country's largest business city, not to KAZA hubs. Gender and age findings rely on secondary national data and are indicative. Readiness ratings are the author's assessment and should be validated with MSMEs, BSOs, anchor buyers and financial institutions.</w:t>
      </w:r>
      <w:r>
        <w:br w:type="page"/>
      </w:r>
    </w:p>
    <w:p>
      <w:pPr>
        <w:pStyle w:val="Heading1"/>
        <w:spacing w:before="0" w:after="240"/>
        <w:rPr/>
      </w:pPr>
      <w:bookmarkStart w:id="1" w:name="__RefHeading___Toc2905_2470420549"/>
      <w:bookmarkEnd w:id="1"/>
      <w:r>
        <w:rPr/>
        <w:t>1. Introduction and Methodology</w:t>
      </w:r>
    </w:p>
    <w:p>
      <w:pPr>
        <w:pStyle w:val="Heading2"/>
        <w:rPr/>
      </w:pPr>
      <w:bookmarkStart w:id="2" w:name="__RefHeading___Toc2907_2470420549"/>
      <w:bookmarkEnd w:id="2"/>
      <w:r>
        <w:rPr/>
        <w:t>1.1 Purpose and Scope</w:t>
      </w:r>
    </w:p>
    <w:p>
      <w:pPr>
        <w:pStyle w:val="Normal"/>
        <w:jc w:val="both"/>
        <w:rPr/>
      </w:pPr>
      <w:r>
        <w:rPr/>
        <w:t>The assessment supports the KAZA Joint Action on Regenerative Nature-Based Tourism, funded by the European Union and Germany and implemented in the KAZA landscape by GIZ, which focuses on MSMEs led by women, youth and communities living near protected areas. Focusing on the priority value chains, it addresses five questions:</w:t>
      </w:r>
    </w:p>
    <w:p>
      <w:pPr>
        <w:pStyle w:val="ListParagraph"/>
        <w:numPr>
          <w:ilvl w:val="0"/>
          <w:numId w:val="4"/>
        </w:numPr>
        <w:rPr/>
      </w:pPr>
      <w:r>
        <w:rPr>
          <w:b/>
          <w:bCs/>
        </w:rPr>
        <w:t>Capacity-building needs:</w:t>
      </w:r>
      <w:r>
        <w:rPr/>
        <w:t xml:space="preserve"> what MSMEs, BSOs and financial institutions need to improve investment readiness and inclusive financing.</w:t>
      </w:r>
    </w:p>
    <w:p>
      <w:pPr>
        <w:pStyle w:val="ListParagraph"/>
        <w:numPr>
          <w:ilvl w:val="0"/>
          <w:numId w:val="5"/>
        </w:numPr>
        <w:rPr/>
      </w:pPr>
      <w:r>
        <w:rPr>
          <w:b/>
          <w:bCs/>
        </w:rPr>
        <w:t>Interventions:</w:t>
      </w:r>
      <w:r>
        <w:rPr/>
        <w:t xml:space="preserve"> which capacity-building interventions, tiered pathways, gender-transformative approaches, youth-focused incubation, blended support packages, BSO strengthening and financing pathways are recommended.</w:t>
      </w:r>
    </w:p>
    <w:p>
      <w:pPr>
        <w:pStyle w:val="ListParagraph"/>
        <w:numPr>
          <w:ilvl w:val="0"/>
          <w:numId w:val="6"/>
        </w:numPr>
        <w:rPr/>
      </w:pPr>
      <w:r>
        <w:rPr>
          <w:b/>
          <w:bCs/>
        </w:rPr>
        <w:t>Enabling environment:</w:t>
      </w:r>
      <w:r>
        <w:rPr/>
        <w:t xml:space="preserve"> how national (for each of the five KAZA states) and regional regulation, market access, business development services, linkages with larger tourism operators and policy conditions shape readiness.</w:t>
      </w:r>
    </w:p>
    <w:p>
      <w:pPr>
        <w:pStyle w:val="ListParagraph"/>
        <w:numPr>
          <w:ilvl w:val="0"/>
          <w:numId w:val="7"/>
        </w:numPr>
        <w:rPr/>
      </w:pPr>
      <w:r>
        <w:rPr>
          <w:b/>
          <w:bCs/>
        </w:rPr>
        <w:t>Scalable models:</w:t>
      </w:r>
      <w:r>
        <w:rPr/>
        <w:t xml:space="preserve"> which women- and youth-led MSME models show investment potential.</w:t>
      </w:r>
    </w:p>
    <w:p>
      <w:pPr>
        <w:pStyle w:val="ListParagraph"/>
        <w:numPr>
          <w:ilvl w:val="0"/>
          <w:numId w:val="8"/>
        </w:numPr>
        <w:rPr/>
      </w:pPr>
      <w:r>
        <w:rPr>
          <w:b/>
          <w:bCs/>
        </w:rPr>
        <w:t>Product readiness:</w:t>
      </w:r>
      <w:r>
        <w:rPr/>
        <w:t xml:space="preserve"> how ready MSMEs and financial institutions are for loans, guarantees and equity, how seasonality affects debt-based products, and whether alternatives such as revenue-based finance and flexible repayment are more appropriate.</w:t>
      </w:r>
    </w:p>
    <w:p>
      <w:pPr>
        <w:pStyle w:val="Heading2"/>
        <w:rPr/>
      </w:pPr>
      <w:bookmarkStart w:id="3" w:name="__RefHeading___Toc2909_2470420549"/>
      <w:bookmarkEnd w:id="3"/>
      <w:r>
        <w:rPr/>
        <w:t>1.2 Evidence Base</w:t>
      </w:r>
    </w:p>
    <w:p>
      <w:pPr>
        <w:pStyle w:val="Normal"/>
        <w:jc w:val="both"/>
        <w:rPr/>
      </w:pPr>
      <w:r>
        <w:rPr/>
        <w:t>The assessment draws on four sources of evidence, graded by confidence:</w:t>
      </w:r>
    </w:p>
    <w:p>
      <w:pPr>
        <w:pStyle w:val="Normal"/>
        <w:keepNext w:val="true"/>
        <w:spacing w:before="160" w:after="80"/>
        <w:rPr/>
      </w:pPr>
      <w:r>
        <w:rPr>
          <w:b/>
          <w:bCs/>
          <w:color w:val="1F5135"/>
          <w:sz w:val="20"/>
          <w:szCs w:val="20"/>
        </w:rPr>
        <w:t xml:space="preserve">Table 1: </w:t>
      </w:r>
      <w:r>
        <w:rPr>
          <w:i/>
          <w:iCs/>
          <w:sz w:val="20"/>
          <w:szCs w:val="20"/>
        </w:rPr>
        <w:t>Evidence sources and how they are used</w:t>
      </w:r>
    </w:p>
    <w:tbl>
      <w:tblPr>
        <w:tblW w:w="9026" w:type="dxa"/>
        <w:jc w:val="left"/>
        <w:tblInd w:w="0" w:type="dxa"/>
        <w:tblLayout w:type="fixed"/>
        <w:tblCellMar>
          <w:top w:w="60" w:type="dxa"/>
          <w:left w:w="100" w:type="dxa"/>
          <w:bottom w:w="60" w:type="dxa"/>
          <w:right w:w="100" w:type="dxa"/>
        </w:tblCellMar>
      </w:tblPr>
      <w:tblGrid>
        <w:gridCol w:w="2298"/>
        <w:gridCol w:w="3300"/>
        <w:gridCol w:w="3428"/>
      </w:tblGrid>
      <w:tr>
        <w:trPr>
          <w:tblHeader w:val="true"/>
        </w:trPr>
        <w:tc>
          <w:tcPr>
            <w:tcW w:w="22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Source</w:t>
            </w:r>
          </w:p>
        </w:tc>
        <w:tc>
          <w:tcPr>
            <w:tcW w:w="33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Content used</w:t>
            </w:r>
          </w:p>
        </w:tc>
        <w:tc>
          <w:tcPr>
            <w:tcW w:w="34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Confidence and limits</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R-NBT Macro Diagnostic Report (SIGMA International for GIZ, draft, September 2026), via the priority value chain extract</w:t>
            </w:r>
          </w:p>
        </w:tc>
        <w:tc>
          <w:tcPr>
            <w:tcW w:w="3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Value chains, buyer and enterprise evidence, MSME survey (71 respondents), destination and corridor findings, conditions for supplier development</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Primary evidence. Draft and preliminary; some findings rest on single interviews; Namibia (7 of 71 survey responses) and Angola (no survey responses) are thinly covered</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Financial Landscape Analysis (October 2026)</w:t>
            </w:r>
          </w:p>
        </w:tc>
        <w:tc>
          <w:tcPr>
            <w:tcW w:w="3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Financial actors, products, guarantee schemes, BSOs and institutional ratings by country</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Desk review; ratings indicative</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World Bank Doing Business 2020 economy profiles for the five states, with later reform evidence and the first Business Ready (B-READY) findings</w:t>
            </w:r>
          </w:p>
        </w:tc>
        <w:tc>
          <w:tcPr>
            <w:tcW w:w="3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Overall and topic rankings for business regulation; reforms since 2019</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Comparable across countries but dated (May 2019), measured in the largest business city and for a standard limited company, and discontinued in 2021; used to indicate relative regulatory burden</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Secondary national, sector and company data (FinScope MSME surveys, World Bank and AFI studies, labour force data, operator impact reports, academic studies, agency and press reports)</w:t>
            </w:r>
          </w:p>
        </w:tc>
        <w:tc>
          <w:tcPr>
            <w:tcW w:w="3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Gender, age, informality and record-keeping patterns; tourism demand; anchor procurement; BSO programmes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Not specific to KAZA in most cases; operator figures are self-reported; figures to be checked against full source documents before publication</w:t>
            </w:r>
          </w:p>
        </w:tc>
      </w:tr>
    </w:tbl>
    <w:p>
      <w:pPr>
        <w:pStyle w:val="Normal"/>
        <w:spacing w:before="0" w:after="120"/>
        <w:rPr/>
      </w:pPr>
      <w:r>
        <w:rPr/>
      </w:r>
    </w:p>
    <w:p>
      <w:pPr>
        <w:pStyle w:val="Normal"/>
        <w:jc w:val="both"/>
        <w:rPr/>
      </w:pPr>
      <w:r>
        <w:rPr/>
        <w:t>Page references to the Macro Diagnostic (shown as "MD p. N") are to the report's printed page numbers. Where this assessment draws an inference that the evidence does not state directly, it says so.</w:t>
      </w:r>
    </w:p>
    <w:p>
      <w:pPr>
        <w:pStyle w:val="Heading2"/>
        <w:rPr/>
      </w:pPr>
      <w:bookmarkStart w:id="4" w:name="__RefHeading___Toc2911_2470420549"/>
      <w:bookmarkEnd w:id="4"/>
      <w:r>
        <w:rPr/>
        <w:t>1.3 Readiness Framework</w:t>
      </w:r>
    </w:p>
    <w:p>
      <w:pPr>
        <w:pStyle w:val="Normal"/>
        <w:jc w:val="both"/>
        <w:rPr/>
      </w:pPr>
      <w:r>
        <w:rPr/>
        <w:t>Investment readiness is assessed across six dimensions. Each is rated Low, Medium or High for the typical MSME in a value chain or node:</w:t>
      </w:r>
    </w:p>
    <w:p>
      <w:pPr>
        <w:pStyle w:val="Normal"/>
        <w:keepNext w:val="true"/>
        <w:spacing w:before="160" w:after="80"/>
        <w:rPr/>
      </w:pPr>
      <w:r>
        <w:rPr>
          <w:b/>
          <w:bCs/>
          <w:color w:val="1F5135"/>
          <w:sz w:val="20"/>
          <w:szCs w:val="20"/>
        </w:rPr>
        <w:t xml:space="preserve">Table 2: </w:t>
      </w:r>
      <w:r>
        <w:rPr>
          <w:i/>
          <w:iCs/>
          <w:sz w:val="20"/>
          <w:szCs w:val="20"/>
        </w:rPr>
        <w:t>Investment readiness dimensions</w:t>
      </w:r>
    </w:p>
    <w:tbl>
      <w:tblPr>
        <w:tblW w:w="9026" w:type="dxa"/>
        <w:jc w:val="left"/>
        <w:tblInd w:w="0" w:type="dxa"/>
        <w:tblLayout w:type="fixed"/>
        <w:tblCellMar>
          <w:top w:w="60" w:type="dxa"/>
          <w:left w:w="100" w:type="dxa"/>
          <w:bottom w:w="60" w:type="dxa"/>
          <w:right w:w="100" w:type="dxa"/>
        </w:tblCellMar>
      </w:tblPr>
      <w:tblGrid>
        <w:gridCol w:w="2298"/>
        <w:gridCol w:w="6727"/>
      </w:tblGrid>
      <w:tr>
        <w:trPr>
          <w:tblHeader w:val="true"/>
        </w:trPr>
        <w:tc>
          <w:tcPr>
            <w:tcW w:w="22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Dimension</w:t>
            </w:r>
          </w:p>
        </w:tc>
        <w:tc>
          <w:tcPr>
            <w:tcW w:w="6727"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What is assessed</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model</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Clarity of the product and customer, revenue model, margins, scalability and resilience to seasonality and shocks</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Market linkage</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Existence of a credible buyer, repeat orders or contracts, ability to meet quality, volume and reliability standards</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Financial practices</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Separation of business and household money, savings, use of formal and informal finance, pricing and costing, working-capital management</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Record-keeping</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Sales, cost and cash records; bank or mobile-money trail; ability to produce management accounts or financial statements</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Formality and compliance</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registration, tax clearance and VAT status, licences, insurance and certification required by buyers</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Management and governance</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Owner or group capacity to plan, manage staff and suppliers; for cooperatives and community enterprises, governance and benefit-sharing rules</w:t>
            </w:r>
          </w:p>
        </w:tc>
      </w:tr>
    </w:tbl>
    <w:p>
      <w:pPr>
        <w:pStyle w:val="Normal"/>
        <w:spacing w:before="0" w:after="120"/>
        <w:rPr/>
      </w:pPr>
      <w:r>
        <w:rPr/>
      </w:r>
    </w:p>
    <w:p>
      <w:pPr>
        <w:pStyle w:val="Normal"/>
        <w:jc w:val="both"/>
        <w:rPr/>
      </w:pPr>
      <w:r>
        <w:rPr/>
        <w:t>These dimensions combine into four readiness tiers, used throughout the report:</w:t>
      </w:r>
    </w:p>
    <w:p>
      <w:pPr>
        <w:pStyle w:val="Normal"/>
        <w:keepNext w:val="true"/>
        <w:spacing w:before="160" w:after="80"/>
        <w:rPr/>
      </w:pPr>
      <w:r>
        <w:rPr>
          <w:b/>
          <w:bCs/>
          <w:color w:val="1F5135"/>
          <w:sz w:val="20"/>
          <w:szCs w:val="20"/>
        </w:rPr>
        <w:t xml:space="preserve">Table 3: </w:t>
      </w:r>
      <w:r>
        <w:rPr>
          <w:i/>
          <w:iCs/>
          <w:sz w:val="20"/>
          <w:szCs w:val="20"/>
        </w:rPr>
        <w:t>Readiness tiers</w:t>
      </w:r>
    </w:p>
    <w:tbl>
      <w:tblPr>
        <w:tblW w:w="9026" w:type="dxa"/>
        <w:jc w:val="left"/>
        <w:tblInd w:w="0" w:type="dxa"/>
        <w:tblLayout w:type="fixed"/>
        <w:tblCellMar>
          <w:top w:w="60" w:type="dxa"/>
          <w:left w:w="100" w:type="dxa"/>
          <w:bottom w:w="60" w:type="dxa"/>
          <w:right w:w="100" w:type="dxa"/>
        </w:tblCellMar>
      </w:tblPr>
      <w:tblGrid>
        <w:gridCol w:w="2100"/>
        <w:gridCol w:w="3726"/>
        <w:gridCol w:w="3200"/>
      </w:tblGrid>
      <w:tr>
        <w:trPr>
          <w:tblHeader w:val="true"/>
        </w:trPr>
        <w:tc>
          <w:tcPr>
            <w:tcW w:w="21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Tier</w:t>
            </w:r>
          </w:p>
        </w:tc>
        <w:tc>
          <w:tcPr>
            <w:tcW w:w="37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Typical profile</w:t>
            </w:r>
          </w:p>
        </w:tc>
        <w:tc>
          <w:tcPr>
            <w:tcW w:w="32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Appropriate finance</w:t>
            </w:r>
          </w:p>
        </w:tc>
      </w:tr>
      <w:tr>
        <w:trPr>
          <w:cantSplit w:val="true"/>
        </w:trPr>
        <w:tc>
          <w:tcPr>
            <w:tcW w:w="2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0: Pre-enterprise</w:t>
            </w:r>
          </w:p>
        </w:tc>
        <w:tc>
          <w:tcPr>
            <w:tcW w:w="37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Individual or group income activity; no registration; no records; sells informally or through a hub; often a savings-group member</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groups, grants, in-kind support</w:t>
            </w:r>
          </w:p>
        </w:tc>
      </w:tr>
      <w:tr>
        <w:trPr>
          <w:cantSplit w:val="true"/>
        </w:trPr>
        <w:tc>
          <w:tcPr>
            <w:tcW w:w="2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1: Emerging</w:t>
            </w:r>
          </w:p>
        </w:tc>
        <w:tc>
          <w:tcPr>
            <w:tcW w:w="37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Operating micro-enterprise; informal or partly registered; basic or no records; irregular sales to tourists or lodges</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Savings-linked micro-loans, small asset loans, matching grants</w:t>
            </w:r>
          </w:p>
        </w:tc>
      </w:tr>
      <w:tr>
        <w:trPr>
          <w:cantSplit w:val="true"/>
        </w:trPr>
        <w:tc>
          <w:tcPr>
            <w:tcW w:w="2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2: Supplier-ready</w:t>
            </w:r>
          </w:p>
        </w:tc>
        <w:tc>
          <w:tcPr>
            <w:tcW w:w="37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Registered; tax-compliant or close to it; simple records; repeat orders or a contract with an anchor buyer</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Contract-backed working capital, receivables finance, asset finance and leasing, guaranteed bank loans</w:t>
            </w:r>
          </w:p>
        </w:tc>
      </w:tr>
      <w:tr>
        <w:trPr>
          <w:cantSplit w:val="true"/>
        </w:trPr>
        <w:tc>
          <w:tcPr>
            <w:tcW w:w="2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3: Investment-ready</w:t>
            </w:r>
          </w:p>
        </w:tc>
        <w:tc>
          <w:tcPr>
            <w:tcW w:w="37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Formal; management accounts; diversified buyers; growth plan; governance in place</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Term loans, guaranteed lending, quasi-equity, revenue-based finance, equity for a few</w:t>
            </w:r>
          </w:p>
        </w:tc>
      </w:tr>
    </w:tbl>
    <w:p>
      <w:pPr>
        <w:pStyle w:val="Normal"/>
        <w:spacing w:before="0" w:after="120"/>
        <w:rPr/>
      </w:pPr>
      <w:r>
        <w:rPr/>
      </w:r>
    </w:p>
    <w:p>
      <w:pPr>
        <w:pStyle w:val="Heading2"/>
        <w:rPr/>
      </w:pPr>
      <w:bookmarkStart w:id="5" w:name="__RefHeading___Toc2913_2470420549"/>
      <w:bookmarkEnd w:id="5"/>
      <w:r>
        <w:rPr/>
        <w:t>1.4 Limitations</w:t>
      </w:r>
    </w:p>
    <w:p>
      <w:pPr>
        <w:pStyle w:val="ListParagraph"/>
        <w:numPr>
          <w:ilvl w:val="0"/>
          <w:numId w:val="9"/>
        </w:numPr>
        <w:rPr/>
      </w:pPr>
      <w:r>
        <w:rPr>
          <w:b/>
          <w:bCs/>
        </w:rPr>
        <w:t>No primary gender or age disaggregation.</w:t>
      </w:r>
      <w:r>
        <w:rPr/>
        <w:t xml:space="preserve"> The Macro Diagnostic extract available for this draft does not report MSME characteristics by gender or age of owner. Section 5 uses secondary national data and enterprise cases, and Annex B sets out how to close this gap.</w:t>
      </w:r>
    </w:p>
    <w:p>
      <w:pPr>
        <w:pStyle w:val="ListParagraph"/>
        <w:numPr>
          <w:ilvl w:val="0"/>
          <w:numId w:val="10"/>
        </w:numPr>
        <w:rPr/>
      </w:pPr>
      <w:r>
        <w:rPr>
          <w:b/>
          <w:bCs/>
        </w:rPr>
        <w:t>No value chain sizing.</w:t>
      </w:r>
      <w:r>
        <w:rPr/>
        <w:t xml:space="preserve"> The Macro Diagnostic does not size, rank or cost value chains and gives no margins (MD p. 31, 49). Readiness ratings are therefore qualitative.</w:t>
      </w:r>
    </w:p>
    <w:p>
      <w:pPr>
        <w:pStyle w:val="ListParagraph"/>
        <w:numPr>
          <w:ilvl w:val="0"/>
          <w:numId w:val="11"/>
        </w:numPr>
        <w:rPr/>
      </w:pPr>
      <w:r>
        <w:rPr>
          <w:b/>
          <w:bCs/>
        </w:rPr>
        <w:t>Uneven country coverage.</w:t>
      </w:r>
      <w:r>
        <w:rPr/>
        <w:t xml:space="preserve"> Botswana, Zimbabwe and Zambia are better evidenced than Namibia and Angola (MD p. 10, 109). Craft findings are Botswana-only (MD p. 153).</w:t>
      </w:r>
    </w:p>
    <w:p>
      <w:pPr>
        <w:pStyle w:val="ListParagraph"/>
        <w:numPr>
          <w:ilvl w:val="0"/>
          <w:numId w:val="12"/>
        </w:numPr>
        <w:rPr/>
      </w:pPr>
      <w:r>
        <w:rPr>
          <w:b/>
          <w:bCs/>
        </w:rPr>
        <w:t>Dated regulatory benchmarks.</w:t>
      </w:r>
      <w:r>
        <w:rPr/>
        <w:t xml:space="preserve"> Doing Business 2020 is the last edition of the series, which the World Bank discontinued in 2021 after data irregularities were found in earlier editions. Its successor, B-READY, did not yet cover all five KAZA states in its 2025 edition. Doing Business rankings are used here only to compare the five states with each other and to identify which regulatory procedures weigh most on MSMEs.</w:t>
      </w:r>
    </w:p>
    <w:p>
      <w:pPr>
        <w:pStyle w:val="ListParagraph"/>
        <w:numPr>
          <w:ilvl w:val="0"/>
          <w:numId w:val="13"/>
        </w:numPr>
        <w:rPr/>
      </w:pPr>
      <w:r>
        <w:rPr>
          <w:b/>
          <w:bCs/>
        </w:rPr>
        <w:t>Draft status.</w:t>
      </w:r>
      <w:r>
        <w:rPr/>
        <w:t xml:space="preserve"> The Macro Diagnostic is a draft for validation at the September 2026 Roundtable. Findings should be updated once it is final.</w:t>
      </w:r>
      <w:r>
        <w:br w:type="page"/>
      </w:r>
    </w:p>
    <w:p>
      <w:pPr>
        <w:pStyle w:val="Heading1"/>
        <w:spacing w:before="0" w:after="240"/>
        <w:rPr/>
      </w:pPr>
      <w:bookmarkStart w:id="6" w:name="__RefHeading___Toc2915_2470420549"/>
      <w:bookmarkEnd w:id="6"/>
      <w:r>
        <w:rPr/>
        <w:t>2. Priority Value Chains and Value Chain Nodes</w:t>
      </w:r>
    </w:p>
    <w:p>
      <w:pPr>
        <w:pStyle w:val="Heading2"/>
        <w:rPr/>
      </w:pPr>
      <w:bookmarkStart w:id="7" w:name="__RefHeading___Toc2917_2470420549"/>
      <w:bookmarkEnd w:id="7"/>
      <w:r>
        <w:rPr/>
        <w:t>2.1 The Eight Value Chains</w:t>
      </w:r>
    </w:p>
    <w:p>
      <w:pPr>
        <w:pStyle w:val="Normal"/>
        <w:jc w:val="both"/>
        <w:rPr/>
      </w:pPr>
      <w:r>
        <w:rPr/>
        <w:t xml:space="preserve">The Macro Diagnostic does not rank value chains. Its buyer evidence, destination findings and enterprise cases point to eight chains. This assessment groups them by the strength of the signal in the report: a </w:t>
      </w:r>
      <w:r>
        <w:rPr>
          <w:b/>
          <w:bCs/>
        </w:rPr>
        <w:t>strongest</w:t>
      </w:r>
      <w:r>
        <w:rPr/>
        <w:t xml:space="preserve"> signal means a buyer or the destination findings name the chain as the clearest opportunity, or a quantified gap supports it; a </w:t>
      </w:r>
      <w:r>
        <w:rPr>
          <w:b/>
          <w:bCs/>
        </w:rPr>
        <w:t>listed</w:t>
      </w:r>
      <w:r>
        <w:rPr/>
        <w:t xml:space="preserve"> chain is named among opportunities without ranking; an </w:t>
      </w:r>
      <w:r>
        <w:rPr>
          <w:b/>
          <w:bCs/>
        </w:rPr>
        <w:t>emerging</w:t>
      </w:r>
      <w:r>
        <w:rPr/>
        <w:t xml:space="preserve"> chain rests on single-interview enterprise cases; and </w:t>
      </w:r>
      <w:r>
        <w:rPr>
          <w:b/>
          <w:bCs/>
        </w:rPr>
        <w:t>context</w:t>
      </w:r>
      <w:r>
        <w:rPr/>
        <w:t xml:space="preserve"> marks a chain that shows where MSME participation is thin rather than a supply line in its own right.</w:t>
      </w:r>
    </w:p>
    <w:p>
      <w:pPr>
        <w:pStyle w:val="Heading3"/>
        <w:rPr/>
      </w:pPr>
      <w:r>
        <w:rPr/>
        <w:t>Chains with the strongest signal</w:t>
      </w:r>
    </w:p>
    <w:p>
      <w:pPr>
        <w:pStyle w:val="Normal"/>
        <w:jc w:val="both"/>
        <w:rPr/>
      </w:pPr>
      <w:r>
        <w:rPr>
          <w:b/>
          <w:bCs/>
        </w:rPr>
        <w:t>Local food and agricultural supply</w:t>
      </w:r>
      <w:r>
        <w:rPr/>
        <w:t xml:space="preserve"> (fresh produce, dry goods and beverages) has the clearest buyer endorsement in the evidence. A Hwange anchor lodge calls irrigated fruit and vegetable supply the clearest near-term opportunity, because sourcing from Bulawayo brings long transport chains, delays and quality problems (MD p. 75). A Botswana anchor operator puts food and produce, dry goods and beverages among the strongest genuine MSME opportunities (MD p. 68), and primary engagement in Kasane/Chobe lists local food and agricultural supply first among its supply-chain opportunities (MD p. 108). The report places the chain in Kasane/Chobe, Hwange, the Victoria Falls and Chobe-Zambezi corridors and the agricultural economy of Namibia's Zambezi Region, and notes that many of the strongest value-capture opportunities lie in agriculture and food supply, outside the conventional definition of a tourism business (MD p. 143). Retailers in Botswana report that they lack local produce to sell (MD p. 31).</w:t>
      </w:r>
    </w:p>
    <w:p>
      <w:pPr>
        <w:pStyle w:val="Normal"/>
        <w:jc w:val="both"/>
        <w:rPr/>
      </w:pPr>
      <w:r>
        <w:rPr>
          <w:b/>
          <w:bCs/>
        </w:rPr>
        <w:t>Lodge-linked goods</w:t>
      </w:r>
      <w:r>
        <w:rPr/>
        <w:t xml:space="preserve"> (décor, furnishings, building materials and gifts) are the chain with the strongest quantified gap. About 80% of lodge design and décor items in Namibia's Kavango and Zambezi regions are still imported, because local suppliers cannot yet match the consistency, quality, scale and price of imports (MD p. 70, 128); an anchor lodge and an industry association cite the same figure independently (MD p. 82). In Botswana, camp construction materials arrive largely through South African intermediaries (MD p. 68), while in Hwange sustained tourism demand has already drawn local suppliers into gifts, building materials and services (MD p. 75). The opportunity is therefore import substitution in a market that already exists, and the main barrier is the supplier's ability to meet lodge specifications rather than demand.</w:t>
      </w:r>
    </w:p>
    <w:p>
      <w:pPr>
        <w:pStyle w:val="Heading3"/>
        <w:rPr/>
      </w:pPr>
      <w:r>
        <w:rPr/>
        <w:t>Listed opportunities</w:t>
      </w:r>
    </w:p>
    <w:p>
      <w:pPr>
        <w:pStyle w:val="Normal"/>
        <w:jc w:val="both"/>
        <w:rPr/>
      </w:pPr>
      <w:r>
        <w:rPr>
          <w:b/>
          <w:bCs/>
        </w:rPr>
        <w:t>Crafts, cultural products and destination retail</w:t>
      </w:r>
      <w:r>
        <w:rPr/>
        <w:t xml:space="preserve"> are listed with a warning. The chain appears in Okavango/Maun, Kasane/Chobe, the Zambezi Region, the Victoria Falls corridor and the Ngamo CAMPFIRE area. Mass-produced generic curios oversupply the market without diversifying it, and the most frequently purchased item is a simple fridge magnet (MD p. 68). A Maun craft hub that connects more than 100 rural artisans holds export certifications but has no committed international buyers (MD p. 69). The report rates craft oversupply and weak buyer relationships as triangulated (MD p. 82) but notes that this evidence comes from Botswana only (MD p. 153). In Namibian conservancies, craft and similar small enterprises capture less than 1% of conservancy returns (MD p. 37, 40).</w:t>
      </w:r>
    </w:p>
    <w:p>
      <w:pPr>
        <w:pStyle w:val="Normal"/>
        <w:jc w:val="both"/>
        <w:rPr/>
      </w:pPr>
      <w:r>
        <w:rPr>
          <w:b/>
          <w:bCs/>
        </w:rPr>
        <w:t>Guiding, tours and activities</w:t>
      </w:r>
      <w:r>
        <w:rPr/>
        <w:t>, including cultural experiences, form the largest single-activity category in the MSME survey (7 of 71 respondents), and 42 of the 71 respondents combine several activities, most often guiding, transport and cultural experiences (MD p. 61). The chain is concentrated along the Livingstone-Victoria Falls-Kazungula-Chobe corridor, in the Okavango and Chobe system, and potentially in the Kavango/Cubango-Zambezi corridor, where bookings, guiding and logistics for Angola's flagship Luiana camp currently accrue in Namibia (MD p. 25, 118-119). A destination management company identifies guiding quality as a shared bottleneck across Zimbabwe, Zambia and Botswana (MD p. 84), and equipment finance for guides is a named financing gap in Botswana (MD p. 68).</w:t>
      </w:r>
    </w:p>
    <w:p>
      <w:pPr>
        <w:pStyle w:val="Normal"/>
        <w:jc w:val="both"/>
        <w:rPr/>
      </w:pPr>
      <w:r>
        <w:rPr>
          <w:b/>
          <w:bCs/>
        </w:rPr>
        <w:t>Transport, transfers and logistics</w:t>
      </w:r>
      <w:r>
        <w:rPr/>
        <w:t xml:space="preserve"> are listed for Kasane/Chobe, Hwange and the Victoria Falls corridor (MD p. 68, 75, 108, 118). This chain is shaped by ownership rules more than any other: Botswana bans foreign equity in touristic transfer companies, making them structurally an MSME space that depends on domestic capital and lodge or DMC contracts (MD p. 32, 34); Zambia and Angola also restrict foreign participation in road transport (MD p. 26, 44). Tax clearance and insurance are non-negotiable for transport sub-contractors to anchor operators (MD p. 74, 84).</w:t>
      </w:r>
    </w:p>
    <w:p>
      <w:pPr>
        <w:pStyle w:val="Normal"/>
        <w:jc w:val="both"/>
        <w:rPr/>
      </w:pPr>
      <w:r>
        <w:rPr>
          <w:b/>
          <w:bCs/>
        </w:rPr>
        <w:t>Waste, recycling, circular economy and cleaning</w:t>
      </w:r>
      <w:r>
        <w:rPr/>
        <w:t xml:space="preserve"> appear in the Botswana anchor operator's opportunity list and in the Kasane/Chobe list (MD p. 68, 108), and recycling is one of the practical opportunities named for the Zambezi Region (MD p. 108). Two enterprise cases illustrate the chain: the Maun craft hub turns bottle tops and fabric off-cuts into homeware, and a Namibian community trust grew from a waste-infrastructure gap into sewing, recycled-aluminium and beehive enterprises (MD p. 69, 71, 115). Both rest on single interviews.</w:t>
      </w:r>
    </w:p>
    <w:p>
      <w:pPr>
        <w:pStyle w:val="Heading3"/>
        <w:rPr/>
      </w:pPr>
      <w:r>
        <w:rPr/>
        <w:t>Emerging and contextual chains</w:t>
      </w:r>
    </w:p>
    <w:p>
      <w:pPr>
        <w:pStyle w:val="Normal"/>
        <w:jc w:val="both"/>
        <w:rPr/>
      </w:pPr>
      <w:r>
        <w:rPr>
          <w:b/>
          <w:bCs/>
        </w:rPr>
        <w:t>Nature-positive community products</w:t>
      </w:r>
      <w:r>
        <w:rPr/>
        <w:t xml:space="preserve"> (honey, forest products, conservation-compatible farming and dung paper) are emerging. In Botswana's Eastern Panhandle, an "Elephant Aware Economy" combines a low-tillage farming cooperative selling at a premium, a honey enterprise that uses bees to deter elephants, and elephant-dung paper (MD p. 69-70, 115). In Zambia, a women's forest-products cooperative sells mungongo oil and baobab coffee to Livingstone hotels and export buyers (MD p. 73, 101), and in Namibia the Sijwa beehive project returns 12% of sales to the conservancy (MD p. 115). Each case rests on a single interview and is illustrative rather than representative, but together they show some of the clearest women-led and conservation-linked models in the evidence.</w:t>
      </w:r>
    </w:p>
    <w:p>
      <w:pPr>
        <w:pStyle w:val="Normal"/>
        <w:jc w:val="both"/>
        <w:rPr/>
      </w:pPr>
      <w:r>
        <w:rPr>
          <w:b/>
          <w:bCs/>
        </w:rPr>
        <w:t>Accommodation</w:t>
      </w:r>
      <w:r>
        <w:rPr/>
        <w:t xml:space="preserve"> (community lodges, campsites and guesthouses) is context rather than a supply line. The report uses it to show where MSME participation is thin: only 1 of 80 surveyed community enterprises in Zimbabwe is a lodging operation, community campsites and traditional villages bring 0.9% of Namibian conservancy returns against 59.7% from joint-venture lodges, and Botswana reserves guesthouses for citizens (MD p. 11, 34, 37, 43, 109).</w:t>
      </w:r>
    </w:p>
    <w:p>
      <w:pPr>
        <w:pStyle w:val="Heading3"/>
        <w:rPr/>
      </w:pPr>
      <w:r>
        <w:rPr/>
        <w:t>Where the chains sit by destination</w:t>
      </w:r>
    </w:p>
    <w:p>
      <w:pPr>
        <w:pStyle w:val="Normal"/>
        <w:jc w:val="both"/>
        <w:rPr/>
      </w:pPr>
      <w:r>
        <w:rPr/>
        <w:t>The destination findings point to different entry chains in each pilot candidate (MD p. 106-110). Kasane/Chobe and Hwange-Victoria Falls offer the broadest anchor-led procurement opportunities across food, transport, building materials, waste and crafts. Okavango/Maun is framed around commercialising crafts and conservation-compatible products, the Zambezi Region around moving from benefit-sharing to local supply and commercial enterprise in recycling, agriculture and beekeeping, and Livingstone around helping smaller enterprises participate consistently through working capital, formalisation, certification and buyer connections. Angola's Cubango-Okavango is at an early stage that calls for enterprise identification and capability building before finance.</w:t>
      </w:r>
    </w:p>
    <w:p>
      <w:pPr>
        <w:pStyle w:val="Heading2"/>
        <w:rPr/>
      </w:pPr>
      <w:bookmarkStart w:id="8" w:name="__RefHeading___Toc2919_2470420549"/>
      <w:bookmarkEnd w:id="8"/>
      <w:r>
        <w:rPr/>
        <w:t>2.2 Value Chain Nodes</w:t>
      </w:r>
    </w:p>
    <w:p>
      <w:pPr>
        <w:pStyle w:val="Normal"/>
        <w:jc w:val="both"/>
        <w:rPr/>
      </w:pPr>
      <w:r>
        <w:rPr/>
        <w:t>To compare readiness across chains, the assessment uses five nodes. The same MSME may sit at more than one node, for example a cooperative that grows produce and delivers it to a lodge.</w:t>
      </w:r>
    </w:p>
    <w:p>
      <w:pPr>
        <w:pStyle w:val="Normal"/>
        <w:keepNext w:val="true"/>
        <w:spacing w:before="160" w:after="80"/>
        <w:rPr/>
      </w:pPr>
      <w:r>
        <w:rPr>
          <w:b/>
          <w:bCs/>
          <w:color w:val="1F5135"/>
          <w:sz w:val="20"/>
          <w:szCs w:val="20"/>
        </w:rPr>
        <w:t xml:space="preserve">Table 4: </w:t>
      </w:r>
      <w:r>
        <w:rPr>
          <w:i/>
          <w:iCs/>
          <w:sz w:val="20"/>
          <w:szCs w:val="20"/>
        </w:rPr>
        <w:t>Value chain nodes used in this assessment</w:t>
      </w:r>
    </w:p>
    <w:tbl>
      <w:tblPr>
        <w:tblW w:w="9026" w:type="dxa"/>
        <w:jc w:val="left"/>
        <w:tblInd w:w="0" w:type="dxa"/>
        <w:tblLayout w:type="fixed"/>
        <w:tblCellMar>
          <w:top w:w="60" w:type="dxa"/>
          <w:left w:w="100" w:type="dxa"/>
          <w:bottom w:w="60" w:type="dxa"/>
          <w:right w:w="100" w:type="dxa"/>
        </w:tblCellMar>
      </w:tblPr>
      <w:tblGrid>
        <w:gridCol w:w="2100"/>
        <w:gridCol w:w="3626"/>
        <w:gridCol w:w="3300"/>
      </w:tblGrid>
      <w:tr>
        <w:trPr>
          <w:tblHeader w:val="true"/>
        </w:trPr>
        <w:tc>
          <w:tcPr>
            <w:tcW w:w="21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Node</w:t>
            </w:r>
          </w:p>
        </w:tc>
        <w:tc>
          <w:tcPr>
            <w:tcW w:w="36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Description</w:t>
            </w:r>
          </w:p>
        </w:tc>
        <w:tc>
          <w:tcPr>
            <w:tcW w:w="33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Examples in KAZA</w:t>
            </w:r>
          </w:p>
        </w:tc>
      </w:tr>
      <w:tr>
        <w:trPr>
          <w:cantSplit w:val="true"/>
        </w:trPr>
        <w:tc>
          <w:tcPr>
            <w:tcW w:w="2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 Primary producer</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Grows, harvests or makes a product; usually individual or household</w:t>
            </w:r>
          </w:p>
        </w:tc>
        <w:tc>
          <w:tcPr>
            <w:tcW w:w="3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Market gardeners, beekeepers, forest-product harvesters, artisans</w:t>
            </w:r>
          </w:p>
        </w:tc>
      </w:tr>
      <w:tr>
        <w:trPr>
          <w:cantSplit w:val="true"/>
        </w:trPr>
        <w:tc>
          <w:tcPr>
            <w:tcW w:w="2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 Aggregator or processor</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Collects, processes, packages or adds value for several producers</w:t>
            </w:r>
          </w:p>
        </w:tc>
        <w:tc>
          <w:tcPr>
            <w:tcW w:w="3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Craft hubs, produce cooperatives, oil-pressing cooperatives, recycling workshops</w:t>
            </w:r>
          </w:p>
        </w:tc>
      </w:tr>
      <w:tr>
        <w:trPr>
          <w:cantSplit w:val="true"/>
        </w:trPr>
        <w:tc>
          <w:tcPr>
            <w:tcW w:w="2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 Supplier to anchor buyers</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Sells regularly to lodges, hotels, DMCs or retailers against orders or contracts</w:t>
            </w:r>
          </w:p>
        </w:tc>
        <w:tc>
          <w:tcPr>
            <w:tcW w:w="3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Fresh-produce suppliers, décor and furniture makers, building-material and cleaning suppliers</w:t>
            </w:r>
          </w:p>
        </w:tc>
      </w:tr>
      <w:tr>
        <w:trPr>
          <w:cantSplit w:val="true"/>
        </w:trPr>
        <w:tc>
          <w:tcPr>
            <w:tcW w:w="2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 Direct tourism service enterprise</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Sells experiences or services to visitors or operators</w:t>
            </w:r>
          </w:p>
        </w:tc>
        <w:tc>
          <w:tcPr>
            <w:tcW w:w="3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Guides, mokoro polers, transfer operators, cultural-tour operators</w:t>
            </w:r>
          </w:p>
        </w:tc>
      </w:tr>
      <w:tr>
        <w:trPr>
          <w:cantSplit w:val="true"/>
        </w:trPr>
        <w:tc>
          <w:tcPr>
            <w:tcW w:w="2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 Community enterprise</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Owned by a conservancy, trust, CBO or CAMPFIRE ward; benefit-sharing obligations</w:t>
            </w:r>
          </w:p>
        </w:tc>
        <w:tc>
          <w:tcPr>
            <w:tcW w:w="3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campsites, JV lodge partners, community craft markets</w:t>
            </w:r>
          </w:p>
        </w:tc>
      </w:tr>
    </w:tbl>
    <w:p>
      <w:pPr>
        <w:pStyle w:val="Normal"/>
        <w:spacing w:before="0" w:after="120"/>
        <w:rPr/>
      </w:pPr>
      <w:r>
        <w:rPr/>
      </w:r>
    </w:p>
    <w:p>
      <w:pPr>
        <w:pStyle w:val="Normal"/>
        <w:jc w:val="both"/>
        <w:rPr/>
      </w:pPr>
      <w:r>
        <w:rPr/>
        <w:t>The Macro Diagnostic stresses that local procurement is not the same as local value-add: the test is how much value is produced and retained locally (MD p. 68, 79). Readiness at nodes A and B therefore matters as much as at node C, even though finance is easiest to deliver at node C.</w:t>
      </w:r>
      <w:r>
        <w:br w:type="page"/>
      </w:r>
    </w:p>
    <w:p>
      <w:pPr>
        <w:pStyle w:val="Heading1"/>
        <w:spacing w:before="0" w:after="240"/>
        <w:rPr/>
      </w:pPr>
      <w:bookmarkStart w:id="9" w:name="__RefHeading___Toc2921_2470420549"/>
      <w:bookmarkEnd w:id="9"/>
      <w:r>
        <w:rPr/>
        <w:t>3. MSME Business Models</w:t>
      </w:r>
    </w:p>
    <w:p>
      <w:pPr>
        <w:pStyle w:val="Heading2"/>
        <w:rPr/>
      </w:pPr>
      <w:bookmarkStart w:id="10" w:name="__RefHeading___Toc2923_2470420549"/>
      <w:bookmarkEnd w:id="10"/>
      <w:r>
        <w:rPr/>
        <w:t>3.1 Common Features</w:t>
      </w:r>
    </w:p>
    <w:p>
      <w:pPr>
        <w:pStyle w:val="Normal"/>
        <w:jc w:val="both"/>
        <w:rPr/>
      </w:pPr>
      <w:r>
        <w:rPr/>
        <w:t>Across the priority chains, MSME business models share five features that shape their readiness for finance:</w:t>
      </w:r>
    </w:p>
    <w:p>
      <w:pPr>
        <w:pStyle w:val="ListParagraph"/>
        <w:numPr>
          <w:ilvl w:val="0"/>
          <w:numId w:val="14"/>
        </w:numPr>
        <w:rPr/>
      </w:pPr>
      <w:r>
        <w:rPr>
          <w:b/>
          <w:bCs/>
        </w:rPr>
        <w:t>Diversified and part-time.</w:t>
      </w:r>
      <w:r>
        <w:rPr/>
        <w:t xml:space="preserve"> 42 of the 71 MSMEs surveyed for the Macro Diagnostic combine several activities, most often guiding, transport and cultural experiences (MD p. 61). Many owners also farm or hold other jobs. Diversification spreads risk but makes cash flows harder for lenders to read.</w:t>
      </w:r>
    </w:p>
    <w:p>
      <w:pPr>
        <w:pStyle w:val="ListParagraph"/>
        <w:numPr>
          <w:ilvl w:val="0"/>
          <w:numId w:val="15"/>
        </w:numPr>
        <w:rPr/>
      </w:pPr>
      <w:r>
        <w:rPr>
          <w:b/>
          <w:bCs/>
        </w:rPr>
        <w:t>Small and micro.</w:t>
      </w:r>
      <w:r>
        <w:rPr/>
        <w:t xml:space="preserve"> Working capital needs for small suppliers can start as low as BWP 10,000 (MD p. 68), well below the minimum ticket size of most bank SME products.</w:t>
      </w:r>
    </w:p>
    <w:p>
      <w:pPr>
        <w:pStyle w:val="ListParagraph"/>
        <w:numPr>
          <w:ilvl w:val="0"/>
          <w:numId w:val="16"/>
        </w:numPr>
        <w:rPr/>
      </w:pPr>
      <w:r>
        <w:rPr>
          <w:b/>
          <w:bCs/>
        </w:rPr>
        <w:t>Dependent on anchor buyers or visitor flows.</w:t>
      </w:r>
      <w:r>
        <w:rPr/>
        <w:t xml:space="preserve"> Most revenue comes either from a small number of lodges and DMCs or directly from visitors in a short peak season. Anchor buyers value reliability over price, and a single failed delivery can end a relationship (MD p. 68).</w:t>
      </w:r>
    </w:p>
    <w:p>
      <w:pPr>
        <w:pStyle w:val="ListParagraph"/>
        <w:numPr>
          <w:ilvl w:val="0"/>
          <w:numId w:val="17"/>
        </w:numPr>
        <w:rPr/>
      </w:pPr>
      <w:r>
        <w:rPr>
          <w:b/>
          <w:bCs/>
        </w:rPr>
        <w:t>Seasonal.</w:t>
      </w:r>
      <w:r>
        <w:rPr/>
        <w:t xml:space="preserve"> Tourism demand is concentrated in the dry season (roughly June to October), and agricultural supply has its own seasons. Revenue and working-capital needs rarely line up.</w:t>
      </w:r>
    </w:p>
    <w:p>
      <w:pPr>
        <w:pStyle w:val="ListParagraph"/>
        <w:numPr>
          <w:ilvl w:val="0"/>
          <w:numId w:val="18"/>
        </w:numPr>
        <w:rPr/>
      </w:pPr>
      <w:r>
        <w:rPr>
          <w:b/>
          <w:bCs/>
        </w:rPr>
        <w:t>Low value capture.</w:t>
      </w:r>
      <w:r>
        <w:rPr/>
        <w:t xml:space="preserve"> In Namibian conservancies, craft, soap and oil, textile, village-tour and taxi SMMEs together capture under 1% of conservancy returns, against 59.7% from joint-venture lodges (MD p. 37, 40).</w:t>
      </w:r>
    </w:p>
    <w:p>
      <w:pPr>
        <w:pStyle w:val="Heading2"/>
        <w:rPr/>
      </w:pPr>
      <w:bookmarkStart w:id="11" w:name="__RefHeading___Toc2925_2470420549"/>
      <w:bookmarkEnd w:id="11"/>
      <w:r>
        <w:rPr/>
        <w:t>3.2 Business Models by Value Chain</w:t>
      </w:r>
    </w:p>
    <w:p>
      <w:pPr>
        <w:pStyle w:val="Normal"/>
        <w:jc w:val="both"/>
        <w:rPr/>
      </w:pPr>
      <w:r>
        <w:rPr>
          <w:b/>
          <w:bCs/>
        </w:rPr>
        <w:t>Food and agricultural supply.</w:t>
      </w:r>
      <w:r>
        <w:rPr/>
        <w:t xml:space="preserve"> The dominant model is the smallholder or household garden selling individually, with few cooperatives or aggregators. Sales to lodges and local retailers are mostly spot transactions with few contracts, and when local supply fails, Hwange lodges fall back on sourcing from Bulawayo (MD p. 75). The main weakness is the absence of aggregation: individual growers have neither the volume to supply a lodge consistently nor the bargaining power to negotiate terms, quality is inconsistent, and transport costs eat into margins (MD p. 75). The model becomes financeable once producers are organised into a group or cooperative that can hold a supply agreement.</w:t>
      </w:r>
    </w:p>
    <w:p>
      <w:pPr>
        <w:pStyle w:val="Normal"/>
        <w:jc w:val="both"/>
        <w:rPr/>
      </w:pPr>
      <w:r>
        <w:rPr>
          <w:b/>
          <w:bCs/>
        </w:rPr>
        <w:t>Lodge-linked goods.</w:t>
      </w:r>
      <w:r>
        <w:rPr/>
        <w:t xml:space="preserve"> The typical enterprise is a workshop-based artisan or small manufacturer of furniture, textiles, décor or building materials. Orders are project-based, arriving when lodges are built or refurbished, and imported substitutes set the benchmark for price and quality. The weakness is the inability, so far, to match the consistency, quality, scale and price of imports (MD p. 70, 128). Because orders are lumpy, these enterprises need working capital to buy materials ahead of delivery and occasional equipment finance to raise quality and volume.</w:t>
      </w:r>
    </w:p>
    <w:p>
      <w:pPr>
        <w:pStyle w:val="Normal"/>
        <w:jc w:val="both"/>
        <w:rPr/>
      </w:pPr>
      <w:r>
        <w:rPr>
          <w:b/>
          <w:bCs/>
        </w:rPr>
        <w:t>Crafts and cultural products.</w:t>
      </w:r>
      <w:r>
        <w:rPr/>
        <w:t xml:space="preserve"> Most producers are individual artisans, some organised through hubs or community markets. They sell to visitors at markets and lodge shops, where low-value items dominate; the fridge magnet is the most purchased item (MD p. 68). The weakness is structural: generic products are oversupplied and even certified producers lack committed export buyers (MD p. 69). Finance does not solve this problem; product differentiation and buyer relationships must come first.</w:t>
      </w:r>
    </w:p>
    <w:p>
      <w:pPr>
        <w:pStyle w:val="Normal"/>
        <w:jc w:val="both"/>
        <w:rPr/>
      </w:pPr>
      <w:r>
        <w:rPr>
          <w:b/>
          <w:bCs/>
        </w:rPr>
        <w:t>Guiding, tours and activities.</w:t>
      </w:r>
      <w:r>
        <w:rPr/>
        <w:t xml:space="preserve"> The model is the owner-operator guide or small activity operator, often combined with transport. Revenue comes from direct bookings and sub-contracts from lodges and DMCs, and two or three successful bookings can lead to regular listing (MD p. 75). The weaknesses are uneven guiding quality (MD p. 84), the cost of equipment and vehicles (MD p. 68), and the cost of visibility, including trade shows (MD p. 75). The model suits asset finance and revenue-linked repayment, provided it is matched to the season.</w:t>
      </w:r>
    </w:p>
    <w:p>
      <w:pPr>
        <w:pStyle w:val="Normal"/>
        <w:jc w:val="both"/>
        <w:rPr/>
      </w:pPr>
      <w:r>
        <w:rPr>
          <w:b/>
          <w:bCs/>
        </w:rPr>
        <w:t>Transport and transfers.</w:t>
      </w:r>
      <w:r>
        <w:rPr/>
        <w:t xml:space="preserve"> Owner-driven vehicle and boat operators earn per-trip or sub-hire income from operators and DMCs, which makes their revenue more contractual than most. Insurance is mandatory for sub-hire (MD p. 74, 84). The weaknesses are high vehicle costs, tax-clearance penalties for informal operators, and ownership rules that limit outside equity (MD p. 26, 32, 44). With a sub-hire contract and a vehicle as security, these are among the MSMEs closest to bankable.</w:t>
      </w:r>
    </w:p>
    <w:p>
      <w:pPr>
        <w:pStyle w:val="Normal"/>
        <w:jc w:val="both"/>
        <w:rPr/>
      </w:pPr>
      <w:r>
        <w:rPr>
          <w:b/>
          <w:bCs/>
        </w:rPr>
        <w:t>Waste, recycling and cleaning.</w:t>
      </w:r>
      <w:r>
        <w:rPr/>
        <w:t xml:space="preserve"> Community trusts, small service firms and upcycling workshops earn service-contract income from lodges and towns and sell upcycled goods. The chain is at an early stage and evidenced by a single case (MD p. 115). Service contracts with lodges or municipalities are the anchor that would make it financeable.</w:t>
      </w:r>
    </w:p>
    <w:p>
      <w:pPr>
        <w:pStyle w:val="Normal"/>
        <w:jc w:val="both"/>
        <w:rPr/>
      </w:pPr>
      <w:r>
        <w:rPr>
          <w:b/>
          <w:bCs/>
        </w:rPr>
        <w:t>Nature-positive community products.</w:t>
      </w:r>
      <w:r>
        <w:rPr/>
        <w:t xml:space="preserve"> Cooperatives and community enterprises produce honey, oils, low-tillage crops and dung paper and sell at premium prices to hotels and export buyers, often with conservation-linked benefit-sharing such as the 12% of Sijwa beehive sales returned to the conservancy (MD p. 115). The weakness is supply rather than demand: producers cannot meet existing orders, and certification is costly, about ZMW 30,000 for two products in the Zambian case (MD p. 73). Grants for certification and equipment, followed by working capital against export orders, fit this model.</w:t>
      </w:r>
    </w:p>
    <w:p>
      <w:pPr>
        <w:pStyle w:val="Normal"/>
        <w:jc w:val="both"/>
        <w:rPr/>
      </w:pPr>
      <w:r>
        <w:rPr>
          <w:b/>
          <w:bCs/>
        </w:rPr>
        <w:t>Accommodation.</w:t>
      </w:r>
      <w:r>
        <w:rPr/>
        <w:t xml:space="preserve"> Community campsites, JV partners and guesthouses earn visitor bookings or JV lease income. The MSME share is very small, and land and citizen-reservation rules shape who can participate (MD p. 34, 37). Finance needs are larger and longer-term than in the supply chains, and readiness depends heavily on governance and land tenure.</w:t>
      </w:r>
    </w:p>
    <w:p>
      <w:pPr>
        <w:pStyle w:val="Normal"/>
        <w:pBdr>
          <w:left w:val="single" w:sz="24" w:space="8" w:color="C8A951"/>
        </w:pBdr>
        <w:shd w:val="clear" w:color="auto" w:fill="E8F0EA"/>
        <w:spacing w:before="160" w:after="200"/>
        <w:ind w:left="200" w:right="200"/>
        <w:rPr/>
      </w:pPr>
      <w:r>
        <w:rPr>
          <w:i/>
          <w:iCs/>
          <w:sz w:val="21"/>
          <w:szCs w:val="21"/>
        </w:rPr>
        <w:t>Reading for finance: business models with a named buyer and repeat orders (suppliers to anchors, sub-hire transport, contracted guiding) can support debt sooner than those selling to passing visitors. Aggregation is the missing business-model element in food, crafts and nature-positive products.</w:t>
      </w:r>
      <w:r>
        <w:br w:type="page"/>
      </w:r>
    </w:p>
    <w:p>
      <w:pPr>
        <w:pStyle w:val="Heading1"/>
        <w:spacing w:before="0" w:after="240"/>
        <w:rPr/>
      </w:pPr>
      <w:bookmarkStart w:id="12" w:name="__RefHeading___Toc2927_2470420549"/>
      <w:bookmarkEnd w:id="12"/>
      <w:r>
        <w:rPr/>
        <w:t>4. Financial Practices, Record-Keeping and Informality</w:t>
      </w:r>
    </w:p>
    <w:p>
      <w:pPr>
        <w:pStyle w:val="Heading2"/>
        <w:rPr/>
      </w:pPr>
      <w:bookmarkStart w:id="13" w:name="__RefHeading___Toc2929_2470420549"/>
      <w:bookmarkEnd w:id="13"/>
      <w:r>
        <w:rPr/>
        <w:t>4.1 Financial Practices</w:t>
      </w:r>
    </w:p>
    <w:p>
      <w:pPr>
        <w:pStyle w:val="Normal"/>
        <w:jc w:val="both"/>
        <w:rPr/>
      </w:pPr>
      <w:r>
        <w:rPr/>
        <w:t>The evidence points to MSMEs that fund themselves from owner savings, family, savings groups and buyer prepayments rather than from formal credit:</w:t>
      </w:r>
    </w:p>
    <w:p>
      <w:pPr>
        <w:pStyle w:val="ListParagraph"/>
        <w:numPr>
          <w:ilvl w:val="0"/>
          <w:numId w:val="19"/>
        </w:numPr>
        <w:rPr/>
      </w:pPr>
      <w:r>
        <w:rPr>
          <w:b/>
          <w:bCs/>
        </w:rPr>
        <w:t>Self-funding.</w:t>
      </w:r>
      <w:r>
        <w:rPr/>
        <w:t xml:space="preserve"> The Zambian forest-products cooperative delays certification and self-funds because it cannot finance a ZMW 30,000 certification quote (MD p. 73). This pattern, in which growth is limited to what retained earnings allow, is typical of the cases in the diagnostic.</w:t>
      </w:r>
    </w:p>
    <w:p>
      <w:pPr>
        <w:pStyle w:val="ListParagraph"/>
        <w:numPr>
          <w:ilvl w:val="0"/>
          <w:numId w:val="20"/>
        </w:numPr>
        <w:rPr/>
      </w:pPr>
      <w:r>
        <w:rPr>
          <w:b/>
          <w:bCs/>
        </w:rPr>
        <w:t>Savings groups are the main financial institution.</w:t>
      </w:r>
      <w:r>
        <w:rPr/>
        <w:t xml:space="preserve"> Motshelo in Botswana, VSLAs in Namibia, chilimba and VSLAs in Zambia, mukando and ISALs in Zimbabwe, and kixikila in Angola are widespread (Financial Landscape Analysis). They are a savings base and a route to group lending, especially for women, but loan sizes are small and short.</w:t>
      </w:r>
    </w:p>
    <w:p>
      <w:pPr>
        <w:pStyle w:val="ListParagraph"/>
        <w:numPr>
          <w:ilvl w:val="0"/>
          <w:numId w:val="21"/>
        </w:numPr>
        <w:rPr/>
      </w:pPr>
      <w:r>
        <w:rPr>
          <w:b/>
          <w:bCs/>
        </w:rPr>
        <w:t>Low savings and thin buffers.</w:t>
      </w:r>
      <w:r>
        <w:rPr/>
        <w:t xml:space="preserve"> In Zimbabwe, 60% of MSME owners report that they do not save (FinScope MSME Zimbabwe 2022). Low-season cash shortfalls are therefore met by cutting activity, informal borrowing or drawing on household income.</w:t>
      </w:r>
    </w:p>
    <w:p>
      <w:pPr>
        <w:pStyle w:val="ListParagraph"/>
        <w:numPr>
          <w:ilvl w:val="0"/>
          <w:numId w:val="22"/>
        </w:numPr>
        <w:rPr/>
      </w:pPr>
      <w:r>
        <w:rPr>
          <w:b/>
          <w:bCs/>
        </w:rPr>
        <w:t>Pricing and costing.</w:t>
      </w:r>
      <w:r>
        <w:rPr/>
        <w:t xml:space="preserve"> New suppliers usually have to match the price and quality of the anchor's largest existing supplier (MD p. 68). Without cost records, many MSMEs cannot tell whether that price is profitable.</w:t>
      </w:r>
    </w:p>
    <w:p>
      <w:pPr>
        <w:pStyle w:val="ListParagraph"/>
        <w:numPr>
          <w:ilvl w:val="0"/>
          <w:numId w:val="23"/>
        </w:numPr>
        <w:rPr/>
      </w:pPr>
      <w:r>
        <w:rPr>
          <w:b/>
          <w:bCs/>
        </w:rPr>
        <w:t>Limited formal credit.</w:t>
      </w:r>
      <w:r>
        <w:rPr/>
        <w:t xml:space="preserve"> Formal lenders' requirements (collateral, registration, financial statements) exclude most MSMEs. Where credit is used, it tends to be short-term and costly, and seasonal repayment structures are rare (Financial Landscape Analysis).</w:t>
      </w:r>
    </w:p>
    <w:p>
      <w:pPr>
        <w:pStyle w:val="Heading2"/>
        <w:rPr/>
      </w:pPr>
      <w:bookmarkStart w:id="14" w:name="__RefHeading___Toc2931_2470420549"/>
      <w:bookmarkEnd w:id="14"/>
      <w:r>
        <w:rPr/>
        <w:t>4.2 Record-Keeping</w:t>
      </w:r>
    </w:p>
    <w:p>
      <w:pPr>
        <w:pStyle w:val="Normal"/>
        <w:jc w:val="both"/>
        <w:rPr/>
      </w:pPr>
      <w:r>
        <w:rPr/>
        <w:t>The Macro Diagnostic does not report record-keeping practice directly. National surveys suggest it is weak: in Zimbabwe's 2012 FinScope MSME survey, 49% of MSME owners kept no financial records and only 8% kept up-to-date accounts. The Financial Landscape Analysis notes that limited records, informality and weak credit histories are a common barrier across all five states, and that Botswana's LEA supports tourism enterprises in record keeping. For R-NBT MSMEs the practical issues are:</w:t>
      </w:r>
    </w:p>
    <w:p>
      <w:pPr>
        <w:pStyle w:val="ListParagraph"/>
        <w:numPr>
          <w:ilvl w:val="0"/>
          <w:numId w:val="24"/>
        </w:numPr>
        <w:rPr/>
      </w:pPr>
      <w:r>
        <w:rPr/>
        <w:t>Business and household cash are mixed, so lenders cannot see business cash flow.</w:t>
      </w:r>
    </w:p>
    <w:p>
      <w:pPr>
        <w:pStyle w:val="ListParagraph"/>
        <w:numPr>
          <w:ilvl w:val="0"/>
          <w:numId w:val="25"/>
        </w:numPr>
        <w:rPr/>
      </w:pPr>
      <w:r>
        <w:rPr/>
        <w:t>Sales to lodges usually generate invoices or purchase orders, which are a usable record even when the MSME keeps no books. This makes suppliers to anchors (node C) easier to assess than visitor-facing enterprises.</w:t>
      </w:r>
    </w:p>
    <w:p>
      <w:pPr>
        <w:pStyle w:val="ListParagraph"/>
        <w:numPr>
          <w:ilvl w:val="0"/>
          <w:numId w:val="26"/>
        </w:numPr>
        <w:rPr/>
      </w:pPr>
      <w:r>
        <w:rPr/>
        <w:t>Mobile-money and card payments create a digital trail, but women-owned SMEs in Zambia received only 6% of sales through mobile money in one World Bank study, so the trail is still thin.</w:t>
      </w:r>
    </w:p>
    <w:p>
      <w:pPr>
        <w:pStyle w:val="ListParagraph"/>
        <w:numPr>
          <w:ilvl w:val="0"/>
          <w:numId w:val="27"/>
        </w:numPr>
        <w:rPr/>
      </w:pPr>
      <w:r>
        <w:rPr/>
        <w:t>Cooperatives and community enterprises need records not only for lenders but for members and benefit-sharing, which raises the stakes of poor record-keeping.</w:t>
      </w:r>
    </w:p>
    <w:p>
      <w:pPr>
        <w:pStyle w:val="Heading2"/>
        <w:rPr/>
      </w:pPr>
      <w:bookmarkStart w:id="15" w:name="__RefHeading___Toc2933_2470420549"/>
      <w:bookmarkEnd w:id="15"/>
      <w:r>
        <w:rPr/>
        <w:t>4.3 Informality and its Cost</w:t>
      </w:r>
    </w:p>
    <w:p>
      <w:pPr>
        <w:pStyle w:val="Normal"/>
        <w:jc w:val="both"/>
        <w:rPr/>
      </w:pPr>
      <w:r>
        <w:rPr/>
        <w:t>Informality is the norm in the priority chains. The FinScope MSME Zimbabwe 2022 survey reports that about 86% of MSMEs are informal. Namibia has an estimated 34,000 MSMEs, of which about 15,000 are formally registered (World Bank). Zambia has not conducted a national MSME survey since 2004, so the size of its informal segment cannot be estimated reliably (AFI). Section 7.1 shows that the cost and time of formalising are themselves part of the explanation: all five states ranked in the bottom half of the world for starting a business in Doing Business 2020.</w:t>
      </w:r>
    </w:p>
    <w:p>
      <w:pPr>
        <w:pStyle w:val="Normal"/>
        <w:jc w:val="both"/>
        <w:rPr/>
      </w:pPr>
      <w:r>
        <w:rPr/>
        <w:t>Informality has a measurable cost for suppliers to the tourism industry:</w:t>
      </w:r>
    </w:p>
    <w:p>
      <w:pPr>
        <w:pStyle w:val="ListParagraph"/>
        <w:numPr>
          <w:ilvl w:val="0"/>
          <w:numId w:val="28"/>
        </w:numPr>
        <w:rPr/>
      </w:pPr>
      <w:r>
        <w:rPr>
          <w:b/>
          <w:bCs/>
        </w:rPr>
        <w:t>Tax penalties.</w:t>
      </w:r>
      <w:r>
        <w:rPr/>
        <w:t xml:space="preserve"> An anchor operator reports that a supplier without a tax clearance certificate faces 30% withholding tax, so roughly 54% of an improperly registered supplier's receipts can go to taxes and charges (MD p. 74, 84; operator-reported, not independently verified).</w:t>
      </w:r>
    </w:p>
    <w:p>
      <w:pPr>
        <w:pStyle w:val="ListParagraph"/>
        <w:numPr>
          <w:ilvl w:val="0"/>
          <w:numId w:val="29"/>
        </w:numPr>
        <w:rPr/>
      </w:pPr>
      <w:r>
        <w:rPr>
          <w:b/>
          <w:bCs/>
        </w:rPr>
        <w:t>VAT registration</w:t>
      </w:r>
      <w:r>
        <w:rPr/>
        <w:t xml:space="preserve"> is named as a constraint for food suppliers (MD p. 75).</w:t>
      </w:r>
    </w:p>
    <w:p>
      <w:pPr>
        <w:pStyle w:val="ListParagraph"/>
        <w:numPr>
          <w:ilvl w:val="0"/>
          <w:numId w:val="30"/>
        </w:numPr>
        <w:rPr/>
      </w:pPr>
      <w:r>
        <w:rPr>
          <w:b/>
          <w:bCs/>
        </w:rPr>
        <w:t>Insurance</w:t>
      </w:r>
      <w:r>
        <w:rPr/>
        <w:t xml:space="preserve"> is non-negotiable for transport sub-hire suppliers (MD p. 84).</w:t>
      </w:r>
    </w:p>
    <w:p>
      <w:pPr>
        <w:pStyle w:val="ListParagraph"/>
        <w:numPr>
          <w:ilvl w:val="0"/>
          <w:numId w:val="31"/>
        </w:numPr>
        <w:rPr/>
      </w:pPr>
      <w:r>
        <w:rPr>
          <w:b/>
          <w:bCs/>
        </w:rPr>
        <w:t>Certification</w:t>
      </w:r>
      <w:r>
        <w:rPr/>
        <w:t xml:space="preserve"> is a barrier for nature-positive products and craft exports (MD p. 69, 73).</w:t>
      </w:r>
    </w:p>
    <w:p>
      <w:pPr>
        <w:pStyle w:val="Normal"/>
        <w:jc w:val="both"/>
        <w:rPr/>
      </w:pPr>
      <w:r>
        <w:rPr/>
        <w:t>The Macro Diagnostic recommends that formalisation should not be a binary gate for programme support (MD p. 133-134, 137, 144). This assessment agrees: formalisation is better treated as a milestone on the readiness pathway, triggered when a real buyer or lender requires it, so that the benefit is visible to the MSME.</w:t>
      </w:r>
    </w:p>
    <w:p>
      <w:pPr>
        <w:pStyle w:val="Heading2"/>
        <w:rPr/>
      </w:pPr>
      <w:bookmarkStart w:id="16" w:name="__RefHeading___Toc2935_2470420549"/>
      <w:bookmarkEnd w:id="16"/>
      <w:r>
        <w:rPr/>
        <w:t>4.4 Readiness by Value Chain</w:t>
      </w:r>
    </w:p>
    <w:p>
      <w:pPr>
        <w:pStyle w:val="Normal"/>
        <w:jc w:val="both"/>
        <w:rPr/>
      </w:pPr>
      <w:r>
        <w:rPr/>
        <w:t>The table below rates the typical MSME in each chain on the six readiness dimensions. Ratings are the author's assessment from the evidence above and should be validated.</w:t>
      </w:r>
    </w:p>
    <w:p>
      <w:pPr>
        <w:pStyle w:val="Normal"/>
        <w:keepNext w:val="true"/>
        <w:spacing w:before="160" w:after="80"/>
        <w:rPr/>
      </w:pPr>
      <w:r>
        <w:rPr>
          <w:b/>
          <w:bCs/>
          <w:color w:val="1F5135"/>
          <w:sz w:val="20"/>
          <w:szCs w:val="20"/>
        </w:rPr>
        <w:t xml:space="preserve">Table 5: </w:t>
      </w:r>
      <w:r>
        <w:rPr>
          <w:i/>
          <w:iCs/>
          <w:sz w:val="20"/>
          <w:szCs w:val="20"/>
        </w:rPr>
        <w:t>Indicative readiness of the typical MSME by value chain</w:t>
      </w:r>
    </w:p>
    <w:tbl>
      <w:tblPr>
        <w:tblW w:w="9026" w:type="dxa"/>
        <w:jc w:val="left"/>
        <w:tblInd w:w="0" w:type="dxa"/>
        <w:tblLayout w:type="fixed"/>
        <w:tblCellMar>
          <w:top w:w="60" w:type="dxa"/>
          <w:left w:w="100" w:type="dxa"/>
          <w:bottom w:w="60" w:type="dxa"/>
          <w:right w:w="100" w:type="dxa"/>
        </w:tblCellMar>
      </w:tblPr>
      <w:tblGrid>
        <w:gridCol w:w="1625"/>
        <w:gridCol w:w="1051"/>
        <w:gridCol w:w="1099"/>
        <w:gridCol w:w="1100"/>
        <w:gridCol w:w="1050"/>
        <w:gridCol w:w="1100"/>
        <w:gridCol w:w="1102"/>
        <w:gridCol w:w="898"/>
      </w:tblGrid>
      <w:tr>
        <w:trPr>
          <w:tblHeader w:val="true"/>
        </w:trPr>
        <w:tc>
          <w:tcPr>
            <w:tcW w:w="1625"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Value chain</w:t>
            </w:r>
          </w:p>
        </w:tc>
        <w:tc>
          <w:tcPr>
            <w:tcW w:w="105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Business model</w:t>
            </w:r>
          </w:p>
        </w:tc>
        <w:tc>
          <w:tcPr>
            <w:tcW w:w="10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Market linkage</w:t>
            </w:r>
          </w:p>
        </w:tc>
        <w:tc>
          <w:tcPr>
            <w:tcW w:w="11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Financial practices</w:t>
            </w:r>
          </w:p>
        </w:tc>
        <w:tc>
          <w:tcPr>
            <w:tcW w:w="105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Records</w:t>
            </w:r>
          </w:p>
        </w:tc>
        <w:tc>
          <w:tcPr>
            <w:tcW w:w="11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Formality</w:t>
            </w:r>
          </w:p>
        </w:tc>
        <w:tc>
          <w:tcPr>
            <w:tcW w:w="11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Mgmt and governance</w:t>
            </w:r>
          </w:p>
        </w:tc>
        <w:tc>
          <w:tcPr>
            <w:tcW w:w="8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Typical tier</w:t>
            </w:r>
          </w:p>
        </w:tc>
      </w:tr>
      <w:tr>
        <w:trPr>
          <w:cantSplit w:val="true"/>
        </w:trPr>
        <w:tc>
          <w:tcPr>
            <w:tcW w:w="1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Food and agri supply</w:t>
            </w:r>
          </w:p>
        </w:tc>
        <w:tc>
          <w:tcPr>
            <w:tcW w:w="105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0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05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8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0-1</w:t>
            </w:r>
          </w:p>
        </w:tc>
      </w:tr>
      <w:tr>
        <w:trPr>
          <w:cantSplit w:val="true"/>
        </w:trPr>
        <w:tc>
          <w:tcPr>
            <w:tcW w:w="1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Lodge-linked goods</w:t>
            </w:r>
          </w:p>
        </w:tc>
        <w:tc>
          <w:tcPr>
            <w:tcW w:w="105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0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05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8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r>
      <w:tr>
        <w:trPr>
          <w:cantSplit w:val="true"/>
        </w:trPr>
        <w:tc>
          <w:tcPr>
            <w:tcW w:w="1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Crafts and culture</w:t>
            </w:r>
          </w:p>
        </w:tc>
        <w:tc>
          <w:tcPr>
            <w:tcW w:w="105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0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05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8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0-1</w:t>
            </w:r>
          </w:p>
        </w:tc>
      </w:tr>
      <w:tr>
        <w:trPr>
          <w:cantSplit w:val="true"/>
        </w:trPr>
        <w:tc>
          <w:tcPr>
            <w:tcW w:w="1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Guiding and activities</w:t>
            </w:r>
          </w:p>
        </w:tc>
        <w:tc>
          <w:tcPr>
            <w:tcW w:w="105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0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05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8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r>
      <w:tr>
        <w:trPr>
          <w:cantSplit w:val="true"/>
        </w:trPr>
        <w:tc>
          <w:tcPr>
            <w:tcW w:w="1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Transport and transfers</w:t>
            </w:r>
          </w:p>
        </w:tc>
        <w:tc>
          <w:tcPr>
            <w:tcW w:w="105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0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05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8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r>
      <w:tr>
        <w:trPr>
          <w:cantSplit w:val="true"/>
        </w:trPr>
        <w:tc>
          <w:tcPr>
            <w:tcW w:w="1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Waste and recycling</w:t>
            </w:r>
          </w:p>
        </w:tc>
        <w:tc>
          <w:tcPr>
            <w:tcW w:w="105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0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05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8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0-1</w:t>
            </w:r>
          </w:p>
        </w:tc>
      </w:tr>
      <w:tr>
        <w:trPr>
          <w:cantSplit w:val="true"/>
        </w:trPr>
        <w:tc>
          <w:tcPr>
            <w:tcW w:w="1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Nature-positive products</w:t>
            </w:r>
          </w:p>
        </w:tc>
        <w:tc>
          <w:tcPr>
            <w:tcW w:w="105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0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05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8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r>
      <w:tr>
        <w:trPr>
          <w:cantSplit w:val="true"/>
        </w:trPr>
        <w:tc>
          <w:tcPr>
            <w:tcW w:w="1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Accommodation (community)</w:t>
            </w:r>
          </w:p>
        </w:tc>
        <w:tc>
          <w:tcPr>
            <w:tcW w:w="105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0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05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8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r>
    </w:tbl>
    <w:p>
      <w:pPr>
        <w:pStyle w:val="Normal"/>
        <w:spacing w:before="0" w:after="120"/>
        <w:rPr/>
      </w:pPr>
      <w:r>
        <w:rPr/>
      </w:r>
      <w:r>
        <w:br w:type="page"/>
      </w:r>
    </w:p>
    <w:p>
      <w:pPr>
        <w:pStyle w:val="Heading1"/>
        <w:spacing w:before="0" w:after="240"/>
        <w:rPr/>
      </w:pPr>
      <w:bookmarkStart w:id="17" w:name="__RefHeading___Toc2937_2470420549"/>
      <w:bookmarkEnd w:id="17"/>
      <w:r>
        <w:rPr/>
        <w:t>5. Variation by Gender, Age and Value Chain Node</w:t>
      </w:r>
    </w:p>
    <w:p>
      <w:pPr>
        <w:pStyle w:val="Heading2"/>
        <w:rPr/>
      </w:pPr>
      <w:bookmarkStart w:id="18" w:name="__RefHeading___Toc2939_2470420549"/>
      <w:bookmarkEnd w:id="18"/>
      <w:r>
        <w:rPr/>
        <w:t>5.1 What the Evidence Can and Cannot Say</w:t>
      </w:r>
    </w:p>
    <w:p>
      <w:pPr>
        <w:pStyle w:val="Normal"/>
        <w:jc w:val="both"/>
        <w:rPr/>
      </w:pPr>
      <w:r>
        <w:rPr/>
        <w:t>The Terms of Reference ask for attention to variation by gender, age and value chain node. Value chain node can be assessed from the Macro Diagnostic. Gender and age cannot: the diagnostic extract does not report MSME data by sex or age of owner or manager, and the 71-respondent survey is too small to support disaggregation even if it did. The findings below on gender and age therefore draw on national surveys, sector studies and the enterprise cases, and are indicative. Annex B proposes the indicators and sampling needed to close the gap.</w:t>
      </w:r>
    </w:p>
    <w:p>
      <w:pPr>
        <w:pStyle w:val="Heading2"/>
        <w:rPr/>
      </w:pPr>
      <w:bookmarkStart w:id="19" w:name="__RefHeading___Toc2941_2470420549"/>
      <w:bookmarkEnd w:id="19"/>
      <w:r>
        <w:rPr/>
        <w:t>5.2 Gender</w:t>
      </w:r>
    </w:p>
    <w:p>
      <w:pPr>
        <w:pStyle w:val="Normal"/>
        <w:jc w:val="both"/>
        <w:rPr/>
      </w:pPr>
      <w:r>
        <w:rPr/>
        <w:t>Secondary data point to five patterns relevant to the priority chains:</w:t>
      </w:r>
    </w:p>
    <w:p>
      <w:pPr>
        <w:pStyle w:val="ListParagraph"/>
        <w:numPr>
          <w:ilvl w:val="0"/>
          <w:numId w:val="32"/>
        </w:numPr>
        <w:rPr/>
      </w:pPr>
      <w:r>
        <w:rPr>
          <w:b/>
          <w:bCs/>
        </w:rPr>
        <w:t>Women own a large share of MSMEs but are concentrated at the micro end.</w:t>
      </w:r>
      <w:r>
        <w:rPr/>
        <w:t xml:space="preserve"> Women own more than 60% of MSMEs in Zimbabwe (FinScope MSME 2022, as reported by the Reserve Bank of Zimbabwe). Regional FinScope surveys consistently find women concentrated in micro, informal enterprises.</w:t>
      </w:r>
    </w:p>
    <w:p>
      <w:pPr>
        <w:pStyle w:val="ListParagraph"/>
        <w:numPr>
          <w:ilvl w:val="0"/>
          <w:numId w:val="33"/>
        </w:numPr>
        <w:rPr/>
      </w:pPr>
      <w:r>
        <w:rPr>
          <w:b/>
          <w:bCs/>
        </w:rPr>
        <w:t>Women are not always less formal.</w:t>
      </w:r>
      <w:r>
        <w:rPr/>
        <w:t xml:space="preserve"> In Botswana, 56% of female business owners run formal businesses compared with 51% of male owners (FinScope MSME Botswana 2024). Formality alone does not explain the gender gap in finance.</w:t>
      </w:r>
    </w:p>
    <w:p>
      <w:pPr>
        <w:pStyle w:val="ListParagraph"/>
        <w:numPr>
          <w:ilvl w:val="0"/>
          <w:numId w:val="34"/>
        </w:numPr>
        <w:rPr/>
      </w:pPr>
      <w:r>
        <w:rPr>
          <w:b/>
          <w:bCs/>
        </w:rPr>
        <w:t>Women borrow less from banks and more from groups.</w:t>
      </w:r>
      <w:r>
        <w:rPr/>
        <w:t xml:space="preserve"> In Zimbabwe, only 22% of women-led MSMEs with bank accounts had applied for a commercial loan, falling to 8% in rural areas (African Journal of Inclusive Societies). In Zambia, women SME owners most often cite high interest rates (36%) as a barrier and turn to friends, family, moneylenders and community groups (World Bank W-SME study). Savings groups are where most women's enterprise finance happens.</w:t>
      </w:r>
    </w:p>
    <w:p>
      <w:pPr>
        <w:pStyle w:val="ListParagraph"/>
        <w:numPr>
          <w:ilvl w:val="0"/>
          <w:numId w:val="35"/>
        </w:numPr>
        <w:rPr/>
      </w:pPr>
      <w:r>
        <w:rPr>
          <w:b/>
          <w:bCs/>
        </w:rPr>
        <w:t>Collateral and land.</w:t>
      </w:r>
      <w:r>
        <w:rPr/>
        <w:t xml:space="preserve"> Customary and communal tenure, which already limits collateral for all R-NBT MSMEs, typically weighs more heavily on women, whose land rights are often secondary. Movable-asset and contract-based security therefore matter more for women.</w:t>
      </w:r>
    </w:p>
    <w:p>
      <w:pPr>
        <w:pStyle w:val="ListParagraph"/>
        <w:numPr>
          <w:ilvl w:val="0"/>
          <w:numId w:val="36"/>
        </w:numPr>
        <w:rPr/>
      </w:pPr>
      <w:r>
        <w:rPr>
          <w:b/>
          <w:bCs/>
        </w:rPr>
        <w:t>Women are likely concentrated in crafts, food and nature-positive products.</w:t>
      </w:r>
      <w:r>
        <w:rPr/>
        <w:t xml:space="preserve"> The only enterprise case in the diagnostic explicitly described as women-led is the Zambian forest-products cooperative (MD p. 73). The gender mix of the Maun craft hub, produce suppliers and other cases is not reported. Concentration of women in crafts and food is an inference from regional patterns and should be tested.</w:t>
      </w:r>
    </w:p>
    <w:p>
      <w:pPr>
        <w:pStyle w:val="Normal"/>
        <w:jc w:val="both"/>
        <w:rPr/>
      </w:pPr>
      <w:r>
        <w:rPr/>
        <w:t>Women are also prominent in small-scale cross-border trade, which links producers on either side of the Zambia-Zimbabwe border: in 2013 more than half of the traders using the COMESA Simplified Trade Regime were women (COMESA). This is relevant to food and craft supply along the Victoria Falls corridor.</w:t>
      </w:r>
    </w:p>
    <w:p>
      <w:pPr>
        <w:pStyle w:val="Normal"/>
        <w:jc w:val="both"/>
        <w:rPr/>
      </w:pPr>
      <w:r>
        <w:rPr>
          <w:b/>
          <w:bCs/>
        </w:rPr>
        <w:t>Implication.</w:t>
      </w:r>
      <w:r>
        <w:rPr/>
        <w:t xml:space="preserve"> Because crafts are oversupplied and food supply is fragmented, a programme that simply supports women in the chains where they already are risks locking them into the lowest-margin nodes. Gender-transformative support should help women move up the chain into aggregation, processing and supply contracts (nodes B and C), and into the higher-value chains such as lodge-linked goods and guiding.</w:t>
      </w:r>
    </w:p>
    <w:p>
      <w:pPr>
        <w:pStyle w:val="Heading2"/>
        <w:rPr/>
      </w:pPr>
      <w:bookmarkStart w:id="20" w:name="__RefHeading___Toc2943_2470420549"/>
      <w:bookmarkEnd w:id="20"/>
      <w:r>
        <w:rPr/>
        <w:t>5.3 Age</w:t>
      </w:r>
    </w:p>
    <w:p>
      <w:pPr>
        <w:pStyle w:val="ListParagraph"/>
        <w:numPr>
          <w:ilvl w:val="0"/>
          <w:numId w:val="37"/>
        </w:numPr>
        <w:rPr/>
      </w:pPr>
      <w:r>
        <w:rPr>
          <w:b/>
          <w:bCs/>
        </w:rPr>
        <w:t>Youth unemployment is high.</w:t>
      </w:r>
      <w:r>
        <w:rPr/>
        <w:t xml:space="preserve"> In Namibia, 41.9% of 15 to 24 year olds are not in employment, education or training (Labour Force Survey 2023). Youth unemployment is similarly a priority in all five states.</w:t>
      </w:r>
    </w:p>
    <w:p>
      <w:pPr>
        <w:pStyle w:val="ListParagraph"/>
        <w:numPr>
          <w:ilvl w:val="0"/>
          <w:numId w:val="38"/>
        </w:numPr>
        <w:rPr/>
      </w:pPr>
      <w:r>
        <w:rPr>
          <w:b/>
          <w:bCs/>
        </w:rPr>
        <w:t>Young people enter through services.</w:t>
      </w:r>
      <w:r>
        <w:rPr/>
        <w:t xml:space="preserve"> Guiding, transport and cultural experiences, the most common combination of activities in the MSME survey (MD p. 61), have low start-up costs for skills-based services and are accessible to young people with training. This is an inference; the survey does not report respondents' ages.</w:t>
      </w:r>
    </w:p>
    <w:p>
      <w:pPr>
        <w:pStyle w:val="ListParagraph"/>
        <w:numPr>
          <w:ilvl w:val="0"/>
          <w:numId w:val="39"/>
        </w:numPr>
        <w:rPr/>
      </w:pPr>
      <w:r>
        <w:rPr>
          <w:b/>
          <w:bCs/>
        </w:rPr>
        <w:t>Youth lack track record and assets.</w:t>
      </w:r>
      <w:r>
        <w:rPr/>
        <w:t xml:space="preserve"> Young entrepreneurs have no credit history, no collateral and often no registered business, which places them in Tier 0 or 1 regardless of the quality of their idea.</w:t>
      </w:r>
    </w:p>
    <w:p>
      <w:pPr>
        <w:pStyle w:val="ListParagraph"/>
        <w:numPr>
          <w:ilvl w:val="0"/>
          <w:numId w:val="40"/>
        </w:numPr>
        <w:rPr/>
      </w:pPr>
      <w:r>
        <w:rPr>
          <w:b/>
          <w:bCs/>
        </w:rPr>
        <w:t>Youth finance exists but is rarely tourism-specific.</w:t>
      </w:r>
      <w:r>
        <w:rPr/>
        <w:t xml:space="preserve"> Botswana's Youth Development Fund, Zimbabwe's EmpowerBank and youth windows at banks such as FNB Zambia offer youth products, but none is designed for seasonal tourism cash flows (Financial Landscape Analysis). Youth BDS programmes are emerging in the KAZA hubs, for example UNDP's youth-led MSME programme in Livingstone (Section 7.3).</w:t>
      </w:r>
    </w:p>
    <w:p>
      <w:pPr>
        <w:pStyle w:val="ListParagraph"/>
        <w:numPr>
          <w:ilvl w:val="0"/>
          <w:numId w:val="41"/>
        </w:numPr>
        <w:rPr/>
      </w:pPr>
      <w:r>
        <w:rPr>
          <w:b/>
          <w:bCs/>
        </w:rPr>
        <w:t>Waste, recycling and digital services</w:t>
      </w:r>
      <w:r>
        <w:rPr/>
        <w:t xml:space="preserve"> are newer activities with lower incumbency and may suit youth-led enterprises, although the evidence base is thin.</w:t>
      </w:r>
    </w:p>
    <w:p>
      <w:pPr>
        <w:pStyle w:val="Heading2"/>
        <w:rPr/>
      </w:pPr>
      <w:bookmarkStart w:id="21" w:name="__RefHeading___Toc2945_2470420549"/>
      <w:bookmarkEnd w:id="21"/>
      <w:r>
        <w:rPr/>
        <w:t>5.4 Value Chain Node</w:t>
      </w:r>
    </w:p>
    <w:p>
      <w:pPr>
        <w:pStyle w:val="Normal"/>
        <w:jc w:val="both"/>
        <w:rPr/>
      </w:pPr>
      <w:r>
        <w:rPr/>
        <w:t>Node is the strongest predictor of readiness in the evidence. The table below summarises how readiness and finance needs vary by node.</w:t>
      </w:r>
    </w:p>
    <w:p>
      <w:pPr>
        <w:pStyle w:val="Normal"/>
        <w:keepNext w:val="true"/>
        <w:spacing w:before="160" w:after="80"/>
        <w:rPr/>
      </w:pPr>
      <w:r>
        <w:rPr>
          <w:b/>
          <w:bCs/>
          <w:color w:val="1F5135"/>
          <w:sz w:val="20"/>
          <w:szCs w:val="20"/>
        </w:rPr>
        <w:t xml:space="preserve">Table 6: </w:t>
      </w:r>
      <w:r>
        <w:rPr>
          <w:i/>
          <w:iCs/>
          <w:sz w:val="20"/>
          <w:szCs w:val="20"/>
        </w:rPr>
        <w:t>Readiness and finance needs by value chain node</w:t>
      </w:r>
    </w:p>
    <w:tbl>
      <w:tblPr>
        <w:tblW w:w="9026" w:type="dxa"/>
        <w:jc w:val="left"/>
        <w:tblInd w:w="0" w:type="dxa"/>
        <w:tblLayout w:type="fixed"/>
        <w:tblCellMar>
          <w:top w:w="60" w:type="dxa"/>
          <w:left w:w="100" w:type="dxa"/>
          <w:bottom w:w="60" w:type="dxa"/>
          <w:right w:w="100" w:type="dxa"/>
        </w:tblCellMar>
      </w:tblPr>
      <w:tblGrid>
        <w:gridCol w:w="1698"/>
        <w:gridCol w:w="902"/>
        <w:gridCol w:w="2098"/>
        <w:gridCol w:w="2102"/>
        <w:gridCol w:w="22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Node</w:t>
            </w:r>
          </w:p>
        </w:tc>
        <w:tc>
          <w:tcPr>
            <w:tcW w:w="9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Typical tier</w:t>
            </w:r>
          </w:p>
        </w:tc>
        <w:tc>
          <w:tcPr>
            <w:tcW w:w="20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Binding constraint</w:t>
            </w:r>
          </w:p>
        </w:tc>
        <w:tc>
          <w:tcPr>
            <w:tcW w:w="21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Finance need</w:t>
            </w:r>
          </w:p>
        </w:tc>
        <w:tc>
          <w:tcPr>
            <w:tcW w:w="22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Likely gender and age profile (indicative)</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 Primary producer</w:t>
            </w:r>
          </w:p>
        </w:tc>
        <w:tc>
          <w:tcPr>
            <w:tcW w:w="9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0-1</w:t>
            </w:r>
          </w:p>
        </w:tc>
        <w:tc>
          <w:tcPr>
            <w:tcW w:w="20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Scale, quality, inputs, distance to market</w:t>
            </w:r>
          </w:p>
        </w:tc>
        <w:tc>
          <w:tcPr>
            <w:tcW w:w="2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Inputs, small tools, irrigation; savings-group credit</w:t>
            </w:r>
          </w:p>
        </w:tc>
        <w:tc>
          <w:tcPr>
            <w:tcW w:w="2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Women and older producers prominent in food and crafts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 Aggregator or processor</w:t>
            </w:r>
          </w:p>
        </w:tc>
        <w:tc>
          <w:tcPr>
            <w:tcW w:w="9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c>
          <w:tcPr>
            <w:tcW w:w="20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Governance, working capital, certification, equipment</w:t>
            </w:r>
          </w:p>
        </w:tc>
        <w:tc>
          <w:tcPr>
            <w:tcW w:w="2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Equipment, working capital, certification grants</w:t>
            </w:r>
          </w:p>
        </w:tc>
        <w:tc>
          <w:tcPr>
            <w:tcW w:w="2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Women-led cooperatives (e.g. forest products); mixed</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 Supplier to anchor buyers</w:t>
            </w:r>
          </w:p>
        </w:tc>
        <w:tc>
          <w:tcPr>
            <w:tcW w:w="9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2-3</w:t>
            </w:r>
          </w:p>
        </w:tc>
        <w:tc>
          <w:tcPr>
            <w:tcW w:w="20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Reliability, volume, tax compliance, working capital between delivery and payment</w:t>
            </w:r>
          </w:p>
        </w:tc>
        <w:tc>
          <w:tcPr>
            <w:tcW w:w="2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Contract-backed working capital, receivables and asset finance</w:t>
            </w:r>
          </w:p>
        </w:tc>
        <w:tc>
          <w:tcPr>
            <w:tcW w:w="2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More often male-owned and older (inferred)</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 Direct tourism service</w:t>
            </w:r>
          </w:p>
        </w:tc>
        <w:tc>
          <w:tcPr>
            <w:tcW w:w="9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c>
          <w:tcPr>
            <w:tcW w:w="20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Skills and quality, equipment, visibility, seasonality</w:t>
            </w:r>
          </w:p>
        </w:tc>
        <w:tc>
          <w:tcPr>
            <w:tcW w:w="2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Asset finance and leasing, licensing and insurance costs</w:t>
            </w:r>
          </w:p>
        </w:tc>
        <w:tc>
          <w:tcPr>
            <w:tcW w:w="2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Youth prominent in guiding; transport more often male</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 Community enterprise</w:t>
            </w:r>
          </w:p>
        </w:tc>
        <w:tc>
          <w:tcPr>
            <w:tcW w:w="9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c>
          <w:tcPr>
            <w:tcW w:w="20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Governance, benefit-sharing, tenure, leadership</w:t>
            </w:r>
          </w:p>
        </w:tc>
        <w:tc>
          <w:tcPr>
            <w:tcW w:w="21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revolving funds, blended finance</w:t>
            </w:r>
          </w:p>
        </w:tc>
        <w:tc>
          <w:tcPr>
            <w:tcW w:w="2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Depends on governance; women and youth often under-represented in leadership</w:t>
            </w:r>
          </w:p>
        </w:tc>
      </w:tr>
    </w:tbl>
    <w:p>
      <w:pPr>
        <w:pStyle w:val="Normal"/>
        <w:spacing w:before="0" w:after="120"/>
        <w:rPr/>
      </w:pPr>
      <w:r>
        <w:rPr/>
      </w:r>
      <w:r>
        <w:br w:type="page"/>
      </w:r>
    </w:p>
    <w:p>
      <w:pPr>
        <w:pStyle w:val="Heading1"/>
        <w:spacing w:before="0" w:after="240"/>
        <w:rPr/>
      </w:pPr>
      <w:bookmarkStart w:id="22" w:name="__RefHeading___Toc2947_2470420549"/>
      <w:bookmarkEnd w:id="22"/>
      <w:r>
        <w:rPr/>
        <w:t>6. Capacity-Building Needs</w:t>
      </w:r>
    </w:p>
    <w:p>
      <w:pPr>
        <w:pStyle w:val="Normal"/>
        <w:jc w:val="both"/>
        <w:rPr/>
      </w:pPr>
      <w:r>
        <w:rPr/>
        <w:t>This chapter identifies what MSMEs, BSOs and financial institutions need in order to improve investment readiness and make financing more inclusive. The needs follow from the business models, financial practices and readiness ratings in Chapters 3 to 5, and from the enabling-environment evidence in Chapter 7.</w:t>
      </w:r>
    </w:p>
    <w:p>
      <w:pPr>
        <w:pStyle w:val="Heading2"/>
        <w:rPr/>
      </w:pPr>
      <w:bookmarkStart w:id="23" w:name="__RefHeading___Toc2949_2470420549"/>
      <w:bookmarkEnd w:id="23"/>
      <w:r>
        <w:rPr/>
        <w:t>6.1 MSMEs</w:t>
      </w:r>
    </w:p>
    <w:p>
      <w:pPr>
        <w:pStyle w:val="ListParagraph"/>
        <w:numPr>
          <w:ilvl w:val="0"/>
          <w:numId w:val="42"/>
        </w:numPr>
        <w:rPr/>
      </w:pPr>
      <w:r>
        <w:rPr>
          <w:b/>
          <w:bCs/>
        </w:rPr>
        <w:t>Supplier readiness:</w:t>
      </w:r>
      <w:r>
        <w:rPr/>
        <w:t xml:space="preserve"> meeting anchor buyers' quality, volume, reliability and price standards; delivery scheduling; packaging and food safety for produce suppliers.</w:t>
      </w:r>
    </w:p>
    <w:p>
      <w:pPr>
        <w:pStyle w:val="ListParagraph"/>
        <w:numPr>
          <w:ilvl w:val="0"/>
          <w:numId w:val="43"/>
        </w:numPr>
        <w:rPr/>
      </w:pPr>
      <w:r>
        <w:rPr>
          <w:b/>
          <w:bCs/>
        </w:rPr>
        <w:t>Product development:</w:t>
      </w:r>
      <w:r>
        <w:rPr/>
        <w:t xml:space="preserve"> moving crafts from generic curios to market-led, storytelling-driven design (MD p. 68); developing décor and furnishing lines to lodge specifications.</w:t>
      </w:r>
    </w:p>
    <w:p>
      <w:pPr>
        <w:pStyle w:val="ListParagraph"/>
        <w:numPr>
          <w:ilvl w:val="0"/>
          <w:numId w:val="44"/>
        </w:numPr>
        <w:rPr/>
      </w:pPr>
      <w:r>
        <w:rPr>
          <w:b/>
          <w:bCs/>
        </w:rPr>
        <w:t>Aggregation and collective action:</w:t>
      </w:r>
      <w:r>
        <w:rPr/>
        <w:t xml:space="preserve"> forming and governing cooperatives or producer groups to achieve volume and bargaining power (MD p. 75).</w:t>
      </w:r>
    </w:p>
    <w:p>
      <w:pPr>
        <w:pStyle w:val="ListParagraph"/>
        <w:numPr>
          <w:ilvl w:val="0"/>
          <w:numId w:val="45"/>
        </w:numPr>
        <w:rPr/>
      </w:pPr>
      <w:r>
        <w:rPr>
          <w:b/>
          <w:bCs/>
        </w:rPr>
        <w:t>Financial management:</w:t>
      </w:r>
      <w:r>
        <w:rPr/>
        <w:t xml:space="preserve"> separating business and household money, simple bookkeeping, costing and pricing, cash-flow planning across the season, using mobile money to build a trail.</w:t>
      </w:r>
    </w:p>
    <w:p>
      <w:pPr>
        <w:pStyle w:val="ListParagraph"/>
        <w:numPr>
          <w:ilvl w:val="0"/>
          <w:numId w:val="46"/>
        </w:numPr>
        <w:rPr/>
      </w:pPr>
      <w:r>
        <w:rPr>
          <w:b/>
          <w:bCs/>
        </w:rPr>
        <w:t>Formalisation and compliance:</w:t>
      </w:r>
      <w:r>
        <w:rPr/>
        <w:t xml:space="preserve"> registration, tax clearance and VAT, insurance, licences and certification, sequenced to buyer and lender requirements. Given the cost and time of formalising (Section 7.1), MSMEs also need practical help through the procedures, not only information about them.</w:t>
      </w:r>
    </w:p>
    <w:p>
      <w:pPr>
        <w:pStyle w:val="ListParagraph"/>
        <w:numPr>
          <w:ilvl w:val="0"/>
          <w:numId w:val="47"/>
        </w:numPr>
        <w:rPr/>
      </w:pPr>
      <w:r>
        <w:rPr>
          <w:b/>
          <w:bCs/>
        </w:rPr>
        <w:t>Contracting:</w:t>
      </w:r>
      <w:r>
        <w:rPr/>
        <w:t xml:space="preserve"> understanding and negotiating supply agreements, payment terms and delivery obligations, which matters more where courts are slow to enforce contracts (Section 7.1).</w:t>
      </w:r>
    </w:p>
    <w:p>
      <w:pPr>
        <w:pStyle w:val="ListParagraph"/>
        <w:numPr>
          <w:ilvl w:val="0"/>
          <w:numId w:val="48"/>
        </w:numPr>
        <w:rPr/>
      </w:pPr>
      <w:r>
        <w:rPr>
          <w:b/>
          <w:bCs/>
        </w:rPr>
        <w:t>Marketing and visibility:</w:t>
      </w:r>
      <w:r>
        <w:rPr/>
        <w:t xml:space="preserve"> digital listing, trade shows and operator familiarisation (MD p. 75).</w:t>
      </w:r>
    </w:p>
    <w:p>
      <w:pPr>
        <w:pStyle w:val="ListParagraph"/>
        <w:numPr>
          <w:ilvl w:val="0"/>
          <w:numId w:val="49"/>
        </w:numPr>
        <w:rPr/>
      </w:pPr>
      <w:r>
        <w:rPr>
          <w:b/>
          <w:bCs/>
        </w:rPr>
        <w:t>Technical and service skills:</w:t>
      </w:r>
      <w:r>
        <w:rPr/>
        <w:t xml:space="preserve"> guiding quality (MD p. 84), hospitality, vehicle and boat maintenance, recycling technology.</w:t>
      </w:r>
    </w:p>
    <w:p>
      <w:pPr>
        <w:pStyle w:val="ListParagraph"/>
        <w:numPr>
          <w:ilvl w:val="0"/>
          <w:numId w:val="50"/>
        </w:numPr>
        <w:rPr/>
      </w:pPr>
      <w:r>
        <w:rPr>
          <w:b/>
          <w:bCs/>
        </w:rPr>
        <w:t>Investment readiness:</w:t>
      </w:r>
      <w:r>
        <w:rPr/>
        <w:t xml:space="preserve"> preparing a business plan and loan application, understanding product terms, negotiating with lenders.</w:t>
      </w:r>
    </w:p>
    <w:p>
      <w:pPr>
        <w:pStyle w:val="Normal"/>
        <w:jc w:val="both"/>
        <w:rPr/>
      </w:pPr>
      <w:r>
        <w:rPr/>
        <w:t>The priority gaps differ by chain. The table below links the main gaps in each priority chain to the interventions recommended in Chapter 10 and to the partners best placed to deliver them.</w:t>
      </w:r>
    </w:p>
    <w:p>
      <w:pPr>
        <w:pStyle w:val="Normal"/>
        <w:keepNext w:val="true"/>
        <w:spacing w:before="160" w:after="80"/>
        <w:rPr/>
      </w:pPr>
      <w:r>
        <w:rPr>
          <w:b/>
          <w:bCs/>
          <w:color w:val="1F5135"/>
          <w:sz w:val="20"/>
          <w:szCs w:val="20"/>
        </w:rPr>
        <w:t xml:space="preserve">Table 7: </w:t>
      </w:r>
      <w:r>
        <w:rPr>
          <w:i/>
          <w:iCs/>
          <w:sz w:val="20"/>
          <w:szCs w:val="20"/>
        </w:rPr>
        <w:t>MSME capacity gaps and recommended interventions by value chain</w:t>
      </w:r>
    </w:p>
    <w:tbl>
      <w:tblPr>
        <w:tblW w:w="9026" w:type="dxa"/>
        <w:jc w:val="left"/>
        <w:tblInd w:w="0" w:type="dxa"/>
        <w:tblLayout w:type="fixed"/>
        <w:tblCellMar>
          <w:top w:w="60" w:type="dxa"/>
          <w:left w:w="100" w:type="dxa"/>
          <w:bottom w:w="60" w:type="dxa"/>
          <w:right w:w="100" w:type="dxa"/>
        </w:tblCellMar>
      </w:tblPr>
      <w:tblGrid>
        <w:gridCol w:w="1500"/>
        <w:gridCol w:w="2599"/>
        <w:gridCol w:w="2727"/>
        <w:gridCol w:w="2199"/>
      </w:tblGrid>
      <w:tr>
        <w:trPr>
          <w:tblHeader w:val="true"/>
        </w:trPr>
        <w:tc>
          <w:tcPr>
            <w:tcW w:w="15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Value chain</w:t>
            </w:r>
          </w:p>
        </w:tc>
        <w:tc>
          <w:tcPr>
            <w:tcW w:w="25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Priority capacity gaps</w:t>
            </w:r>
          </w:p>
        </w:tc>
        <w:tc>
          <w:tcPr>
            <w:tcW w:w="2727"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Recommended interventions</w:t>
            </w:r>
          </w:p>
        </w:tc>
        <w:tc>
          <w:tcPr>
            <w:tcW w:w="21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Lead delivery partners (indicative)</w:t>
            </w:r>
          </w:p>
        </w:tc>
      </w:tr>
      <w:tr>
        <w:trPr>
          <w:cantSplit w:val="true"/>
        </w:trPr>
        <w:tc>
          <w:tcPr>
            <w:tcW w:w="1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Food and agricultural supply</w:t>
            </w:r>
          </w:p>
        </w:tc>
        <w:tc>
          <w:tcPr>
            <w:tcW w:w="25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Aggregation; consistent quality and volume; food safety and packaging; VAT and tax clearance; cash flow between delivery and payment</w:t>
            </w:r>
          </w:p>
        </w:tc>
        <w:tc>
          <w:tcPr>
            <w:tcW w:w="2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Producer-group formation; irrigation and post-harvest support; lodge supply agreements; contract-backed working capital</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Anchor lodges, LEA, SMEDCO, CEEC, agricultural extension, conservancies</w:t>
            </w:r>
          </w:p>
        </w:tc>
      </w:tr>
      <w:tr>
        <w:trPr>
          <w:cantSplit w:val="true"/>
        </w:trPr>
        <w:tc>
          <w:tcPr>
            <w:tcW w:w="1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Lodge-linked goods</w:t>
            </w:r>
          </w:p>
        </w:tc>
        <w:tc>
          <w:tcPr>
            <w:tcW w:w="25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Design to lodge specifications; consistency and finishing; costing against imports; working capital for materials</w:t>
            </w:r>
          </w:p>
        </w:tc>
        <w:tc>
          <w:tcPr>
            <w:tcW w:w="2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Design and quality coaching with lodge procurement teams; tooling and equipment finance; order-backed working capital</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Anchor operators, NIPDB, LEA, ZimTrade, ZDA, training institutions</w:t>
            </w:r>
          </w:p>
        </w:tc>
      </w:tr>
      <w:tr>
        <w:trPr>
          <w:cantSplit w:val="true"/>
        </w:trPr>
        <w:tc>
          <w:tcPr>
            <w:tcW w:w="1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Crafts and cultural products</w:t>
            </w:r>
          </w:p>
        </w:tc>
        <w:tc>
          <w:tcPr>
            <w:tcW w:w="25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Product differentiation; buyer relationships; pricing; export compliance</w:t>
            </w:r>
          </w:p>
        </w:tc>
        <w:tc>
          <w:tcPr>
            <w:tcW w:w="2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Market-led design; buyer brokerage and curated retail; e-commerce listing; finance only after orders</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Craft hubs, BTO, NTB, ZimTrade, tourism associations</w:t>
            </w:r>
          </w:p>
        </w:tc>
      </w:tr>
      <w:tr>
        <w:trPr>
          <w:cantSplit w:val="true"/>
        </w:trPr>
        <w:tc>
          <w:tcPr>
            <w:tcW w:w="1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Guiding and activities</w:t>
            </w:r>
          </w:p>
        </w:tc>
        <w:tc>
          <w:tcPr>
            <w:tcW w:w="25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Guiding quality and certification; equipment; online visibility; seasonal cash flow</w:t>
            </w:r>
          </w:p>
        </w:tc>
        <w:tc>
          <w:tcPr>
            <w:tcW w:w="2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Guide certification; lease-to-own equipment; digital marketing; seasonal or revenue-linked repayment</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Guides associations, training institutions, DMCs, youth funds</w:t>
            </w:r>
          </w:p>
        </w:tc>
      </w:tr>
      <w:tr>
        <w:trPr>
          <w:cantSplit w:val="true"/>
        </w:trPr>
        <w:tc>
          <w:tcPr>
            <w:tcW w:w="1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Transport and transfers</w:t>
            </w:r>
          </w:p>
        </w:tc>
        <w:tc>
          <w:tcPr>
            <w:tcW w:w="25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Tax clearance; insurance; vehicle maintenance; sub-hire contracts</w:t>
            </w:r>
          </w:p>
        </w:tc>
        <w:tc>
          <w:tcPr>
            <w:tcW w:w="2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Compliance support through one-stop centres; asset finance with seasonal schedules; sub-hire contract templates</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ZIDA, CIPA, ZDA, banks' asset-finance units, DMCs</w:t>
            </w:r>
          </w:p>
        </w:tc>
      </w:tr>
      <w:tr>
        <w:trPr>
          <w:cantSplit w:val="true"/>
        </w:trPr>
        <w:tc>
          <w:tcPr>
            <w:tcW w:w="1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Waste, recycling and cleaning</w:t>
            </w:r>
          </w:p>
        </w:tc>
        <w:tc>
          <w:tcPr>
            <w:tcW w:w="25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model; service contracts; equipment; health and safety</w:t>
            </w:r>
          </w:p>
        </w:tc>
        <w:tc>
          <w:tcPr>
            <w:tcW w:w="2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Service-contract brokerage with lodges and towns; equipment grants; youth incubation</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authorities, anchor lodges, NGOs, incubators</w:t>
            </w:r>
          </w:p>
        </w:tc>
      </w:tr>
      <w:tr>
        <w:trPr>
          <w:cantSplit w:val="true"/>
        </w:trPr>
        <w:tc>
          <w:tcPr>
            <w:tcW w:w="1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Nature-positive products</w:t>
            </w:r>
          </w:p>
        </w:tc>
        <w:tc>
          <w:tcPr>
            <w:tcW w:w="25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Supply volume; certification; governance; export readiness</w:t>
            </w:r>
          </w:p>
        </w:tc>
        <w:tc>
          <w:tcPr>
            <w:tcW w:w="2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Certification grants; processing equipment; governance support; export order finance</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Conservancies, CBNRM NGOs, CEEC, ZDA, export promotion bodies</w:t>
            </w:r>
          </w:p>
        </w:tc>
      </w:tr>
      <w:tr>
        <w:trPr>
          <w:cantSplit w:val="true"/>
        </w:trPr>
        <w:tc>
          <w:tcPr>
            <w:tcW w:w="1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Accommodation (community)</w:t>
            </w:r>
          </w:p>
        </w:tc>
        <w:tc>
          <w:tcPr>
            <w:tcW w:w="25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Governance; JV negotiation; service standards; tenure</w:t>
            </w:r>
          </w:p>
        </w:tc>
        <w:tc>
          <w:tcPr>
            <w:tcW w:w="2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Governance and JV advisory; grading and service training; blended finance</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BTO, NTB, ZTA (Zimbabwe), NACSO, CAMPFIRE Association</w:t>
            </w:r>
          </w:p>
        </w:tc>
      </w:tr>
    </w:tbl>
    <w:p>
      <w:pPr>
        <w:pStyle w:val="Normal"/>
        <w:spacing w:before="0" w:after="120"/>
        <w:rPr/>
      </w:pPr>
      <w:r>
        <w:rPr/>
      </w:r>
    </w:p>
    <w:p>
      <w:pPr>
        <w:pStyle w:val="Heading2"/>
        <w:rPr/>
      </w:pPr>
      <w:bookmarkStart w:id="24" w:name="__RefHeading___Toc2951_2470420549"/>
      <w:bookmarkEnd w:id="24"/>
      <w:r>
        <w:rPr/>
        <w:t>6.2 Business Support Organisations</w:t>
      </w:r>
    </w:p>
    <w:p>
      <w:pPr>
        <w:pStyle w:val="Normal"/>
        <w:jc w:val="both"/>
        <w:rPr/>
      </w:pPr>
      <w:r>
        <w:rPr/>
        <w:t>BSOs in KAZA include public agencies (INAPEM in Angola, LEA in Botswana, NIPDB in Namibia, ZDA and CEEC in Zambia, SMEDCO in Zimbabwe), associations (such as WIBA in Botswana and the tourism associations in each state), conservation NGOs and community institutions. Section 7.3 profiles the main organisations in each country. Their gaps are:</w:t>
      </w:r>
    </w:p>
    <w:p>
      <w:pPr>
        <w:pStyle w:val="ListParagraph"/>
        <w:numPr>
          <w:ilvl w:val="0"/>
          <w:numId w:val="51"/>
        </w:numPr>
        <w:rPr/>
      </w:pPr>
      <w:r>
        <w:rPr>
          <w:b/>
          <w:bCs/>
        </w:rPr>
        <w:t>Generic rather than sector-specific services.</w:t>
      </w:r>
      <w:r>
        <w:rPr/>
        <w:t xml:space="preserve"> Most BDS is general business training, not tourism supplier development or R-NBT product development.</w:t>
      </w:r>
    </w:p>
    <w:p>
      <w:pPr>
        <w:pStyle w:val="ListParagraph"/>
        <w:numPr>
          <w:ilvl w:val="0"/>
          <w:numId w:val="52"/>
        </w:numPr>
        <w:rPr/>
      </w:pPr>
      <w:r>
        <w:rPr>
          <w:b/>
          <w:bCs/>
        </w:rPr>
        <w:t>Weak link to finance.</w:t>
      </w:r>
      <w:r>
        <w:rPr/>
        <w:t xml:space="preserve"> BSOs and financiers operate in silos, producing weak pipelines of investment-ready MSMEs (Financial Landscape Analysis). Few BSOs prepare loan applications or broker introductions to lenders. Where BSOs are also lenders (CEDA, CEEC, SMEDCO), mentoring tends to follow a loan rather than prepare an MSME for one.</w:t>
      </w:r>
    </w:p>
    <w:p>
      <w:pPr>
        <w:pStyle w:val="ListParagraph"/>
        <w:numPr>
          <w:ilvl w:val="0"/>
          <w:numId w:val="53"/>
        </w:numPr>
        <w:rPr/>
      </w:pPr>
      <w:r>
        <w:rPr>
          <w:b/>
          <w:bCs/>
        </w:rPr>
        <w:t>Limited reach in KAZA hubs.</w:t>
      </w:r>
      <w:r>
        <w:rPr/>
        <w:t xml:space="preserve"> Services are concentrated in capitals; outreach to Kasane, Maun, Katima Mulilo, Rundu, Livingstone, Hwange and Cuando Cubango is thin. LEA's planned new offices, for example, are not in the KAZA hubs, and INAPEM's decentralised incubation has started in Huíla rather than in Cuando Cubango (Section 7.3).</w:t>
      </w:r>
    </w:p>
    <w:p>
      <w:pPr>
        <w:pStyle w:val="ListParagraph"/>
        <w:numPr>
          <w:ilvl w:val="0"/>
          <w:numId w:val="54"/>
        </w:numPr>
        <w:rPr/>
      </w:pPr>
      <w:r>
        <w:rPr>
          <w:b/>
          <w:bCs/>
        </w:rPr>
        <w:t>Institutional uncertainty.</w:t>
      </w:r>
      <w:r>
        <w:rPr/>
        <w:t xml:space="preserve"> Several lead BSOs are being restructured or refunded: the long-pending LEA-CEDA merger in Botswana, the reset of CEEC funding in Zambia, and BIPA's delayed online registration system in Namibia. This makes it harder for BSOs to commit to multi-year supplier-development programmes.</w:t>
      </w:r>
    </w:p>
    <w:p>
      <w:pPr>
        <w:pStyle w:val="ListParagraph"/>
        <w:numPr>
          <w:ilvl w:val="0"/>
          <w:numId w:val="55"/>
        </w:numPr>
        <w:rPr/>
      </w:pPr>
      <w:r>
        <w:rPr>
          <w:b/>
          <w:bCs/>
        </w:rPr>
        <w:t>No diagnostic or tracking tools.</w:t>
      </w:r>
      <w:r>
        <w:rPr/>
        <w:t xml:space="preserve"> BSOs lack a common readiness diagnostic and do not track MSMEs' progress from tier to tier.</w:t>
      </w:r>
    </w:p>
    <w:p>
      <w:pPr>
        <w:pStyle w:val="ListParagraph"/>
        <w:numPr>
          <w:ilvl w:val="0"/>
          <w:numId w:val="56"/>
        </w:numPr>
        <w:rPr/>
      </w:pPr>
      <w:r>
        <w:rPr>
          <w:b/>
          <w:bCs/>
        </w:rPr>
        <w:t>Gender and youth capacity.</w:t>
      </w:r>
      <w:r>
        <w:rPr/>
        <w:t xml:space="preserve"> Few BSOs have staff or methods for gender-transformative or youth-specific support.</w:t>
      </w:r>
    </w:p>
    <w:p>
      <w:pPr>
        <w:pStyle w:val="ListParagraph"/>
        <w:numPr>
          <w:ilvl w:val="0"/>
          <w:numId w:val="57"/>
        </w:numPr>
        <w:rPr/>
      </w:pPr>
      <w:r>
        <w:rPr>
          <w:b/>
          <w:bCs/>
        </w:rPr>
        <w:t>Funding.</w:t>
      </w:r>
      <w:r>
        <w:rPr/>
        <w:t xml:space="preserve"> The 2025 wind-down of USAID programmes removed grant and technical-assistance funding for many community enterprise programmes (Financial Landscape Analysis).</w:t>
      </w:r>
    </w:p>
    <w:p>
      <w:pPr>
        <w:pStyle w:val="Heading2"/>
        <w:rPr/>
      </w:pPr>
      <w:bookmarkStart w:id="25" w:name="__RefHeading___Toc2953_2470420549"/>
      <w:bookmarkEnd w:id="25"/>
      <w:r>
        <w:rPr/>
        <w:t>6.3 Financial Institutions</w:t>
      </w:r>
    </w:p>
    <w:p>
      <w:pPr>
        <w:pStyle w:val="ListParagraph"/>
        <w:numPr>
          <w:ilvl w:val="0"/>
          <w:numId w:val="58"/>
        </w:numPr>
        <w:rPr/>
      </w:pPr>
      <w:r>
        <w:rPr>
          <w:b/>
          <w:bCs/>
        </w:rPr>
        <w:t>Seasonal cash-flow lending:</w:t>
      </w:r>
      <w:r>
        <w:rPr/>
        <w:t xml:space="preserve"> structuring repayment around tourism and agricultural seasons rather than monthly amortisation.</w:t>
      </w:r>
    </w:p>
    <w:p>
      <w:pPr>
        <w:pStyle w:val="ListParagraph"/>
        <w:numPr>
          <w:ilvl w:val="0"/>
          <w:numId w:val="59"/>
        </w:numPr>
        <w:rPr/>
      </w:pPr>
      <w:r>
        <w:rPr>
          <w:b/>
          <w:bCs/>
        </w:rPr>
        <w:t>Sector knowledge:</w:t>
      </w:r>
      <w:r>
        <w:rPr/>
        <w:t xml:space="preserve"> understanding R-NBT business models, anchor-buyer contracts, concessions and JV arrangements.</w:t>
      </w:r>
    </w:p>
    <w:p>
      <w:pPr>
        <w:pStyle w:val="ListParagraph"/>
        <w:numPr>
          <w:ilvl w:val="0"/>
          <w:numId w:val="60"/>
        </w:numPr>
        <w:rPr/>
      </w:pPr>
      <w:r>
        <w:rPr>
          <w:b/>
          <w:bCs/>
        </w:rPr>
        <w:t>Alternative collateral and data:</w:t>
      </w:r>
      <w:r>
        <w:rPr/>
        <w:t xml:space="preserve"> using purchase orders, receivables, movable-asset registries, mobile-money data and savings-group records in credit assessment. Zambia's 4th-place ranking for getting credit in Doing Business 2020 shows that the legal tools exist there; the gap is their use for small borrowers. In Angola, which ranked 185th, lenders have few such tools and need contractual workarounds such as payment routing through the anchor buyer.</w:t>
      </w:r>
    </w:p>
    <w:p>
      <w:pPr>
        <w:pStyle w:val="ListParagraph"/>
        <w:numPr>
          <w:ilvl w:val="0"/>
          <w:numId w:val="61"/>
        </w:numPr>
        <w:rPr/>
      </w:pPr>
      <w:r>
        <w:rPr>
          <w:b/>
          <w:bCs/>
        </w:rPr>
        <w:t>Small-ticket economics:</w:t>
      </w:r>
      <w:r>
        <w:rPr/>
        <w:t xml:space="preserve"> reducing the unit cost of small loans through digital origination, group or value-chain lending, and BSO pre-screening.</w:t>
      </w:r>
    </w:p>
    <w:p>
      <w:pPr>
        <w:pStyle w:val="ListParagraph"/>
        <w:numPr>
          <w:ilvl w:val="0"/>
          <w:numId w:val="62"/>
        </w:numPr>
        <w:rPr/>
      </w:pPr>
      <w:r>
        <w:rPr>
          <w:b/>
          <w:bCs/>
        </w:rPr>
        <w:t>Guarantee use:</w:t>
      </w:r>
      <w:r>
        <w:rPr/>
        <w:t xml:space="preserve"> many banks under-use existing credit guarantee schemes; staff need to understand when and how to use them.</w:t>
      </w:r>
    </w:p>
    <w:p>
      <w:pPr>
        <w:pStyle w:val="ListParagraph"/>
        <w:numPr>
          <w:ilvl w:val="0"/>
          <w:numId w:val="63"/>
        </w:numPr>
        <w:rPr/>
      </w:pPr>
      <w:r>
        <w:rPr>
          <w:b/>
          <w:bCs/>
        </w:rPr>
        <w:t>Gender-smart lending:</w:t>
      </w:r>
      <w:r>
        <w:rPr/>
        <w:t xml:space="preserve"> collecting sex-disaggregated portfolio data, designing products for women-owned enterprises and training staff to reduce bias.</w:t>
      </w:r>
    </w:p>
    <w:p>
      <w:pPr>
        <w:pStyle w:val="ListParagraph"/>
        <w:numPr>
          <w:ilvl w:val="0"/>
          <w:numId w:val="64"/>
        </w:numPr>
        <w:rPr/>
      </w:pPr>
      <w:r>
        <w:rPr>
          <w:b/>
          <w:bCs/>
        </w:rPr>
        <w:t>Regenerative screening:</w:t>
      </w:r>
      <w:r>
        <w:rPr/>
        <w:t xml:space="preserve"> applying simple environmental and social criteria consistent with a KAZA R-NBT eligibility framework.</w:t>
      </w:r>
    </w:p>
    <w:p>
      <w:pPr>
        <w:pStyle w:val="Normal"/>
        <w:keepNext w:val="true"/>
        <w:spacing w:before="160" w:after="80"/>
        <w:rPr/>
      </w:pPr>
      <w:r>
        <w:rPr>
          <w:b/>
          <w:bCs/>
          <w:color w:val="1F5135"/>
          <w:sz w:val="20"/>
          <w:szCs w:val="20"/>
        </w:rPr>
        <w:t xml:space="preserve">Table 8: </w:t>
      </w:r>
      <w:r>
        <w:rPr>
          <w:i/>
          <w:iCs/>
          <w:sz w:val="20"/>
          <w:szCs w:val="20"/>
        </w:rPr>
        <w:t>Summary of capacity gaps by actor and priority</w:t>
      </w:r>
    </w:p>
    <w:tbl>
      <w:tblPr>
        <w:tblW w:w="9026" w:type="dxa"/>
        <w:jc w:val="left"/>
        <w:tblInd w:w="0" w:type="dxa"/>
        <w:tblLayout w:type="fixed"/>
        <w:tblCellMar>
          <w:top w:w="60" w:type="dxa"/>
          <w:left w:w="100" w:type="dxa"/>
          <w:bottom w:w="60" w:type="dxa"/>
          <w:right w:w="100" w:type="dxa"/>
        </w:tblCellMar>
      </w:tblPr>
      <w:tblGrid>
        <w:gridCol w:w="1899"/>
        <w:gridCol w:w="3626"/>
        <w:gridCol w:w="1301"/>
        <w:gridCol w:w="2199"/>
      </w:tblGrid>
      <w:tr>
        <w:trPr>
          <w:tblHeader w:val="true"/>
        </w:trPr>
        <w:tc>
          <w:tcPr>
            <w:tcW w:w="18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Actor</w:t>
            </w:r>
          </w:p>
        </w:tc>
        <w:tc>
          <w:tcPr>
            <w:tcW w:w="36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Priority capacity gaps</w:t>
            </w:r>
          </w:p>
        </w:tc>
        <w:tc>
          <w:tcPr>
            <w:tcW w:w="13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Priority</w:t>
            </w:r>
          </w:p>
        </w:tc>
        <w:tc>
          <w:tcPr>
            <w:tcW w:w="21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Chains most affected</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MSMEs (producers, node A)</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Aggregation, quality, basic records, savings discipline</w:t>
            </w:r>
          </w:p>
        </w:tc>
        <w:tc>
          <w:tcPr>
            <w:tcW w:w="13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Food, crafts, nature-positive</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MSMEs (suppliers and services, nodes C-D)</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Reliability, compliance, contracting, cash-flow planning, investment readiness</w:t>
            </w:r>
          </w:p>
        </w:tc>
        <w:tc>
          <w:tcPr>
            <w:tcW w:w="13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Lodge-linked goods, food, transport, guiding</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Cooperatives and community enterprises (nodes B, E)</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Governance, benefit-sharing, certification, leadership including women and youth</w:t>
            </w:r>
          </w:p>
        </w:tc>
        <w:tc>
          <w:tcPr>
            <w:tcW w:w="13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Nature-positive, crafts, accommodation</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BSOs</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Sector-specific supplier development; readiness diagnostic; finance brokerage; KAZA outreach; gender and youth methods</w:t>
            </w:r>
          </w:p>
        </w:tc>
        <w:tc>
          <w:tcPr>
            <w:tcW w:w="13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All</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Financial institutions</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Seasonal structuring; alternative collateral; guarantee use; gender-disaggregated data</w:t>
            </w:r>
          </w:p>
        </w:tc>
        <w:tc>
          <w:tcPr>
            <w:tcW w:w="13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All, especially supply chains</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Anchor buyers</w:t>
            </w:r>
          </w:p>
        </w:tc>
        <w:tc>
          <w:tcPr>
            <w:tcW w:w="36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Supplier-development commitment; payment terms that support MSME cash flow; contract templates</w:t>
            </w:r>
          </w:p>
        </w:tc>
        <w:tc>
          <w:tcPr>
            <w:tcW w:w="13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Food, lodge-linked goods, transport</w:t>
            </w:r>
          </w:p>
        </w:tc>
      </w:tr>
    </w:tbl>
    <w:p>
      <w:pPr>
        <w:pStyle w:val="Normal"/>
        <w:spacing w:before="0" w:after="120"/>
        <w:rPr/>
      </w:pPr>
      <w:r>
        <w:rPr/>
      </w:r>
      <w:r>
        <w:br w:type="page"/>
      </w:r>
    </w:p>
    <w:p>
      <w:pPr>
        <w:pStyle w:val="Heading1"/>
        <w:spacing w:before="0" w:after="240"/>
        <w:rPr/>
      </w:pPr>
      <w:bookmarkStart w:id="26" w:name="__RefHeading___Toc2955_2470420549"/>
      <w:bookmarkEnd w:id="26"/>
      <w:r>
        <w:rPr/>
        <w:t>7. Enabling Environment</w:t>
      </w:r>
    </w:p>
    <w:p>
      <w:pPr>
        <w:pStyle w:val="Normal"/>
        <w:jc w:val="both"/>
        <w:rPr/>
      </w:pPr>
      <w:r>
        <w:rPr/>
        <w:t>This chapter evaluates the conditions outside the enterprise that shape investment readiness: national and regional regulation, market access and links with larger tourism operators, business development services, and wider policy conditions. Section 7.1 draws on the World Bank's Doing Business 2020 country reports to compare the five states. Section 7.2 adds evidence on market access from sources outside the Macro Diagnostic, and Section 7.3 profiles the main BSOs in each country.</w:t>
      </w:r>
    </w:p>
    <w:p>
      <w:pPr>
        <w:pStyle w:val="Heading2"/>
        <w:rPr/>
      </w:pPr>
      <w:bookmarkStart w:id="27" w:name="__RefHeading___Toc2957_2470420549"/>
      <w:bookmarkEnd w:id="27"/>
      <w:r>
        <w:rPr/>
        <w:t>7.1 National and Regional Regulatory Frameworks</w:t>
      </w:r>
    </w:p>
    <w:p>
      <w:pPr>
        <w:pStyle w:val="Heading3"/>
        <w:rPr/>
      </w:pPr>
      <w:r>
        <w:rPr/>
        <w:t>What the Doing Business country reports show</w:t>
      </w:r>
    </w:p>
    <w:p>
      <w:pPr>
        <w:pStyle w:val="Normal"/>
        <w:jc w:val="both"/>
        <w:rPr/>
      </w:pPr>
      <w:r>
        <w:rPr/>
        <w:t>The World Bank's Doing Business 2020 economy profiles are the most recent source that measures business regulation in all five KAZA states in the same way. They score ten areas of regulation that a small or medium-sized domestic limited company meets over its life, from starting a business to resolving insolvency, and rank 190 economies. The data were collected to May 2019 and describe the largest business city in each country (Luanda, Gaborone, Windhoek, Lusaka and Harare), not the KAZA hubs, where procedures are usually slower and offices further away. The series was discontinued in 2021, so the rankings are best read as a comparison between the five states and a guide to which procedures weigh most on MSMEs.</w:t>
      </w:r>
    </w:p>
    <w:p>
      <w:pPr>
        <w:pStyle w:val="Normal"/>
        <w:keepNext w:val="true"/>
        <w:spacing w:before="160" w:after="80"/>
        <w:rPr/>
      </w:pPr>
      <w:r>
        <w:rPr>
          <w:b/>
          <w:bCs/>
          <w:color w:val="1F5135"/>
          <w:sz w:val="20"/>
          <w:szCs w:val="20"/>
        </w:rPr>
        <w:t xml:space="preserve">Table 9: </w:t>
      </w:r>
      <w:r>
        <w:rPr>
          <w:i/>
          <w:iCs/>
          <w:sz w:val="20"/>
          <w:szCs w:val="20"/>
        </w:rPr>
        <w:t>Doing Business 2020: overall and topic rankings of the five KAZA states (out of 190 economies)</w:t>
      </w:r>
    </w:p>
    <w:tbl>
      <w:tblPr>
        <w:tblW w:w="9026" w:type="dxa"/>
        <w:jc w:val="left"/>
        <w:tblInd w:w="0" w:type="dxa"/>
        <w:tblLayout w:type="fixed"/>
        <w:tblCellMar>
          <w:top w:w="60" w:type="dxa"/>
          <w:left w:w="100" w:type="dxa"/>
          <w:bottom w:w="60" w:type="dxa"/>
          <w:right w:w="100" w:type="dxa"/>
        </w:tblCellMar>
      </w:tblPr>
      <w:tblGrid>
        <w:gridCol w:w="2625"/>
        <w:gridCol w:w="1280"/>
        <w:gridCol w:w="1281"/>
        <w:gridCol w:w="1281"/>
        <w:gridCol w:w="1280"/>
        <w:gridCol w:w="1278"/>
      </w:tblGrid>
      <w:tr>
        <w:trPr>
          <w:tblHeader w:val="true"/>
        </w:trPr>
        <w:tc>
          <w:tcPr>
            <w:tcW w:w="2625"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Indicator</w:t>
            </w:r>
          </w:p>
        </w:tc>
        <w:tc>
          <w:tcPr>
            <w:tcW w:w="128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Angola</w:t>
            </w:r>
          </w:p>
        </w:tc>
        <w:tc>
          <w:tcPr>
            <w:tcW w:w="128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Botswana</w:t>
            </w:r>
          </w:p>
        </w:tc>
        <w:tc>
          <w:tcPr>
            <w:tcW w:w="128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Namibia</w:t>
            </w:r>
          </w:p>
        </w:tc>
        <w:tc>
          <w:tcPr>
            <w:tcW w:w="128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Zambia</w:t>
            </w:r>
          </w:p>
        </w:tc>
        <w:tc>
          <w:tcPr>
            <w:tcW w:w="127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Zimbabwe</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Ease of doing business: rank (score out of 100)</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177 (41.3)</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87 (66.2)</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104 (61.4)</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85 (66.9)</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140 (54.5)</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Starting a business</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146</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159</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165</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117</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167</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Dealing with construction permits</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120</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44</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84</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67</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140</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Getting electricity</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156</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139</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76</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129</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167</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Registering property</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167</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82</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173</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149</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109</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Getting credit</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185</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80</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80</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4</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67</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Protecting minority investors</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147</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72</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88</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72</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97</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Paying taxes</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106</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59</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 (score 74.5)</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17</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146</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Trading across borders</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174</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55</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138</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155</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159</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Enforcing contracts</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186</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137</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64</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130</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169</w:t>
            </w:r>
          </w:p>
        </w:tc>
      </w:tr>
      <w:tr>
        <w:trPr>
          <w:cantSplit w:val="true"/>
        </w:trPr>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Resolving insolvency</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168</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84</w:t>
            </w:r>
          </w:p>
        </w:tc>
        <w:tc>
          <w:tcPr>
            <w:tcW w:w="128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127</w:t>
            </w:r>
          </w:p>
        </w:tc>
        <w:tc>
          <w:tcPr>
            <w:tcW w:w="128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79</w:t>
            </w:r>
          </w:p>
        </w:tc>
        <w:tc>
          <w:tcPr>
            <w:tcW w:w="127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142</w:t>
            </w:r>
          </w:p>
        </w:tc>
      </w:tr>
    </w:tbl>
    <w:p>
      <w:pPr>
        <w:pStyle w:val="Normal"/>
        <w:spacing w:before="0" w:after="120"/>
        <w:rPr/>
      </w:pPr>
      <w:r>
        <w:rPr/>
      </w:r>
    </w:p>
    <w:p>
      <w:pPr>
        <w:pStyle w:val="Normal"/>
        <w:jc w:val="both"/>
        <w:rPr/>
      </w:pPr>
      <w:r>
        <w:rPr/>
        <w:t>Source: World Bank, Doing Business 2020 economy profiles and rankings. Topic ranks were transcribed from the published profiles and should be checked against the original documents before publication; n.a. means the rank could not be confirmed.</w:t>
      </w:r>
    </w:p>
    <w:p>
      <w:pPr>
        <w:pStyle w:val="Normal"/>
        <w:jc w:val="both"/>
        <w:rPr/>
      </w:pPr>
      <w:r>
        <w:rPr/>
        <w:t>Five findings stand out for R-NBT MSMEs:</w:t>
      </w:r>
    </w:p>
    <w:p>
      <w:pPr>
        <w:pStyle w:val="ListParagraph"/>
        <w:numPr>
          <w:ilvl w:val="0"/>
          <w:numId w:val="65"/>
        </w:numPr>
        <w:rPr/>
      </w:pPr>
      <w:r>
        <w:rPr>
          <w:b/>
          <w:bCs/>
        </w:rPr>
        <w:t>Formalising is slow everywhere.</w:t>
      </w:r>
      <w:r>
        <w:rPr/>
        <w:t xml:space="preserve"> All five states ranked 117th or lower for starting a business. Registering a company took about 8.5 days in Zambia, 27 days and 9 procedures in Zimbabwe, 36 days and 8 procedures in Angola, and 54 days and 10 procedures in Namibia; Namibia's Auditor-General reported an average of 66 days around the same period. In Botswana, company registration could be completed online in a day, but tax registration took about 30 days. For a micro-enterprise earning most of its income in a five-month season, a registration process that takes one to two months has a real opportunity cost. This supports treating formalisation as a milestone tied to a contract (Section 4.3) and offering hands-on help with procedures.</w:t>
      </w:r>
    </w:p>
    <w:p>
      <w:pPr>
        <w:pStyle w:val="ListParagraph"/>
        <w:numPr>
          <w:ilvl w:val="0"/>
          <w:numId w:val="66"/>
        </w:numPr>
        <w:rPr/>
      </w:pPr>
      <w:r>
        <w:rPr>
          <w:b/>
          <w:bCs/>
        </w:rPr>
        <w:t>Credit infrastructure varies widely.</w:t>
      </w:r>
      <w:r>
        <w:rPr/>
        <w:t xml:space="preserve"> Zambia ranked 4th in the world for getting credit (score 95 of 100), reflecting strong legal rights for borrowers and lenders over movable assets and good credit-information coverage. Zimbabwe (67th), Botswana and Namibia (both 80th) were mid-ranked, while Angola ranked 185th (score 5 of 100). Where the legal framework is strong, receivables and movable-asset lending to suppliers is legally feasible and the constraint is lender practice; in Angola, finance will depend for some time on grants, guarantees and contractual arrangements with anchor buyers.</w:t>
      </w:r>
    </w:p>
    <w:p>
      <w:pPr>
        <w:pStyle w:val="ListParagraph"/>
        <w:numPr>
          <w:ilvl w:val="0"/>
          <w:numId w:val="67"/>
        </w:numPr>
        <w:rPr/>
      </w:pPr>
      <w:r>
        <w:rPr>
          <w:b/>
          <w:bCs/>
        </w:rPr>
        <w:t>Contracts are hard to enforce.</w:t>
      </w:r>
      <w:r>
        <w:rPr/>
        <w:t xml:space="preserve"> Enforcing a commercial contract through the courts took about 660 days in Botswana (137th) and 410 days at a cost of 83% of the claim in Zimbabwe (169th); Angola ranked 186th and Zambia 130th. Only Namibia (64th) ranked in the top half. Contract-backed supplier finance in KAZA therefore cannot rely on court enforcement. It needs tripartite agreements in which the anchor buyer pays the lender directly, short payment cycles and repeat relationships that make default costly.</w:t>
      </w:r>
    </w:p>
    <w:p>
      <w:pPr>
        <w:pStyle w:val="ListParagraph"/>
        <w:numPr>
          <w:ilvl w:val="0"/>
          <w:numId w:val="68"/>
        </w:numPr>
        <w:rPr/>
      </w:pPr>
      <w:r>
        <w:rPr>
          <w:b/>
          <w:bCs/>
        </w:rPr>
        <w:t>Tax compliance burdens differ.</w:t>
      </w:r>
      <w:r>
        <w:rPr/>
        <w:t xml:space="preserve"> Zambia ranked 17th for paying taxes and Botswana 59th, but Zimbabwe ranked 146th, and Namibia's tax system required 27 payments and 302 hours a year for the standard firm. Combined with the 30% withholding tax on suppliers without tax clearance in Zimbabwe (MD p. 74), this explains why tax clearance is the formalisation step that matters most to anchor buyers.</w:t>
      </w:r>
    </w:p>
    <w:p>
      <w:pPr>
        <w:pStyle w:val="ListParagraph"/>
        <w:numPr>
          <w:ilvl w:val="0"/>
          <w:numId w:val="69"/>
        </w:numPr>
        <w:rPr/>
      </w:pPr>
      <w:r>
        <w:rPr>
          <w:b/>
          <w:bCs/>
        </w:rPr>
        <w:t>Cross-border trade is costly.</w:t>
      </w:r>
      <w:r>
        <w:rPr/>
        <w:t xml:space="preserve"> Four of the five states ranked 138th or lower for trading across borders; only Botswana (55th) performed well. This matters in a transfrontier area where Hwange lodges, Kasane suppliers and Livingstone hotels could source across borders. Small traders face border procedures designed for larger consignments (see the regional frameworks below).</w:t>
      </w:r>
    </w:p>
    <w:p>
      <w:pPr>
        <w:pStyle w:val="Normal"/>
        <w:jc w:val="both"/>
        <w:rPr/>
      </w:pPr>
      <w:r>
        <w:rPr/>
        <w:t>Two further indicators affect specific chains. Getting electricity was slow and costly in Zimbabwe (167th), Angola (156th), Botswana (139th) and Zambia (129th), which raises the cost of processing, cold storage and workshop production for food, nature-positive products and lodge-linked goods, and strengthens the case for solar equipment finance. Registering property was difficult in Namibia (173rd), Angola (167th) and Zambia (149th); although most R-NBT MSMEs operate on communal land that cannot be mortgaged in any case, the rankings show that even freehold property is a slow route to collateral.</w:t>
      </w:r>
    </w:p>
    <w:p>
      <w:pPr>
        <w:pStyle w:val="Heading3"/>
        <w:rPr/>
      </w:pPr>
      <w:r>
        <w:rPr/>
        <w:t>Country profiles</w:t>
      </w:r>
    </w:p>
    <w:p>
      <w:pPr>
        <w:pStyle w:val="Normal"/>
        <w:jc w:val="both"/>
        <w:rPr/>
      </w:pPr>
      <w:r>
        <w:rPr>
          <w:b/>
          <w:bCs/>
        </w:rPr>
        <w:t>Angola</w:t>
      </w:r>
      <w:r>
        <w:rPr/>
        <w:t xml:space="preserve"> (177th) had the weakest business environment of the five, with bottom-ten rankings for getting credit and enforcing contracts and no functioning insolvency practice (score of zero). Government has tried to simplify entry: the Balcão Único do Empreendedor (BUE), created in 2012 as a one-stop shop for micro, small and medium enterprises, was followed in 2019 by an online company-registration service designed to form companies in about two days, and the government has planned to integrate tax, social security and trade registration into the platform. INAPEM certification is a prerequisite for access to public credit lines and tax benefits and is required by commercial banks for loan applications. Sector rules cap foreign shareholding at 49% in road passenger transport and 50% in road freight (MD p. 26). For Cuando Cubango, the binding constraints are a thin enterprise base, distance from Luanda-based services, and the fact that guiding and logistics for Angolan sites accrue in Namibia (MD p. 118-119).</w:t>
      </w:r>
    </w:p>
    <w:p>
      <w:pPr>
        <w:pStyle w:val="Normal"/>
        <w:jc w:val="both"/>
        <w:rPr/>
      </w:pPr>
      <w:r>
        <w:rPr>
          <w:b/>
          <w:bCs/>
        </w:rPr>
        <w:t>Botswana</w:t>
      </w:r>
      <w:r>
        <w:rPr/>
        <w:t xml:space="preserve"> (87th) combined good rankings for construction permits (44th), trading across borders (55th) and paying taxes (59th) with weak rankings for starting a business (159th), getting electricity (139th) and enforcing contracts (137th). Since 2019 the Companies and Intellectual Property Authority (CIPA) has run an online business registration system, which the 2026 budget debate credits with faster turnaround times. Botswana was included in the World Bank's Business Ready (B-READY) 2025 report, which, as reported to Parliament, recognised strong legal frameworks and CIPA's digital front door but flagged insolvency, tax compliance and dispute resolution as areas needing attention. Sector rules are the most protective of citizen MSMEs in the region: fresh-produce and general-dealer licences, guesthouses and touristic transfer companies are reserved for citizens (MD p. 31-34), about 35 service sectors are restricted to citizens according to the US Commercial Service, and the Economic Inclusion Act 2021, in force since April 2022, promotes localisation and sub-contracting to citizen-owned enterprises. These rules create protected demand for citizen suppliers but close processing, distribution and transport to outside equity.</w:t>
      </w:r>
    </w:p>
    <w:p>
      <w:pPr>
        <w:pStyle w:val="Normal"/>
        <w:jc w:val="both"/>
        <w:rPr/>
      </w:pPr>
      <w:r>
        <w:rPr>
          <w:b/>
          <w:bCs/>
        </w:rPr>
        <w:t>Namibia</w:t>
      </w:r>
      <w:r>
        <w:rPr/>
        <w:t xml:space="preserve"> (104th) ranked well for getting electricity (76th) and enforcing contracts (64th), the best of the five states, but poorly for starting a business (165th) and registering property (173rd). Formalisation remains the weak point: the Business and Intellectual Property Authority (BIPA) is procuring a new integrated online registration system, but its existing online system was reported not to be working in 2025, and BIPA has announced large-scale de-registration of companies that fail to file beneficial-ownership information. Namibia was a new entrant in the B-READY 2025 sample. In tourism, Namibia has a mature conservancy JV framework but low MSME value capture (MD p. 37, 40), and the introduction of visa-on-arrival fees for visitors from 31 countries in April 2025 has affected demand (Section 7.2).</w:t>
      </w:r>
    </w:p>
    <w:p>
      <w:pPr>
        <w:pStyle w:val="Normal"/>
        <w:jc w:val="both"/>
        <w:rPr/>
      </w:pPr>
      <w:r>
        <w:rPr>
          <w:b/>
          <w:bCs/>
        </w:rPr>
        <w:t>Zambia</w:t>
      </w:r>
      <w:r>
        <w:rPr/>
        <w:t xml:space="preserve"> (85th) had the best overall ranking and strong scores for getting credit (4th) and paying taxes (17th), but weak ones for trading across borders (155th), registering property (149th) and enforcing contracts (130th). Licensing is the main recurring burden: a World Bank review found that more than a quarter of Zambian firms cite licensing as a major constraint, nearly double the regional average. The Business Regulatory Review Agency (BRRA) adopted risk-based guidelines in 2023 to focus licensing and inspections on higher-risk activities, and after a 2025 benchmarking visit to Mauritius it has said it will explore a single omnibus licence for tourism. Road service licences require at least 25% Zambian membership and all-Zambian directors unless the applicant holds a ZDA licence (MD p. 44), which favours local transport MSMEs.</w:t>
      </w:r>
    </w:p>
    <w:p>
      <w:pPr>
        <w:pStyle w:val="Normal"/>
        <w:jc w:val="both"/>
        <w:rPr/>
      </w:pPr>
      <w:r>
        <w:rPr>
          <w:b/>
          <w:bCs/>
        </w:rPr>
        <w:t>Zimbabwe</w:t>
      </w:r>
      <w:r>
        <w:rPr/>
        <w:t xml:space="preserve"> (140th) was among the World Bank's top 20 improvers in Doing Business 2020, rising 15 places after five reforms, including an improved online name search and lower municipal licence fees for new businesses, a deeds-registry tracking system and a new reorganisation procedure for insolvent firms. It still ranked low for starting a business (167th), getting electricity (167th), paying taxes (146th) and enforcing contracts (169th). The Zimbabwe Investment and Development Agency (ZIDA) runs a One Stop Investment Services Centre covering company registration, tax registration and clearance and licensing, and signed an agreement with ZIMRA in January 2024 to integrate electronic services. Ownership rules have tightened: in 2018 the indigenisation law was narrowed to reserved sectors that included passenger transport and the marketing and distribution of local arts and crafts, and Statutory Instrument 215 of 2025 expanded the reserved list to 14 sectors and requires foreign-owned businesses in them to transfer a controlling 75% stake to citizens within three years. This protects MSME space in transport and crafts but deters foreign joint-venture capital in those chains.</w:t>
      </w:r>
    </w:p>
    <w:p>
      <w:pPr>
        <w:pStyle w:val="Heading3"/>
        <w:rPr/>
      </w:pPr>
      <w:r>
        <w:rPr/>
        <w:t>Sector-specific rules in the priority chains</w:t>
      </w:r>
    </w:p>
    <w:p>
      <w:pPr>
        <w:pStyle w:val="Normal"/>
        <w:jc w:val="both"/>
        <w:rPr/>
      </w:pPr>
      <w:r>
        <w:rPr/>
        <w:t>Regulation also shapes which MSMEs can exist in each chain and who can invest in them. The table below combines the Macro Diagnostic's findings with the later rules described above.</w:t>
      </w:r>
    </w:p>
    <w:p>
      <w:pPr>
        <w:pStyle w:val="Normal"/>
        <w:keepNext w:val="true"/>
        <w:spacing w:before="160" w:after="80"/>
        <w:rPr/>
      </w:pPr>
      <w:r>
        <w:rPr>
          <w:b/>
          <w:bCs/>
          <w:color w:val="1F5135"/>
          <w:sz w:val="20"/>
          <w:szCs w:val="20"/>
        </w:rPr>
        <w:t xml:space="preserve">Table 10: </w:t>
      </w:r>
      <w:r>
        <w:rPr>
          <w:i/>
          <w:iCs/>
          <w:sz w:val="20"/>
          <w:szCs w:val="20"/>
        </w:rPr>
        <w:t>Sector-specific regulatory factors affecting MSME readiness in the priority chains</w:t>
      </w:r>
    </w:p>
    <w:tbl>
      <w:tblPr>
        <w:tblW w:w="9026" w:type="dxa"/>
        <w:jc w:val="left"/>
        <w:tblInd w:w="0" w:type="dxa"/>
        <w:tblLayout w:type="fixed"/>
        <w:tblCellMar>
          <w:top w:w="60" w:type="dxa"/>
          <w:left w:w="100" w:type="dxa"/>
          <w:bottom w:w="60" w:type="dxa"/>
          <w:right w:w="100" w:type="dxa"/>
        </w:tblCellMar>
      </w:tblPr>
      <w:tblGrid>
        <w:gridCol w:w="1298"/>
        <w:gridCol w:w="4300"/>
        <w:gridCol w:w="3428"/>
      </w:tblGrid>
      <w:tr>
        <w:trPr>
          <w:tblHeader w:val="true"/>
        </w:trPr>
        <w:tc>
          <w:tcPr>
            <w:tcW w:w="12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Country</w:t>
            </w:r>
          </w:p>
        </w:tc>
        <w:tc>
          <w:tcPr>
            <w:tcW w:w="43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Factor</w:t>
            </w:r>
          </w:p>
        </w:tc>
        <w:tc>
          <w:tcPr>
            <w:tcW w:w="34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Effect on readiness and investment</w:t>
            </w:r>
          </w:p>
        </w:tc>
      </w:tr>
      <w:tr>
        <w:trPr>
          <w:cantSplit w:val="true"/>
        </w:trPr>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w:t>
            </w:r>
          </w:p>
        </w:tc>
        <w:tc>
          <w:tcPr>
            <w:tcW w:w="4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Fresh-produce and general-dealer retail licences reserved for citizens; small-scale food and beverage manufacturing closed to foreign shareholding (MD p. 31). Foreign equity banned in touristic transfer companies (MD p. 32, 34). Guesthouses citizen-reserved (MD p. 34). Economic Inclusion Act 2021 promotes localisation and sub-contracting to citizen-owned enterprises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Protects MSME space and creates demand for citizen suppliers, but closes processing, distribution and transport to outside capital; growth depends on domestic finance and lodge or DMC contracting</w:t>
            </w:r>
          </w:p>
        </w:tc>
      </w:tr>
      <w:tr>
        <w:trPr>
          <w:cantSplit w:val="true"/>
        </w:trPr>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w:t>
            </w:r>
          </w:p>
        </w:tc>
        <w:tc>
          <w:tcPr>
            <w:tcW w:w="4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Road service licences require at least 25% Zambian membership and all-Zambian directors unless the applicant holds a ZDA licence (MD p. 44). Multiple licences per activity; risk-based licensing and a tourism omnibus licence under consideration</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Favours local transport MSMEs; limits joint ventures with foreign partners; licensing cost falls on micro-enterprises</w:t>
            </w:r>
          </w:p>
        </w:tc>
      </w:tr>
      <w:tr>
        <w:trPr>
          <w:cantSplit w:val="true"/>
        </w:trPr>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Angola</w:t>
            </w:r>
          </w:p>
        </w:tc>
        <w:tc>
          <w:tcPr>
            <w:tcW w:w="4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Foreign shareholding capped at 49% in road passenger transport and 50% in road freight (MD p. 26). INAPEM certification needed for public credit lines and bank loans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Requires local partners; thin local enterprise base in Cuando Cubango; certification is an extra step before finance</w:t>
            </w:r>
          </w:p>
        </w:tc>
      </w:tr>
      <w:tr>
        <w:trPr>
          <w:cantSplit w:val="true"/>
        </w:trPr>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Zimbabwe</w:t>
            </w:r>
          </w:p>
        </w:tc>
        <w:tc>
          <w:tcPr>
            <w:tcW w:w="4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Withholding tax of 30% on payments to suppliers without tax clearance (MD p. 74; operator-reported). Reserved sectors for citizens include passenger transport and local arts and crafts marketing; SI 215 of 2025 expanded the list and requires 75% local ownership within three years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Strong penalty on informality; makes tax clearance a precondition for supplying anchors; protects MSME space in transport and crafts but deters foreign JV capital</w:t>
            </w:r>
          </w:p>
        </w:tc>
      </w:tr>
      <w:tr>
        <w:trPr>
          <w:cantSplit w:val="true"/>
        </w:trPr>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w:t>
            </w:r>
          </w:p>
        </w:tc>
        <w:tc>
          <w:tcPr>
            <w:tcW w:w="4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Conservancy JV framework; visa-on-arrival fees for 31 countries since April 2025 shifting some demand to Kasane/Chobe (MD p. 117-118); slow company registration</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Mature community framework but low MSME value capture; demand shifts affect supplier viability; registration delays slow formalisation</w:t>
            </w:r>
          </w:p>
        </w:tc>
      </w:tr>
      <w:tr>
        <w:trPr>
          <w:cantSplit w:val="true"/>
        </w:trPr>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Regional</w:t>
            </w:r>
          </w:p>
        </w:tc>
        <w:tc>
          <w:tcPr>
            <w:tcW w:w="4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Univisa issued only by Zambia and Zimbabwe; COMESA Simplified Trade Regime covers Zambia and Zimbabwe only; cross-border supply chains less evidenced than visitor flows (MD p. 117-118)</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Limits cross-border sourcing and multi-country itineraries for MSMEs</w:t>
            </w:r>
          </w:p>
        </w:tc>
      </w:tr>
    </w:tbl>
    <w:p>
      <w:pPr>
        <w:pStyle w:val="Normal"/>
        <w:spacing w:before="0" w:after="120"/>
        <w:rPr/>
      </w:pPr>
      <w:r>
        <w:rPr/>
      </w:r>
    </w:p>
    <w:p>
      <w:pPr>
        <w:pStyle w:val="Heading3"/>
        <w:rPr/>
      </w:pPr>
      <w:r>
        <w:rPr/>
        <w:t>Regional frameworks</w:t>
      </w:r>
    </w:p>
    <w:p>
      <w:pPr>
        <w:pStyle w:val="Normal"/>
        <w:jc w:val="both"/>
        <w:rPr/>
      </w:pPr>
      <w:r>
        <w:rPr/>
        <w:t xml:space="preserve">The KAZA Treaty and the SADC Protocol on Trade provide the framework for transfrontier tourism and trade, but MSMEs feel the regional frameworks mainly through visas and border procedures. The </w:t>
      </w:r>
      <w:r>
        <w:rPr>
          <w:b/>
          <w:bCs/>
        </w:rPr>
        <w:t>KAZA Univisa</w:t>
      </w:r>
      <w:r>
        <w:rPr/>
        <w:t>, a single visa for Zambia and Zimbabwe valid for up to 30 days, which also covers day trips into Botswana through Kazungula, is in operation; at the 2024 KAZA summit in Livingstone the five Partner States pledged to broaden its use and Botswana announced its adoption, but no source yet confirms that Botswana or Namibia issue it. Multi-country itineraries, which favour guiding, transfer and activity MSMEs along the Victoria Falls-Chobe corridor, therefore remain more costly to sell than they need to be.</w:t>
      </w:r>
    </w:p>
    <w:p>
      <w:pPr>
        <w:pStyle w:val="Normal"/>
        <w:jc w:val="both"/>
        <w:rPr/>
      </w:pPr>
      <w:r>
        <w:rPr/>
        <w:t xml:space="preserve">For small-scale suppliers, the </w:t>
      </w:r>
      <w:r>
        <w:rPr>
          <w:b/>
          <w:bCs/>
        </w:rPr>
        <w:t>COMESA Simplified Trade Regime</w:t>
      </w:r>
      <w:r>
        <w:rPr/>
        <w:t xml:space="preserve"> (STR) allows traders to move consignments below a value threshold (USD 2,000 per consignment under the COMESA rule, although ZIMRA has published a USD 1,000 limit) across borders with simplified documents and duty-free treatment for goods on a common list. It applies between Zambia and Zimbabwe, both COMESA members, but not to Botswana, Namibia or Angola, for which SADC has been developing its own simplified regime. Uptake has been low. Simplified regimes and the one-stop border post at Kazungula could allow women traders and small producers to supply lodges across borders, but this depends on awareness, border-staff practice and a common SADC threshold.</w:t>
      </w:r>
    </w:p>
    <w:p>
      <w:pPr>
        <w:pStyle w:val="Normal"/>
        <w:jc w:val="both"/>
        <w:rPr/>
      </w:pPr>
      <w:r>
        <w:rPr>
          <w:b/>
          <w:bCs/>
        </w:rPr>
        <w:t>Implications for readiness.</w:t>
      </w:r>
      <w:r>
        <w:rPr/>
        <w:t xml:space="preserve"> Regulation in KAZA is not the main reason MSMEs are not investment-ready, but it raises the cost of every step on the readiness pathway: registration takes weeks, tax clearance is costly in Zimbabwe, contracts cannot be relied on in court, and cross-border sourcing is hard. Programmes should therefore (i) help MSMEs through registration and tax clearance when a contract requires it, using one-stop centres where they work; (ii) design supplier finance around anchor-buyer payment routing rather than court enforcement; (iii) use Zambia's movable-collateral framework as a model for the others; and (iv) work with the KAZA Secretariat on Univisa adoption and a simplified regime for small cross-border suppliers.</w:t>
      </w:r>
    </w:p>
    <w:p>
      <w:pPr>
        <w:pStyle w:val="Heading2"/>
        <w:rPr/>
      </w:pPr>
      <w:bookmarkStart w:id="28" w:name="__RefHeading___Toc2959_2470420549"/>
      <w:bookmarkEnd w:id="28"/>
      <w:r>
        <w:rPr/>
        <w:t>7.2 Market Access and Linkages with Larger Operators</w:t>
      </w:r>
    </w:p>
    <w:p>
      <w:pPr>
        <w:pStyle w:val="Normal"/>
        <w:jc w:val="both"/>
        <w:rPr/>
      </w:pPr>
      <w:r>
        <w:rPr/>
        <w:t>The Macro Diagnostic's findings on market access are clear. Demand exists: lodges want to buy locally, and the constraint is supplier reliability and readiness (MD p. 70-71, 128, 132). Entry can be quick once a supplier is ready; in Zimbabwe, new suppliers typically need only two or three successful bookings before being listed regularly (MD p. 75). Buyers set the bar: reliability matters more than price, new suppliers must match the largest incumbent supplier on price and quality, and support is best directed at enterprises already showing momentum (MD p. 68). Marketing, operator confidence and trade-show costs are obstacles for new suppliers (MD p. 75), and limited airline competition and high fares constrain the Victoria Falls corridor (MD p. 84, 117). Evidence from outside the diagnostic supports these findings and adds detail on the size of the market, what anchor procurement programmes have achieved, and what happens when linkages are weak.</w:t>
      </w:r>
    </w:p>
    <w:p>
      <w:pPr>
        <w:pStyle w:val="Heading3"/>
        <w:rPr/>
      </w:pPr>
      <w:r>
        <w:rPr/>
        <w:t>The size and direction of tourism demand</w:t>
      </w:r>
    </w:p>
    <w:p>
      <w:pPr>
        <w:pStyle w:val="Normal"/>
        <w:jc w:val="both"/>
        <w:rPr/>
      </w:pPr>
      <w:r>
        <w:rPr/>
        <w:t>Visitor demand has largely recovered from the pandemic, but it is volatile and policy-sensitive. Namibia recorded about 1.3 million international arrivals in 2025, around 7% fewer than in 2024, after it introduced visa-on-arrival fees of N$1,600 for visitors from 31 countries in April 2025; the industry federation has been cautious in attributing the fall to the visa change, and hotel occupancy in August 2025 matched 2024 levels. Zimbabwe received 751,483 international arrivals in the first half of 2024, up 27% on the previous year, with tourism receipts estimated at USD 493 million for 2024. Botswana recorded between about 390,000 and 420,000 international arrivals a quarter in the second to fourth quarters of 2024 (Statistics Botswana). For MSMEs, the lesson is that demand is large enough to support local supply chains but can shift between neighbouring destinations quickly, as the Macro Diagnostic observes for Namibia and Kasane/Chobe (MD p. 117-118). Suppliers with several buyers, or buyers in more than one destination, are more resilient.</w:t>
      </w:r>
    </w:p>
    <w:p>
      <w:pPr>
        <w:pStyle w:val="Heading3"/>
        <w:rPr/>
      </w:pPr>
      <w:r>
        <w:rPr/>
        <w:t>What anchor procurement programmes show</w:t>
      </w:r>
    </w:p>
    <w:p>
      <w:pPr>
        <w:pStyle w:val="Normal"/>
        <w:jc w:val="both"/>
        <w:rPr/>
      </w:pPr>
      <w:r>
        <w:rPr>
          <w:b/>
          <w:bCs/>
        </w:rPr>
        <w:t>Wilderness in Botswana</w:t>
      </w:r>
      <w:r>
        <w:rPr/>
        <w:t xml:space="preserve"> is the best-documented case of anchor-led local procurement in KAZA. Its 2025 impact report states that more than 80% of its procurement by value came from Botswana-based suppliers, about BWP 292 million in the 2024-25 financial year, and its 2026 report puts the share at more than 86% when aviation, which must source parts internationally, is excluded. Local procurement is not the same as MSME procurement, however. Through a supplier development programme launched with a Local Supplier Expo in 2024, which attracted more than 110 citizen-owned enterprises, 68 businesses joined, 37 were supplying and 18 were under development, and annual contract value through the programme rose from BWP 6.3 million to BWP 15 million. That is roughly 5% of the company's local purchases, which shows both that small citizen suppliers can be brought into a large operator's supply chain and how much room remains. The programme is now linked to finance through the 2025 Wilderness-Stanbic contract-backed facility and to BDS through the 2026 Wilderness-LEA memorandum of understanding (Financial Landscape Analysis).</w:t>
      </w:r>
    </w:p>
    <w:p>
      <w:pPr>
        <w:pStyle w:val="Normal"/>
        <w:jc w:val="both"/>
        <w:rPr/>
      </w:pPr>
      <w:r>
        <w:rPr>
          <w:b/>
          <w:bCs/>
        </w:rPr>
        <w:t>Gondwana Collection in Namibia</w:t>
      </w:r>
      <w:r>
        <w:rPr/>
        <w:t xml:space="preserve"> buys food, beverages, construction materials and other products from Namibian suppliers and supports small enterprises near its lodges. Its curio shops and online store carry goods by local artisans and women's associations, and at one recently opened lodge it reports that 82% of the items on display were locally crafted and selected by its procurement team. This is a useful counterpoint to the finding that about 80% of lodge décor in the Kavango and Zambezi regions is imported (MD p. 70): where an operator builds local sourcing into design and procurement from the start, local suppliers can meet lodge specifications.</w:t>
      </w:r>
    </w:p>
    <w:p>
      <w:pPr>
        <w:pStyle w:val="Normal"/>
        <w:jc w:val="both"/>
        <w:rPr/>
      </w:pPr>
      <w:r>
        <w:rPr>
          <w:b/>
          <w:bCs/>
        </w:rPr>
        <w:t>Hotels in Livingstone</w:t>
      </w:r>
      <w:r>
        <w:rPr/>
        <w:t xml:space="preserve"> have brought smallholder farmers into their supply chains. The operator of the Royal Livingstone and AVANI Victoria Falls hotels reports that local smallholders who once sold at roadside stands now sell most of their produce to hotels under long-term contracts, and that the hotels invested in the Maramba Women's Mushroom Farm. A University of Pretoria study of tourism-agriculture linkages in Livingstone found that local procurement is the dominant channel and includes smallholders, but that supply, demand and marketing constraints limit how deeply smallholders are integrated. These findings mirror the Macro Diagnostic's evidence from Hwange (MD p. 75).</w:t>
      </w:r>
    </w:p>
    <w:p>
      <w:pPr>
        <w:pStyle w:val="Heading3"/>
        <w:rPr/>
      </w:pPr>
      <w:r>
        <w:rPr/>
        <w:t>The cost of weak linkages</w:t>
      </w:r>
    </w:p>
    <w:p>
      <w:pPr>
        <w:pStyle w:val="Normal"/>
        <w:jc w:val="both"/>
        <w:rPr/>
      </w:pPr>
      <w:r>
        <w:rPr/>
        <w:t>Earlier research shows what is at stake. Studies of the Okavango Delta described an enclave tourism economy in which foreign ownership led to revenue being repatriated and in which weak links with domestic agriculture limited tourism's effect on rural poverty (Mbaiwa, 2005). In 2016 Botswana's tourism ministry told Parliament that 30-40% of the revenue from holidays booked through foreign operators remained in the source countries. ODI's value-chain studies of tourism destinations found that the share of destination revenue reaching poor households ranged from about 5% to more than 25%, and used value-chain analysis to find where interventions in supply chains, crafts and excursions could raise it. The priority chains identified in this assessment are therefore also the main levers for local value capture.</w:t>
      </w:r>
    </w:p>
    <w:p>
      <w:pPr>
        <w:pStyle w:val="Heading3"/>
        <w:rPr/>
      </w:pPr>
      <w:r>
        <w:rPr/>
        <w:t>Implications for linkage programmes</w:t>
      </w:r>
    </w:p>
    <w:p>
      <w:pPr>
        <w:pStyle w:val="ListParagraph"/>
        <w:numPr>
          <w:ilvl w:val="0"/>
          <w:numId w:val="70"/>
        </w:numPr>
        <w:rPr/>
      </w:pPr>
      <w:r>
        <w:rPr>
          <w:b/>
          <w:bCs/>
        </w:rPr>
        <w:t>Work through procurement teams, not only enterprises.</w:t>
      </w:r>
      <w:r>
        <w:rPr/>
        <w:t xml:space="preserve"> The Wilderness and Gondwana cases show that local sourcing rises when anchors set targets, specify products in advance and nominate suppliers for development.</w:t>
      </w:r>
    </w:p>
    <w:p>
      <w:pPr>
        <w:pStyle w:val="ListParagraph"/>
        <w:numPr>
          <w:ilvl w:val="0"/>
          <w:numId w:val="71"/>
        </w:numPr>
        <w:rPr/>
      </w:pPr>
      <w:r>
        <w:rPr>
          <w:b/>
          <w:bCs/>
        </w:rPr>
        <w:t>Use anchor programmes as the gateway to finance.</w:t>
      </w:r>
      <w:r>
        <w:rPr/>
        <w:t xml:space="preserve"> Contract-backed finance (Wilderness-Stanbic) and supplier-development BDS (Wilderness-LEA) can be replicated with other operators and banks in Botswana, Zambia and Zimbabwe.</w:t>
      </w:r>
    </w:p>
    <w:p>
      <w:pPr>
        <w:pStyle w:val="ListParagraph"/>
        <w:numPr>
          <w:ilvl w:val="0"/>
          <w:numId w:val="72"/>
        </w:numPr>
        <w:rPr/>
      </w:pPr>
      <w:r>
        <w:rPr>
          <w:b/>
          <w:bCs/>
        </w:rPr>
        <w:t>Track MSME share as well as local share.</w:t>
      </w:r>
      <w:r>
        <w:rPr/>
        <w:t xml:space="preserve"> Destination baselines (MD p. 140-141) should record how much of local procurement goes to MSMEs, women- and youth-led enterprises and community enterprises, not only to local companies.</w:t>
      </w:r>
    </w:p>
    <w:p>
      <w:pPr>
        <w:pStyle w:val="ListParagraph"/>
        <w:numPr>
          <w:ilvl w:val="0"/>
          <w:numId w:val="73"/>
        </w:numPr>
        <w:rPr/>
      </w:pPr>
      <w:r>
        <w:rPr>
          <w:b/>
          <w:bCs/>
        </w:rPr>
        <w:t>Build multi-buyer and cross-border supply.</w:t>
      </w:r>
      <w:r>
        <w:rPr/>
        <w:t xml:space="preserve"> Aggregators that can supply several lodges, or lodges on both sides of a border, reduce the risk that demand shifts between destinations.</w:t>
      </w:r>
    </w:p>
    <w:p>
      <w:pPr>
        <w:pStyle w:val="ListParagraph"/>
        <w:numPr>
          <w:ilvl w:val="0"/>
          <w:numId w:val="74"/>
        </w:numPr>
        <w:rPr/>
      </w:pPr>
      <w:r>
        <w:rPr>
          <w:b/>
          <w:bCs/>
        </w:rPr>
        <w:t>Address payment terms.</w:t>
      </w:r>
      <w:r>
        <w:rPr/>
        <w:t xml:space="preserve"> Micro-suppliers often finance goods for weeks between delivery and payment; faster payment by the anchor, or receivables finance, should be part of any supplier-development agreement.</w:t>
      </w:r>
    </w:p>
    <w:p>
      <w:pPr>
        <w:pStyle w:val="Heading2"/>
        <w:rPr/>
      </w:pPr>
      <w:bookmarkStart w:id="29" w:name="__RefHeading___Toc2961_2470420549"/>
      <w:bookmarkEnd w:id="29"/>
      <w:r>
        <w:rPr/>
        <w:t>7.3 Business Development Services</w:t>
      </w:r>
    </w:p>
    <w:p>
      <w:pPr>
        <w:pStyle w:val="Normal"/>
        <w:jc w:val="both"/>
        <w:rPr/>
      </w:pPr>
      <w:r>
        <w:rPr/>
        <w:t>BDS is available in all five states but is generic, concentrated in capitals and weakly connected to finance (Section 6.2). The Macro Diagnostic recommends linking supplier development to real contracts: where a supplier has a credible buyer but lacks capacity, certification, systems or working capital, the programme should close that specific constraint (MD p. 147). This section profiles the main BSOs in each country, their current programmes and how far they reach into KAZA.</w:t>
      </w:r>
    </w:p>
    <w:p>
      <w:pPr>
        <w:pStyle w:val="Heading3"/>
        <w:rPr/>
      </w:pPr>
      <w:r>
        <w:rPr/>
        <w:t>Angola</w:t>
      </w:r>
    </w:p>
    <w:p>
      <w:pPr>
        <w:pStyle w:val="Normal"/>
        <w:jc w:val="both"/>
        <w:rPr/>
      </w:pPr>
      <w:r>
        <w:rPr>
          <w:b/>
          <w:bCs/>
        </w:rPr>
        <w:t>INAPEM</w:t>
      </w:r>
      <w:r>
        <w:rPr/>
        <w:t xml:space="preserve"> (Instituto Nacional de Apoio às Micro, Pequenas e Médias Empresas) is the lead public BSO. It certifies MSMEs, which gives access to tax benefits and public credit lines and is required by banks for loan applications; in Benguela province alone it certified more than 3,500 micro, small and medium enterprises in 2025. It also provides training and business-plan support and is building a national network of incubators with Spanish cooperation support (FIIAPP) running to 2028; its first decentralised incubation programme, Tuendi, is in Huíla province. The EU-funded Envolver project (2019-2024), implemented with Portugal's IAPMEI, qualified 2,384 MSMEs and trained 574 financial-institution staff and 376 mentors, and its successor, Envolver+, runs to 2028. Other BSOs include the one-stop </w:t>
      </w:r>
      <w:r>
        <w:rPr>
          <w:b/>
          <w:bCs/>
        </w:rPr>
        <w:t>Balcão Único do Empreendedor</w:t>
      </w:r>
      <w:r>
        <w:rPr/>
        <w:t xml:space="preserve"> for registration, </w:t>
      </w:r>
      <w:r>
        <w:rPr>
          <w:b/>
          <w:bCs/>
        </w:rPr>
        <w:t>AIPEX</w:t>
      </w:r>
      <w:r>
        <w:rPr/>
        <w:t xml:space="preserve"> for investment facilitation, the </w:t>
      </w:r>
      <w:r>
        <w:rPr>
          <w:b/>
          <w:bCs/>
        </w:rPr>
        <w:t>Câmara de Comércio e Indústria de Angola</w:t>
      </w:r>
      <w:r>
        <w:rPr/>
        <w:t xml:space="preserve">, and Luanda-based hospitality and travel associations. In Cuando Cubango, the provincial government, </w:t>
      </w:r>
      <w:r>
        <w:rPr>
          <w:b/>
          <w:bCs/>
        </w:rPr>
        <w:t>MINTUR</w:t>
      </w:r>
      <w:r>
        <w:rPr/>
        <w:t>, the conservation area authority and NGOs such as The HALO Trust and the National Geographic Okavango Wilderness Project are more present than enterprise BSOs. No tourism-specific BDS was identified in the KAZA area.</w:t>
      </w:r>
    </w:p>
    <w:p>
      <w:pPr>
        <w:pStyle w:val="Heading3"/>
        <w:rPr/>
      </w:pPr>
      <w:r>
        <w:rPr/>
        <w:t>Botswana</w:t>
      </w:r>
    </w:p>
    <w:p>
      <w:pPr>
        <w:pStyle w:val="Normal"/>
        <w:jc w:val="both"/>
        <w:rPr/>
      </w:pPr>
      <w:r>
        <w:rPr/>
        <w:t xml:space="preserve">The </w:t>
      </w:r>
      <w:r>
        <w:rPr>
          <w:b/>
          <w:bCs/>
        </w:rPr>
        <w:t>Local Enterprise Authority (LEA)</w:t>
      </w:r>
      <w:r>
        <w:rPr/>
        <w:t xml:space="preserve"> is the lead BSO for citizen MSMEs, providing business development, mentoring, incubation and supplier-readiness support, including record-keeping support to tourism enterprises. Its 2026 memorandum of understanding with Wilderness to bring citizen businesses into lodge supply chains is the most direct tourism supplier-development partnership in KAZA. LEA's capacity has been reduced by restructuring, its planned new offices are outside the KAZA hubs, and its merger with </w:t>
      </w:r>
      <w:r>
        <w:rPr>
          <w:b/>
          <w:bCs/>
        </w:rPr>
        <w:t>CEDA</w:t>
      </w:r>
      <w:r>
        <w:rPr/>
        <w:t xml:space="preserve"> has been pending since at least 2023; in the meantime the two agencies have agreed that desk officers can operate from each other's offices where one lacks a local presence. </w:t>
      </w:r>
      <w:r>
        <w:rPr>
          <w:b/>
          <w:bCs/>
        </w:rPr>
        <w:t>CEDA</w:t>
      </w:r>
      <w:r>
        <w:rPr/>
        <w:t xml:space="preserve"> offers post-loan mentoring alongside finance. The </w:t>
      </w:r>
      <w:r>
        <w:rPr>
          <w:b/>
          <w:bCs/>
        </w:rPr>
        <w:t>Botswana Tourism Organisation (BTO)</w:t>
      </w:r>
      <w:r>
        <w:rPr/>
        <w:t xml:space="preserve"> supports grading, product development and citizen tourism enterprise. </w:t>
      </w:r>
      <w:r>
        <w:rPr>
          <w:b/>
          <w:bCs/>
        </w:rPr>
        <w:t>HATAB</w:t>
      </w:r>
      <w:r>
        <w:rPr/>
        <w:t xml:space="preserve"> represents the hospitality industry and has a partnership with Stanbic Bank Botswana to advance tourism, </w:t>
      </w:r>
      <w:r>
        <w:rPr>
          <w:b/>
          <w:bCs/>
        </w:rPr>
        <w:t>WIBA</w:t>
      </w:r>
      <w:r>
        <w:rPr/>
        <w:t xml:space="preserve"> supports women entrepreneurs, and the </w:t>
      </w:r>
      <w:r>
        <w:rPr>
          <w:b/>
          <w:bCs/>
        </w:rPr>
        <w:t>Botswana Guides Association</w:t>
      </w:r>
      <w:r>
        <w:rPr/>
        <w:t xml:space="preserve"> and </w:t>
      </w:r>
      <w:r>
        <w:rPr>
          <w:b/>
          <w:bCs/>
        </w:rPr>
        <w:t>BOCOBONET</w:t>
      </w:r>
      <w:r>
        <w:rPr/>
        <w:t xml:space="preserve"> represent guides and community trusts. Private anchor programmes, notably Wilderness's supplier development programme, now act as BSOs in their own right.</w:t>
      </w:r>
    </w:p>
    <w:p>
      <w:pPr>
        <w:pStyle w:val="Heading3"/>
        <w:rPr/>
      </w:pPr>
      <w:r>
        <w:rPr/>
        <w:t>Namibia</w:t>
      </w:r>
    </w:p>
    <w:p>
      <w:pPr>
        <w:pStyle w:val="Normal"/>
        <w:jc w:val="both"/>
        <w:rPr/>
      </w:pPr>
      <w:r>
        <w:rPr/>
        <w:t xml:space="preserve">The </w:t>
      </w:r>
      <w:r>
        <w:rPr>
          <w:b/>
          <w:bCs/>
        </w:rPr>
        <w:t>Namibia Investment Promotion and Development Board (NIPDB)</w:t>
      </w:r>
      <w:r>
        <w:rPr/>
        <w:t xml:space="preserve"> is the national coordinator of MSME development across sectors. Its High Potential Pool, sponsored by Nedbank, gives about 60 selected MSMEs a 36-month package of support, and it administers an SME support fund with the National Planning Commission and GIZ, financed by the German government, for enterprises with at least 51% Namibian ownership. </w:t>
      </w:r>
      <w:r>
        <w:rPr>
          <w:b/>
          <w:bCs/>
        </w:rPr>
        <w:t>BIPA</w:t>
      </w:r>
      <w:r>
        <w:rPr/>
        <w:t xml:space="preserve"> handles registration. The </w:t>
      </w:r>
      <w:r>
        <w:rPr>
          <w:b/>
          <w:bCs/>
        </w:rPr>
        <w:t>Namibia Chamber of Commerce and Industry</w:t>
      </w:r>
      <w:r>
        <w:rPr/>
        <w:t xml:space="preserve"> has branches in the Zambezi and Kavango regions, and the </w:t>
      </w:r>
      <w:r>
        <w:rPr>
          <w:b/>
          <w:bCs/>
        </w:rPr>
        <w:t>Namibia Tourism Board</w:t>
      </w:r>
      <w:r>
        <w:rPr/>
        <w:t xml:space="preserve">, </w:t>
      </w:r>
      <w:r>
        <w:rPr>
          <w:b/>
          <w:bCs/>
        </w:rPr>
        <w:t>FENATA</w:t>
      </w:r>
      <w:r>
        <w:rPr/>
        <w:t xml:space="preserve">, </w:t>
      </w:r>
      <w:r>
        <w:rPr>
          <w:b/>
          <w:bCs/>
        </w:rPr>
        <w:t>HAN</w:t>
      </w:r>
      <w:r>
        <w:rPr/>
        <w:t xml:space="preserve"> and the Tour and Safari Association represent and register tourism businesses. For community enterprise, </w:t>
      </w:r>
      <w:r>
        <w:rPr>
          <w:b/>
          <w:bCs/>
        </w:rPr>
        <w:t>NACSO</w:t>
      </w:r>
      <w:r>
        <w:rPr/>
        <w:t xml:space="preserve">, </w:t>
      </w:r>
      <w:r>
        <w:rPr>
          <w:b/>
          <w:bCs/>
        </w:rPr>
        <w:t>IRDNC</w:t>
      </w:r>
      <w:r>
        <w:rPr/>
        <w:t xml:space="preserve"> and the </w:t>
      </w:r>
      <w:r>
        <w:rPr>
          <w:b/>
          <w:bCs/>
        </w:rPr>
        <w:t>Namibia Nature Foundation</w:t>
      </w:r>
      <w:r>
        <w:rPr/>
        <w:t xml:space="preserve"> have long supported conservancies in the Zambezi and Kavango regions, and the </w:t>
      </w:r>
      <w:r>
        <w:rPr>
          <w:b/>
          <w:bCs/>
        </w:rPr>
        <w:t>Development Bank of Namibia</w:t>
      </w:r>
      <w:r>
        <w:rPr/>
        <w:t xml:space="preserve"> combines tourism finance with advisory support. Private operators such as Gondwana run their own local procurement. NIPDB's programmes are national and not tourism-specific, so a KAZA supplier-development service would need to be built with the conservancy support organisations and lodge operators.</w:t>
      </w:r>
    </w:p>
    <w:p>
      <w:pPr>
        <w:pStyle w:val="Heading3"/>
        <w:rPr/>
      </w:pPr>
      <w:r>
        <w:rPr/>
        <w:t>Zambia</w:t>
      </w:r>
    </w:p>
    <w:p>
      <w:pPr>
        <w:pStyle w:val="Normal"/>
        <w:jc w:val="both"/>
        <w:rPr/>
      </w:pPr>
      <w:r>
        <w:rPr/>
        <w:t xml:space="preserve">The </w:t>
      </w:r>
      <w:r>
        <w:rPr>
          <w:b/>
          <w:bCs/>
        </w:rPr>
        <w:t>Zambia Development Agency (ZDA)</w:t>
      </w:r>
      <w:r>
        <w:rPr/>
        <w:t xml:space="preserve"> promotes MSME development and investment, and the </w:t>
      </w:r>
      <w:r>
        <w:rPr>
          <w:b/>
          <w:bCs/>
        </w:rPr>
        <w:t>Citizens Economic Empowerment Commission (CEEC)</w:t>
      </w:r>
      <w:r>
        <w:rPr/>
        <w:t xml:space="preserve"> provides concessional finance. The two have agreed to combine CEEC's finance with ZDA's non-financial BDS, enrol high-potential businesses in entrepreneurship programmes and link funded SMEs and cooperatives to supermarkets and regional markets such as COMESA. CEEC funding is being reset under a new framework, and pending applications were halted while it is introduced. The </w:t>
      </w:r>
      <w:r>
        <w:rPr>
          <w:b/>
          <w:bCs/>
        </w:rPr>
        <w:t>Ministry of Small and Medium Enterprise Development</w:t>
      </w:r>
      <w:r>
        <w:rPr/>
        <w:t xml:space="preserve"> sets MSME policy, the </w:t>
      </w:r>
      <w:r>
        <w:rPr>
          <w:b/>
          <w:bCs/>
        </w:rPr>
        <w:t>BRRA</w:t>
      </w:r>
      <w:r>
        <w:rPr/>
        <w:t xml:space="preserve"> leads licensing reform, and the </w:t>
      </w:r>
      <w:r>
        <w:rPr>
          <w:b/>
          <w:bCs/>
        </w:rPr>
        <w:t>Zambia Chamber of Small and Medium Business Associations</w:t>
      </w:r>
      <w:r>
        <w:rPr/>
        <w:t xml:space="preserve"> represents MSMEs. In tourism, the </w:t>
      </w:r>
      <w:r>
        <w:rPr>
          <w:b/>
          <w:bCs/>
        </w:rPr>
        <w:t>Tourism Council of Zambia</w:t>
      </w:r>
      <w:r>
        <w:rPr/>
        <w:t xml:space="preserve"> and the </w:t>
      </w:r>
      <w:r>
        <w:rPr>
          <w:b/>
          <w:bCs/>
        </w:rPr>
        <w:t>Livingstone Tourism Association</w:t>
      </w:r>
      <w:r>
        <w:rPr/>
        <w:t xml:space="preserve"> represent operators, and the </w:t>
      </w:r>
      <w:r>
        <w:rPr>
          <w:b/>
          <w:bCs/>
        </w:rPr>
        <w:t>Hotel and Tourism Training Institute</w:t>
      </w:r>
      <w:r>
        <w:rPr/>
        <w:t xml:space="preserve"> and Livingstone's tourism university provide skills. Youth-focused BDS is emerging: in June 2025, UNDP and the Ministry of Youth launched a programme to train 200 youth-led MSMEs in Livingstone, Kitwe and Lusaka. </w:t>
      </w:r>
      <w:r>
        <w:rPr>
          <w:b/>
          <w:bCs/>
        </w:rPr>
        <w:t>Peace Parks Foundation</w:t>
      </w:r>
      <w:r>
        <w:rPr/>
        <w:t xml:space="preserve"> supports community enterprise around Simalaha and Sioma Ngwezi.</w:t>
      </w:r>
    </w:p>
    <w:p>
      <w:pPr>
        <w:pStyle w:val="Heading3"/>
        <w:rPr/>
      </w:pPr>
      <w:r>
        <w:rPr/>
        <w:t>Zimbabwe</w:t>
      </w:r>
    </w:p>
    <w:p>
      <w:pPr>
        <w:pStyle w:val="Normal"/>
        <w:jc w:val="both"/>
        <w:rPr/>
      </w:pPr>
      <w:r>
        <w:rPr/>
        <w:t xml:space="preserve">The </w:t>
      </w:r>
      <w:r>
        <w:rPr>
          <w:b/>
          <w:bCs/>
        </w:rPr>
        <w:t>Small and Medium Enterprises Development Corporation (SMEDCO)</w:t>
      </w:r>
      <w:r>
        <w:rPr/>
        <w:t xml:space="preserve">, under the Ministry of Women Affairs, Community, Small and Medium Enterprises Development, combines lending with capacity building for MSMEs and cooperatives. It is investing USD 15 million in modern MSME hubs and provincial business centres, with the first hub due in late 2026, and has signed an agreement with the Zimbabwe Stock Exchange to develop a Zimbabwe Entrepreneurship Exchange (ZEEX) that would support formalisation, governance and investment readiness. </w:t>
      </w:r>
      <w:r>
        <w:rPr>
          <w:b/>
          <w:bCs/>
        </w:rPr>
        <w:t>ZIDA</w:t>
      </w:r>
      <w:r>
        <w:rPr/>
        <w:t xml:space="preserve">'s one-stop centre handles registration, tax clearance and licensing. </w:t>
      </w:r>
      <w:r>
        <w:rPr>
          <w:b/>
          <w:bCs/>
        </w:rPr>
        <w:t>ZimTrade</w:t>
      </w:r>
      <w:r>
        <w:rPr/>
        <w:t xml:space="preserve"> supports market linkages and exports, and the </w:t>
      </w:r>
      <w:r>
        <w:rPr>
          <w:b/>
          <w:bCs/>
        </w:rPr>
        <w:t>Zimbabwe Tourism Authority</w:t>
      </w:r>
      <w:r>
        <w:rPr/>
        <w:t xml:space="preserve"> registers and grades tourism businesses. The </w:t>
      </w:r>
      <w:r>
        <w:rPr>
          <w:b/>
          <w:bCs/>
        </w:rPr>
        <w:t>Tourism Business Council of Zimbabwe</w:t>
      </w:r>
      <w:r>
        <w:rPr/>
        <w:t xml:space="preserve">, the Hospitality Association of Zimbabwe and guiding and safari associations represent operators, and the </w:t>
      </w:r>
      <w:r>
        <w:rPr>
          <w:b/>
          <w:bCs/>
        </w:rPr>
        <w:t>CAMPFIRE Association</w:t>
      </w:r>
      <w:r>
        <w:rPr/>
        <w:t xml:space="preserve"> represents communities in CAMPFIRE districts such as Hwange and Binga. Earlier destination programmes offered marketing training and mentoring to SMEs in Victoria Falls. Women- and youth-focused finance comes from the Zimbabwe Women's Microfinance Bank and EmpowerBank.</w:t>
      </w:r>
    </w:p>
    <w:p>
      <w:pPr>
        <w:pStyle w:val="Heading3"/>
        <w:rPr/>
      </w:pPr>
      <w:r>
        <w:rPr/>
        <w:t>Regional and cross-cutting BSOs</w:t>
      </w:r>
    </w:p>
    <w:p>
      <w:pPr>
        <w:pStyle w:val="Normal"/>
        <w:jc w:val="both"/>
        <w:rPr/>
      </w:pPr>
      <w:r>
        <w:rPr/>
        <w:t xml:space="preserve">The </w:t>
      </w:r>
      <w:r>
        <w:rPr>
          <w:b/>
          <w:bCs/>
        </w:rPr>
        <w:t>KAZA Secretariat</w:t>
      </w:r>
      <w:r>
        <w:rPr/>
        <w:t xml:space="preserve"> in Kasane coordinates transfrontier tourism, including the Univisa. Conservation NGOs (Peace Parks Foundation, WWF, Conservation International, the African Wildlife Foundation and national partners) support community enterprise, and training institutions in Maun, Katima Mulilo, Livingstone and Hwange could host incubation. Tourism associations exist in every state but rarely provide supplier development.</w:t>
      </w:r>
    </w:p>
    <w:p>
      <w:pPr>
        <w:pStyle w:val="Normal"/>
        <w:keepNext w:val="true"/>
        <w:spacing w:before="160" w:after="80"/>
        <w:rPr/>
      </w:pPr>
      <w:r>
        <w:rPr>
          <w:b/>
          <w:bCs/>
          <w:color w:val="1F5135"/>
          <w:sz w:val="20"/>
          <w:szCs w:val="20"/>
        </w:rPr>
        <w:t xml:space="preserve">Table 11: </w:t>
      </w:r>
      <w:r>
        <w:rPr>
          <w:i/>
          <w:iCs/>
          <w:sz w:val="20"/>
          <w:szCs w:val="20"/>
        </w:rPr>
        <w:t>Main BSOs by country: services, KAZA reach and position on the readiness pathway</w:t>
      </w:r>
    </w:p>
    <w:tbl>
      <w:tblPr>
        <w:tblW w:w="9026" w:type="dxa"/>
        <w:jc w:val="left"/>
        <w:tblInd w:w="0" w:type="dxa"/>
        <w:tblLayout w:type="fixed"/>
        <w:tblCellMar>
          <w:top w:w="60" w:type="dxa"/>
          <w:left w:w="100" w:type="dxa"/>
          <w:bottom w:w="60" w:type="dxa"/>
          <w:right w:w="100" w:type="dxa"/>
        </w:tblCellMar>
      </w:tblPr>
      <w:tblGrid>
        <w:gridCol w:w="1100"/>
        <w:gridCol w:w="2498"/>
        <w:gridCol w:w="2302"/>
        <w:gridCol w:w="1300"/>
        <w:gridCol w:w="1826"/>
      </w:tblGrid>
      <w:tr>
        <w:trPr>
          <w:tblHeader w:val="true"/>
        </w:trPr>
        <w:tc>
          <w:tcPr>
            <w:tcW w:w="11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Country</w:t>
            </w:r>
          </w:p>
        </w:tc>
        <w:tc>
          <w:tcPr>
            <w:tcW w:w="24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Main BSOs</w:t>
            </w:r>
          </w:p>
        </w:tc>
        <w:tc>
          <w:tcPr>
            <w:tcW w:w="2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Main services</w:t>
            </w:r>
          </w:p>
        </w:tc>
        <w:tc>
          <w:tcPr>
            <w:tcW w:w="13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Presence in KAZA hubs</w:t>
            </w:r>
          </w:p>
        </w:tc>
        <w:tc>
          <w:tcPr>
            <w:tcW w:w="18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Tiers served</w:t>
            </w:r>
          </w:p>
        </w:tc>
      </w:tr>
      <w:tr>
        <w:trPr>
          <w:cantSplit w:val="true"/>
        </w:trPr>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Angola</w:t>
            </w:r>
          </w:p>
        </w:tc>
        <w:tc>
          <w:tcPr>
            <w:tcW w:w="24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INAPEM; BUE; AIPEX; CCIA; MINTUR</w:t>
            </w:r>
          </w:p>
        </w:tc>
        <w:tc>
          <w:tcPr>
            <w:tcW w:w="2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Certification, registration, training, incubator network (under development)</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 (provincial delegation; no tourism BDS)</w:t>
            </w:r>
          </w:p>
        </w:tc>
        <w:tc>
          <w:tcPr>
            <w:tcW w:w="1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0-1</w:t>
            </w:r>
          </w:p>
        </w:tc>
      </w:tr>
      <w:tr>
        <w:trPr>
          <w:cantSplit w:val="true"/>
        </w:trPr>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w:t>
            </w:r>
          </w:p>
        </w:tc>
        <w:tc>
          <w:tcPr>
            <w:tcW w:w="24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 CEDA; BTO; HATAB; WIBA; Wilderness supplier programme</w:t>
            </w:r>
          </w:p>
        </w:tc>
        <w:tc>
          <w:tcPr>
            <w:tcW w:w="2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BDS, mentoring, supplier readiness, citizen finance, product development</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(Maun, Kasane); capacity reduced</w:t>
            </w:r>
          </w:p>
        </w:tc>
        <w:tc>
          <w:tcPr>
            <w:tcW w:w="1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r>
      <w:tr>
        <w:trPr>
          <w:cantSplit w:val="true"/>
        </w:trPr>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w:t>
            </w:r>
          </w:p>
        </w:tc>
        <w:tc>
          <w:tcPr>
            <w:tcW w:w="24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NIPDB; BIPA; NCCI; NTB; FENATA/HAN; NACSO, IRDNC, NNF; DBN</w:t>
            </w:r>
          </w:p>
        </w:tc>
        <w:tc>
          <w:tcPr>
            <w:tcW w:w="2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 coordination, High Potential Pool, SME fund, conservancy enterprise support</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for conservancies; low for MSME BDS</w:t>
            </w:r>
          </w:p>
        </w:tc>
        <w:tc>
          <w:tcPr>
            <w:tcW w:w="1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0-2</w:t>
            </w:r>
          </w:p>
        </w:tc>
      </w:tr>
      <w:tr>
        <w:trPr>
          <w:cantSplit w:val="true"/>
        </w:trPr>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w:t>
            </w:r>
          </w:p>
        </w:tc>
        <w:tc>
          <w:tcPr>
            <w:tcW w:w="24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ZDA; CEEC; BRRA; ZCSMBA; TCZ; Livingstone Tourism Association; UNDP youth programme</w:t>
            </w:r>
          </w:p>
        </w:tc>
        <w:tc>
          <w:tcPr>
            <w:tcW w:w="2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BDS with finance linkage, licensing reform, youth MSME training</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(Livingstone)</w:t>
            </w:r>
          </w:p>
        </w:tc>
        <w:tc>
          <w:tcPr>
            <w:tcW w:w="1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r>
      <w:tr>
        <w:trPr>
          <w:cantSplit w:val="true"/>
        </w:trPr>
        <w:tc>
          <w:tcPr>
            <w:tcW w:w="11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Zimbabwe</w:t>
            </w:r>
          </w:p>
        </w:tc>
        <w:tc>
          <w:tcPr>
            <w:tcW w:w="24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SMEDCO; ZIDA; ZimTrade; ZTA; TBCZ; CAMPFIRE Association</w:t>
            </w:r>
          </w:p>
        </w:tc>
        <w:tc>
          <w:tcPr>
            <w:tcW w:w="2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Lending and capacity building, MSME hubs, one-stop registration, export linkages</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 (Victoria Falls, Hwange)</w:t>
            </w:r>
          </w:p>
        </w:tc>
        <w:tc>
          <w:tcPr>
            <w:tcW w:w="1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r>
    </w:tbl>
    <w:p>
      <w:pPr>
        <w:pStyle w:val="Normal"/>
        <w:spacing w:before="0" w:after="120"/>
        <w:rPr/>
      </w:pPr>
      <w:r>
        <w:rPr/>
      </w:r>
    </w:p>
    <w:p>
      <w:pPr>
        <w:pStyle w:val="Normal"/>
        <w:jc w:val="both"/>
        <w:rPr/>
      </w:pPr>
      <w:r>
        <w:rPr>
          <w:b/>
          <w:bCs/>
        </w:rPr>
        <w:t>Assessment.</w:t>
      </w:r>
      <w:r>
        <w:rPr/>
        <w:t xml:space="preserve"> The main BSOs serve Tiers 0 to 2 with generic services. None offers a tourism supplier-development service at scale in the KAZA hubs, and only the Wilderness-LEA partnership in Botswana links BDS to a specific anchor's procurement. The most promising entry points are programmes that already combine BDS with finance or market access: the ZDA-CEEC agreement, SMEDCO's hubs and ZEEX, NIPDB's High Potential Pool and SME fund, INAPEM's incubator network and the anchor supplier programmes. Strengthening these, rather than creating new BSOs, is the approach recommended in Section 10.5.</w:t>
      </w:r>
    </w:p>
    <w:p>
      <w:pPr>
        <w:pStyle w:val="Heading2"/>
        <w:rPr/>
      </w:pPr>
      <w:bookmarkStart w:id="30" w:name="__RefHeading___Toc2963_2470420549"/>
      <w:bookmarkEnd w:id="30"/>
      <w:r>
        <w:rPr/>
        <w:t>7.4 Policy Conditions</w:t>
      </w:r>
    </w:p>
    <w:p>
      <w:pPr>
        <w:pStyle w:val="ListParagraph"/>
        <w:numPr>
          <w:ilvl w:val="0"/>
          <w:numId w:val="75"/>
        </w:numPr>
        <w:rPr/>
      </w:pPr>
      <w:r>
        <w:rPr/>
        <w:t>Citizen-empowerment policies in Botswana and Zambia provide concessional finance (CEDA, YDF, CEEC) that suits Tier 1 and 2 MSMEs if adapted to seasonality. Both are under fiscal pressure: Botswana's diamond-revenue slump has constrained public financiers' liquidity, and CEEC funding is being reset (Financial Landscape Analysis; Section 7.3).</w:t>
      </w:r>
    </w:p>
    <w:p>
      <w:pPr>
        <w:pStyle w:val="ListParagraph"/>
        <w:numPr>
          <w:ilvl w:val="0"/>
          <w:numId w:val="76"/>
        </w:numPr>
        <w:rPr/>
      </w:pPr>
      <w:r>
        <w:rPr/>
        <w:t>Credit guarantee schemes operate in Namibia, Zambia, Zimbabwe and Angola; Botswana has no operational national scheme (Financial Landscape Analysis).</w:t>
      </w:r>
    </w:p>
    <w:p>
      <w:pPr>
        <w:pStyle w:val="ListParagraph"/>
        <w:numPr>
          <w:ilvl w:val="0"/>
          <w:numId w:val="77"/>
        </w:numPr>
        <w:rPr/>
      </w:pPr>
      <w:r>
        <w:rPr/>
        <w:t>Currency instability in Zimbabwe, Zambia and Angola complicates lending to MSMEs whose revenue may be in foreign currency while costs are local, or the reverse.</w:t>
      </w:r>
    </w:p>
    <w:p>
      <w:pPr>
        <w:pStyle w:val="ListParagraph"/>
        <w:numPr>
          <w:ilvl w:val="0"/>
          <w:numId w:val="78"/>
        </w:numPr>
        <w:rPr/>
      </w:pPr>
      <w:r>
        <w:rPr/>
        <w:t>Local-ownership policies are tightening in Zimbabwe (SI 215 of 2025) and remain strong in Botswana. They protect MSME space but require finance to come from domestic sources or from structures that respect ownership limits.</w:t>
      </w:r>
    </w:p>
    <w:p>
      <w:pPr>
        <w:pStyle w:val="ListParagraph"/>
        <w:numPr>
          <w:ilvl w:val="0"/>
          <w:numId w:val="79"/>
        </w:numPr>
        <w:rPr/>
      </w:pPr>
      <w:r>
        <w:rPr/>
        <w:t>The Macro Diagnostic recommends that pilot destinations establish baselines on local procurement, supplier contract value and locally sourced products (MD p. 140-141).</w:t>
      </w:r>
      <w:r>
        <w:br w:type="page"/>
      </w:r>
    </w:p>
    <w:p>
      <w:pPr>
        <w:pStyle w:val="Heading1"/>
        <w:spacing w:before="0" w:after="240"/>
        <w:rPr/>
      </w:pPr>
      <w:bookmarkStart w:id="31" w:name="__RefHeading___Toc2965_2470420549"/>
      <w:bookmarkEnd w:id="31"/>
      <w:r>
        <w:rPr/>
        <w:t>8. Readiness for Financial Products</w:t>
      </w:r>
    </w:p>
    <w:p>
      <w:pPr>
        <w:pStyle w:val="Heading2"/>
        <w:rPr/>
      </w:pPr>
      <w:bookmarkStart w:id="32" w:name="__RefHeading___Toc2967_2470420549"/>
      <w:bookmarkEnd w:id="32"/>
      <w:r>
        <w:rPr/>
        <w:t>8.1 The Effect of Seasonality on Debt</w:t>
      </w:r>
    </w:p>
    <w:p>
      <w:pPr>
        <w:pStyle w:val="Normal"/>
        <w:jc w:val="both"/>
        <w:rPr/>
      </w:pPr>
      <w:r>
        <w:rPr/>
        <w:t>Seasonality is the single most important factor in matching products to R-NBT MSMEs. The example below shows why. It is illustrative and uses assumed figures, not data from the diagnostic.</w:t>
      </w:r>
    </w:p>
    <w:p>
      <w:pPr>
        <w:pStyle w:val="Normal"/>
        <w:keepNext w:val="true"/>
        <w:spacing w:before="160" w:after="80"/>
        <w:rPr/>
      </w:pPr>
      <w:r>
        <w:rPr>
          <w:b/>
          <w:bCs/>
          <w:color w:val="1F5135"/>
          <w:sz w:val="20"/>
          <w:szCs w:val="20"/>
        </w:rPr>
        <w:t xml:space="preserve">Table 12: </w:t>
      </w:r>
      <w:r>
        <w:rPr>
          <w:i/>
          <w:iCs/>
          <w:sz w:val="20"/>
          <w:szCs w:val="20"/>
        </w:rPr>
        <w:t>Illustration: debt service for a guiding and transfer enterprise under three repayment structures</w:t>
      </w:r>
    </w:p>
    <w:tbl>
      <w:tblPr>
        <w:tblW w:w="9026" w:type="dxa"/>
        <w:jc w:val="left"/>
        <w:tblInd w:w="0" w:type="dxa"/>
        <w:tblLayout w:type="fixed"/>
        <w:tblCellMar>
          <w:top w:w="60" w:type="dxa"/>
          <w:left w:w="100" w:type="dxa"/>
          <w:bottom w:w="60" w:type="dxa"/>
          <w:right w:w="100" w:type="dxa"/>
        </w:tblCellMar>
      </w:tblPr>
      <w:tblGrid>
        <w:gridCol w:w="2426"/>
        <w:gridCol w:w="2199"/>
        <w:gridCol w:w="2201"/>
        <w:gridCol w:w="2199"/>
      </w:tblGrid>
      <w:tr>
        <w:trPr>
          <w:tblHeader w:val="true"/>
        </w:trPr>
        <w:tc>
          <w:tcPr>
            <w:tcW w:w="24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Assumptions and results</w:t>
            </w:r>
          </w:p>
        </w:tc>
        <w:tc>
          <w:tcPr>
            <w:tcW w:w="21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Standard amortising loan</w:t>
            </w:r>
          </w:p>
        </w:tc>
        <w:tc>
          <w:tcPr>
            <w:tcW w:w="22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Seasonal amortisation</w:t>
            </w:r>
          </w:p>
        </w:tc>
        <w:tc>
          <w:tcPr>
            <w:tcW w:w="21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Revenue-based finance</w:t>
            </w:r>
          </w:p>
        </w:tc>
      </w:tr>
      <w:tr>
        <w:trPr>
          <w:cantSplit w:val="true"/>
        </w:trPr>
        <w:tc>
          <w:tcPr>
            <w:tcW w:w="2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Finance amount</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20,000</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20,000</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20,000</w:t>
            </w:r>
          </w:p>
        </w:tc>
      </w:tr>
      <w:tr>
        <w:trPr>
          <w:cantSplit w:val="true"/>
        </w:trPr>
        <w:tc>
          <w:tcPr>
            <w:tcW w:w="2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Terms</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24 monthly instalments at 20% a year</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Same total cost, paid in the 5 peak months of 2 seasons</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15% of monthly revenue until 1.3 times the amount is repaid</w:t>
            </w:r>
          </w:p>
        </w:tc>
      </w:tr>
      <w:tr>
        <w:trPr>
          <w:cantSplit w:val="true"/>
        </w:trPr>
        <w:tc>
          <w:tcPr>
            <w:tcW w:w="2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Payment in a peak month (revenue USD 9,000)</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1,018 (11% of revenue)</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2,443 (27% of revenue)</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1,350 (15% of revenue)</w:t>
            </w:r>
          </w:p>
        </w:tc>
      </w:tr>
      <w:tr>
        <w:trPr>
          <w:cantSplit w:val="true"/>
        </w:trPr>
        <w:tc>
          <w:tcPr>
            <w:tcW w:w="2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Payment in a low-season month (revenue USD 2,140)</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1,018 (48% of revenue)</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Nil</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321 (15% of revenue)</w:t>
            </w:r>
          </w:p>
        </w:tc>
      </w:tr>
      <w:tr>
        <w:trPr>
          <w:cantSplit w:val="true"/>
        </w:trPr>
        <w:tc>
          <w:tcPr>
            <w:tcW w:w="2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Total repaid</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24,430</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24,430</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26,000</w:t>
            </w:r>
          </w:p>
        </w:tc>
      </w:tr>
      <w:tr>
        <w:trPr>
          <w:cantSplit w:val="true"/>
        </w:trPr>
        <w:tc>
          <w:tcPr>
            <w:tcW w:w="2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Time to repay</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24 months</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Two peak seasons</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About 35 months at constant revenue</w:t>
            </w:r>
          </w:p>
        </w:tc>
      </w:tr>
      <w:tr>
        <w:trPr>
          <w:cantSplit w:val="true"/>
        </w:trPr>
        <w:tc>
          <w:tcPr>
            <w:tcW w:w="2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Who bears a bad season</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Borrower</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Borrower (but cash is collected when available)</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Shared with financier</w:t>
            </w:r>
          </w:p>
        </w:tc>
      </w:tr>
    </w:tbl>
    <w:p>
      <w:pPr>
        <w:pStyle w:val="Normal"/>
        <w:spacing w:before="0" w:after="120"/>
        <w:rPr/>
      </w:pPr>
      <w:r>
        <w:rPr/>
      </w:r>
    </w:p>
    <w:p>
      <w:pPr>
        <w:pStyle w:val="Normal"/>
        <w:jc w:val="both"/>
        <w:rPr/>
      </w:pPr>
      <w:r>
        <w:rPr/>
        <w:t>Assumptions: annual revenue of USD 60,000, 75% earned in five peak months (USD 9,000 a month) and 25% over seven low-season months (about USD 2,140 a month). Under a standard monthly schedule, nearly half of low-season revenue goes to debt service, before fixed costs, which is the point at which seasonal MSMEs default or stop trading. Seasonal amortisation removes the low-season burden at no extra cost but concentrates payments in the peak. Revenue-based finance shares the risk of a weak season with the financier and costs slightly more in total, but requires reliable revenue data, which in turn requires digital payments or anchor-buyer receipts.</w:t>
      </w:r>
    </w:p>
    <w:p>
      <w:pPr>
        <w:pStyle w:val="Normal"/>
        <w:jc w:val="both"/>
        <w:rPr/>
      </w:pPr>
      <w:r>
        <w:rPr>
          <w:b/>
          <w:bCs/>
        </w:rPr>
        <w:t>Conclusion.</w:t>
      </w:r>
      <w:r>
        <w:rPr/>
        <w:t xml:space="preserve"> For most R-NBT MSMEs, debt is viable only if repayment follows cash flow. Seasonal schedules, low-season grace periods and receivables finance are the most practical adjustments for banks and MFIs. Revenue-based finance is appropriate where revenue is observable (card, mobile-money or booking-platform receipts, or payments from anchor buyers) and is a natural fit for guiding, transport and accommodation enterprises in Tiers 2 and 3. Because contracts are slow to enforce in court in most KAZA states (Section 7.1), receivables and revenue-based structures work best when the anchor buyer or payment platform pays the financier directly.</w:t>
      </w:r>
    </w:p>
    <w:p>
      <w:pPr>
        <w:pStyle w:val="Heading2"/>
        <w:rPr/>
      </w:pPr>
      <w:bookmarkStart w:id="33" w:name="__RefHeading___Toc2969_2470420549"/>
      <w:bookmarkEnd w:id="33"/>
      <w:r>
        <w:rPr/>
        <w:t>8.2 MSME Readiness by Product</w:t>
      </w:r>
    </w:p>
    <w:p>
      <w:pPr>
        <w:pStyle w:val="Normal"/>
        <w:keepNext w:val="true"/>
        <w:spacing w:before="160" w:after="80"/>
        <w:rPr/>
      </w:pPr>
      <w:r>
        <w:rPr>
          <w:b/>
          <w:bCs/>
          <w:color w:val="1F5135"/>
          <w:sz w:val="20"/>
          <w:szCs w:val="20"/>
        </w:rPr>
        <w:t xml:space="preserve">Table 13: </w:t>
      </w:r>
      <w:r>
        <w:rPr>
          <w:i/>
          <w:iCs/>
          <w:sz w:val="20"/>
          <w:szCs w:val="20"/>
        </w:rPr>
        <w:t>MSME readiness for financial products</w:t>
      </w:r>
    </w:p>
    <w:tbl>
      <w:tblPr>
        <w:tblW w:w="9026" w:type="dxa"/>
        <w:jc w:val="left"/>
        <w:tblInd w:w="0" w:type="dxa"/>
        <w:tblLayout w:type="fixed"/>
        <w:tblCellMar>
          <w:top w:w="60" w:type="dxa"/>
          <w:left w:w="100" w:type="dxa"/>
          <w:bottom w:w="60" w:type="dxa"/>
          <w:right w:w="100" w:type="dxa"/>
        </w:tblCellMar>
      </w:tblPr>
      <w:tblGrid>
        <w:gridCol w:w="2000"/>
        <w:gridCol w:w="1000"/>
        <w:gridCol w:w="2199"/>
        <w:gridCol w:w="3826"/>
      </w:tblGrid>
      <w:tr>
        <w:trPr>
          <w:tblHeader w:val="true"/>
        </w:trPr>
        <w:tc>
          <w:tcPr>
            <w:tcW w:w="20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w:t>
            </w:r>
          </w:p>
        </w:tc>
        <w:tc>
          <w:tcPr>
            <w:tcW w:w="10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Ready tiers</w:t>
            </w:r>
          </w:p>
        </w:tc>
        <w:tc>
          <w:tcPr>
            <w:tcW w:w="21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Fit with seasonality</w:t>
            </w:r>
          </w:p>
        </w:tc>
        <w:tc>
          <w:tcPr>
            <w:tcW w:w="38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Assessment</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and matching grants</w:t>
            </w:r>
          </w:p>
        </w:tc>
        <w:tc>
          <w:tcPr>
            <w:tcW w:w="1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0-1</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Neutral</w:t>
            </w:r>
          </w:p>
        </w:tc>
        <w:tc>
          <w:tcPr>
            <w:tcW w:w="3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Appropriate for certification, equipment and pilots; should be tied to milestones and convert to repayable finance where possible</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Savings-group and micro-loans</w:t>
            </w:r>
          </w:p>
        </w:tc>
        <w:tc>
          <w:tcPr>
            <w:tcW w:w="1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0-1</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Good if loan cycles follow seasons</w:t>
            </w:r>
          </w:p>
        </w:tc>
        <w:tc>
          <w:tcPr>
            <w:tcW w:w="3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Already used, especially by women; small and short; linkage to MFIs can extend size</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Contract-backed working capital and receivables finance</w:t>
            </w:r>
          </w:p>
        </w:tc>
        <w:tc>
          <w:tcPr>
            <w:tcW w:w="1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Good (repayment from buyer payment)</w:t>
            </w:r>
          </w:p>
        </w:tc>
        <w:tc>
          <w:tcPr>
            <w:tcW w:w="3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Best near-term fit for suppliers to anchors (food, lodge-linked goods, transport, cleaning)</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Asset finance and leasing</w:t>
            </w:r>
          </w:p>
        </w:tc>
        <w:tc>
          <w:tcPr>
            <w:tcW w:w="1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needs seasonal schedule</w:t>
            </w:r>
          </w:p>
        </w:tc>
        <w:tc>
          <w:tcPr>
            <w:tcW w:w="3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Fits guides, transport and processing equipment; asset is the security</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Standard term loans</w:t>
            </w:r>
          </w:p>
        </w:tc>
        <w:tc>
          <w:tcPr>
            <w:tcW w:w="1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3</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Poor with monthly amortisation</w:t>
            </w:r>
          </w:p>
        </w:tc>
        <w:tc>
          <w:tcPr>
            <w:tcW w:w="3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Few MSMEs ready; viable with seasonal schedule and guarantee</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Guaranteed loans</w:t>
            </w:r>
          </w:p>
        </w:tc>
        <w:tc>
          <w:tcPr>
            <w:tcW w:w="1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2-3</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Depends on underlying loan</w:t>
            </w:r>
          </w:p>
        </w:tc>
        <w:tc>
          <w:tcPr>
            <w:tcW w:w="3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Guarantees de-risk lenders rather than help MSMEs directly; tourism windows in national schemes would widen access</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Revenue-based finance</w:t>
            </w:r>
          </w:p>
        </w:tc>
        <w:tc>
          <w:tcPr>
            <w:tcW w:w="1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2-3</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good</w:t>
            </w:r>
          </w:p>
        </w:tc>
        <w:tc>
          <w:tcPr>
            <w:tcW w:w="3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Suits enterprises with observable revenue; not yet offered by KAZA lenders</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Quasi-equity and equity</w:t>
            </w:r>
          </w:p>
        </w:tc>
        <w:tc>
          <w:tcPr>
            <w:tcW w:w="1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3</w:t>
            </w:r>
          </w:p>
        </w:tc>
        <w:tc>
          <w:tcPr>
            <w:tcW w:w="2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Good (no fixed repayment)</w:t>
            </w:r>
          </w:p>
        </w:tc>
        <w:tc>
          <w:tcPr>
            <w:tcW w:w="38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Relevant to a small number of growth enterprises and cooperatives; high transaction cost relative to ticket size; ownership rules in Botswana and Zimbabwe limit foreign equity in some chains</w:t>
            </w:r>
          </w:p>
        </w:tc>
      </w:tr>
    </w:tbl>
    <w:p>
      <w:pPr>
        <w:pStyle w:val="Normal"/>
        <w:spacing w:before="0" w:after="120"/>
        <w:rPr/>
      </w:pPr>
      <w:r>
        <w:rPr/>
      </w:r>
    </w:p>
    <w:p>
      <w:pPr>
        <w:pStyle w:val="Heading2"/>
        <w:rPr/>
      </w:pPr>
      <w:bookmarkStart w:id="34" w:name="__RefHeading___Toc2971_2470420549"/>
      <w:bookmarkEnd w:id="34"/>
      <w:r>
        <w:rPr/>
        <w:t>8.3 Financial Institution Readiness by Product</w:t>
      </w:r>
    </w:p>
    <w:p>
      <w:pPr>
        <w:pStyle w:val="Normal"/>
        <w:keepNext w:val="true"/>
        <w:spacing w:before="160" w:after="80"/>
        <w:rPr/>
      </w:pPr>
      <w:r>
        <w:rPr>
          <w:b/>
          <w:bCs/>
          <w:color w:val="1F5135"/>
          <w:sz w:val="20"/>
          <w:szCs w:val="20"/>
        </w:rPr>
        <w:t xml:space="preserve">Table 14: </w:t>
      </w:r>
      <w:r>
        <w:rPr>
          <w:i/>
          <w:iCs/>
          <w:sz w:val="20"/>
          <w:szCs w:val="20"/>
        </w:rPr>
        <w:t>Financial institution readiness to offer suitable products</w:t>
      </w:r>
    </w:p>
    <w:tbl>
      <w:tblPr>
        <w:tblW w:w="9026" w:type="dxa"/>
        <w:jc w:val="left"/>
        <w:tblInd w:w="0" w:type="dxa"/>
        <w:tblLayout w:type="fixed"/>
        <w:tblCellMar>
          <w:top w:w="60" w:type="dxa"/>
          <w:left w:w="100" w:type="dxa"/>
          <w:bottom w:w="60" w:type="dxa"/>
          <w:right w:w="100" w:type="dxa"/>
        </w:tblCellMar>
      </w:tblPr>
      <w:tblGrid>
        <w:gridCol w:w="2000"/>
        <w:gridCol w:w="2500"/>
        <w:gridCol w:w="1499"/>
        <w:gridCol w:w="3026"/>
      </w:tblGrid>
      <w:tr>
        <w:trPr>
          <w:tblHeader w:val="true"/>
        </w:trPr>
        <w:tc>
          <w:tcPr>
            <w:tcW w:w="20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w:t>
            </w:r>
          </w:p>
        </w:tc>
        <w:tc>
          <w:tcPr>
            <w:tcW w:w="25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Likely providers</w:t>
            </w:r>
          </w:p>
        </w:tc>
        <w:tc>
          <w:tcPr>
            <w:tcW w:w="14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Readiness</w:t>
            </w:r>
          </w:p>
        </w:tc>
        <w:tc>
          <w:tcPr>
            <w:tcW w:w="30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What is needed</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Contract-backed supplier finance</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Stanbic (BW, ZM, ZW); other commercial banks</w:t>
            </w:r>
          </w:p>
        </w:tc>
        <w:tc>
          <w:tcPr>
            <w:tcW w:w="14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3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Replication of the Wilderness-Stanbic model; standard tripartite contract templates with direct payment to the lender; anchor commitment</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Seasonal working capital and term loans</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Banks, CEDA, CEEC, DBN, MFIs</w:t>
            </w:r>
          </w:p>
        </w:tc>
        <w:tc>
          <w:tcPr>
            <w:tcW w:w="14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3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Product redesign, staff training, risk-sharing for early portfolios</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Asset finance and leasing</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asset-finance units, leasing companies, green credit lines (EIF, IDBZ)</w:t>
            </w:r>
          </w:p>
        </w:tc>
        <w:tc>
          <w:tcPr>
            <w:tcW w:w="14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3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Smaller ticket sizes; vendor partnerships; seasonal schedules</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Partial credit guarantees</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CGS Namibia, ZCGS, ECGC, FGC; AGF regionally</w:t>
            </w:r>
          </w:p>
        </w:tc>
        <w:tc>
          <w:tcPr>
            <w:tcW w:w="14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(none in Botswana)</w:t>
            </w:r>
          </w:p>
        </w:tc>
        <w:tc>
          <w:tcPr>
            <w:tcW w:w="3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or KAZA windows; acceptance of contracts and leaseholds as security; seasonal grace periods</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Micro-loans and group lending</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MFIs, women's and youth banks, savings-group linkage</w:t>
            </w:r>
          </w:p>
        </w:tc>
        <w:tc>
          <w:tcPr>
            <w:tcW w:w="14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3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Linkage programmes; seasonal loan cycles; digital channels</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Revenue-based finance</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Impact funds, fintechs, DFIs through intermediaries</w:t>
            </w:r>
          </w:p>
        </w:tc>
        <w:tc>
          <w:tcPr>
            <w:tcW w:w="14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3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Pilot vehicle; revenue data from payment platforms or anchors; first-loss capital</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Equity and quasi-equity</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BDC, CEDA Venture Capital, impact investors; planned ZEEX in Zimbabwe</w:t>
            </w:r>
          </w:p>
        </w:tc>
        <w:tc>
          <w:tcPr>
            <w:tcW w:w="14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3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Pipeline of Tier 3 enterprises; small-ticket fund or facility</w:t>
            </w:r>
          </w:p>
        </w:tc>
      </w:tr>
    </w:tbl>
    <w:p>
      <w:pPr>
        <w:pStyle w:val="Normal"/>
        <w:spacing w:before="0" w:after="120"/>
        <w:rPr/>
      </w:pPr>
      <w:r>
        <w:rPr/>
      </w:r>
      <w:r>
        <w:br w:type="page"/>
      </w:r>
    </w:p>
    <w:p>
      <w:pPr>
        <w:pStyle w:val="Heading1"/>
        <w:spacing w:before="0" w:after="240"/>
        <w:rPr/>
      </w:pPr>
      <w:bookmarkStart w:id="35" w:name="__RefHeading___Toc2973_2470420549"/>
      <w:bookmarkEnd w:id="35"/>
      <w:r>
        <w:rPr/>
        <w:t>9. Scalable Women- and Youth-Led Models</w:t>
      </w:r>
    </w:p>
    <w:p>
      <w:pPr>
        <w:pStyle w:val="Normal"/>
        <w:jc w:val="both"/>
        <w:rPr/>
      </w:pPr>
      <w:r>
        <w:rPr/>
        <w:t>The evidence contains few enterprise cases, and most rest on single interviews. The models below show investment potential and are relevant to women or youth. Where the evidence does not state who leads the enterprise, the table says so.</w:t>
      </w:r>
    </w:p>
    <w:p>
      <w:pPr>
        <w:pStyle w:val="Normal"/>
        <w:keepNext w:val="true"/>
        <w:spacing w:before="160" w:after="80"/>
        <w:rPr/>
      </w:pPr>
      <w:r>
        <w:rPr>
          <w:b/>
          <w:bCs/>
          <w:color w:val="1F5135"/>
          <w:sz w:val="20"/>
          <w:szCs w:val="20"/>
        </w:rPr>
        <w:t xml:space="preserve">Table 15: </w:t>
      </w:r>
      <w:r>
        <w:rPr>
          <w:i/>
          <w:iCs/>
          <w:sz w:val="20"/>
          <w:szCs w:val="20"/>
        </w:rPr>
        <w:t>Women- and youth-relevant models with investment potential</w:t>
      </w:r>
    </w:p>
    <w:tbl>
      <w:tblPr>
        <w:tblW w:w="9026" w:type="dxa"/>
        <w:jc w:val="left"/>
        <w:tblInd w:w="0" w:type="dxa"/>
        <w:tblLayout w:type="fixed"/>
        <w:tblCellMar>
          <w:top w:w="60" w:type="dxa"/>
          <w:left w:w="100" w:type="dxa"/>
          <w:bottom w:w="60" w:type="dxa"/>
          <w:right w:w="100" w:type="dxa"/>
        </w:tblCellMar>
      </w:tblPr>
      <w:tblGrid>
        <w:gridCol w:w="1899"/>
        <w:gridCol w:w="2700"/>
        <w:gridCol w:w="1801"/>
        <w:gridCol w:w="2625"/>
      </w:tblGrid>
      <w:tr>
        <w:trPr>
          <w:tblHeader w:val="true"/>
        </w:trPr>
        <w:tc>
          <w:tcPr>
            <w:tcW w:w="18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Model</w:t>
            </w:r>
          </w:p>
        </w:tc>
        <w:tc>
          <w:tcPr>
            <w:tcW w:w="27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Evidence</w:t>
            </w:r>
          </w:p>
        </w:tc>
        <w:tc>
          <w:tcPr>
            <w:tcW w:w="18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Investment potential</w:t>
            </w:r>
          </w:p>
        </w:tc>
        <w:tc>
          <w:tcPr>
            <w:tcW w:w="2625"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Finance fit and what to verify</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Women's forest-products cooperative (Zambia)</w:t>
            </w:r>
          </w:p>
        </w:tc>
        <w:tc>
          <w:tcPr>
            <w:tcW w:w="27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15 members; paid to harvest rather than fell forest; sells mungongo oil and baobab coffee to Livingstone hotels and export buyers; unsolicited bulk-oil export interest from Europe and South Africa (MD p. 73, 101)</w:t>
            </w:r>
          </w:p>
        </w:tc>
        <w:tc>
          <w:tcPr>
            <w:tcW w:w="18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proven demand exceeds supply; women-led by definition</w:t>
            </w:r>
          </w:p>
        </w:tc>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Certification grant (about ZMW 30,000), processing equipment, export working capital; verify volumes, margins and governance</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Craft hub aggregating rural artisans (Maun, Botswana)</w:t>
            </w:r>
          </w:p>
        </w:tc>
        <w:tc>
          <w:tcPr>
            <w:tcW w:w="27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Connects more than 100 rural artisans; export certifications; upcycles bottle tops and fabric into homeware; no committed international buyers (MD p. 69)</w:t>
            </w:r>
          </w:p>
        </w:tc>
        <w:tc>
          <w:tcPr>
            <w:tcW w:w="18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aggregation in place; buyer gap</w:t>
            </w:r>
          </w:p>
        </w:tc>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Buyer brokerage and product design before finance; verify gender mix (likely women-majority, not stated)</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Elephant Aware Economy (Eastern Panhandle, Botswana)</w:t>
            </w:r>
          </w:p>
        </w:tc>
        <w:tc>
          <w:tcPr>
            <w:tcW w:w="27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Low-tillage farming cooperative selling at a premium; honey enterprise using bees as elephant deterrent; dung paper; honey tasting flagged as high-opportunity niche (MD p. 69-70, 115)</w:t>
            </w:r>
          </w:p>
        </w:tc>
        <w:tc>
          <w:tcPr>
            <w:tcW w:w="18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premium positioning and conservation story</w:t>
            </w:r>
          </w:p>
        </w:tc>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and blended finance; experience products; verify leadership and member profile</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trust waste and upcycling enterprise (Namibia)</w:t>
            </w:r>
          </w:p>
        </w:tc>
        <w:tc>
          <w:tcPr>
            <w:tcW w:w="27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Grew from a waste gap into a sewing workshop, recycled-can aluminium workshop and beehive initiative (MD p. 71, 115)</w:t>
            </w:r>
          </w:p>
        </w:tc>
        <w:tc>
          <w:tcPr>
            <w:tcW w:w="18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diversified services and products</w:t>
            </w:r>
          </w:p>
        </w:tc>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Equipment and working capital; service contracts with lodges and towns; verify women and youth roles</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Sijwa beehive project (Namibia)</w:t>
            </w:r>
          </w:p>
        </w:tc>
        <w:tc>
          <w:tcPr>
            <w:tcW w:w="27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Returns 12% of sales to the conservancy (MD p. 115)</w:t>
            </w:r>
          </w:p>
        </w:tc>
        <w:tc>
          <w:tcPr>
            <w:tcW w:w="18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replicable benefit-sharing model</w:t>
            </w:r>
          </w:p>
        </w:tc>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Revolving fund or group finance; verify volumes and buyers</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Produce aggregation for lodges (Hwange, Kasane, Livingstone)</w:t>
            </w:r>
          </w:p>
        </w:tc>
        <w:tc>
          <w:tcPr>
            <w:tcW w:w="27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Named clearest near-term opportunity; aggregation would give volume and bargaining power (MD p. 68, 75). In Livingstone, hotels buy most of their smallholder suppliers' produce under long-term contracts and invested in the Maramba Women's Mushroom Farm (operator-reported)</w:t>
            </w:r>
          </w:p>
        </w:tc>
        <w:tc>
          <w:tcPr>
            <w:tcW w:w="18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demand confirmed by anchors; working precedent in Livingstone</w:t>
            </w:r>
          </w:p>
        </w:tc>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Contract-backed working capital and irrigation finance; design as women- or youth-led cooperatives; verify contract terms and prices</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Citizen supplier development with an anchor (Botswana)</w:t>
            </w:r>
          </w:p>
        </w:tc>
        <w:tc>
          <w:tcPr>
            <w:tcW w:w="27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Wilderness programme: 68 businesses enrolled, 37 supplying; annual contract value up from BWP 6.3 million to BWP 15 million; linked to Stanbic contract finance and LEA support</w:t>
            </w:r>
          </w:p>
        </w:tc>
        <w:tc>
          <w:tcPr>
            <w:tcW w:w="18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replicable with other operators</w:t>
            </w:r>
          </w:p>
        </w:tc>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Contract-backed finance; verify share of women- and youth-led suppliers</w:t>
            </w:r>
          </w:p>
        </w:tc>
      </w:tr>
      <w:tr>
        <w:trPr>
          <w:cantSplit w:val="true"/>
        </w:trPr>
        <w:tc>
          <w:tcPr>
            <w:tcW w:w="18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Youth guiding, activity and transfer enterprises (Victoria Falls-Chobe corridor)</w:t>
            </w:r>
          </w:p>
        </w:tc>
        <w:tc>
          <w:tcPr>
            <w:tcW w:w="27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Largest survey category; guiding, transport and cultural experiences commonly combined (MD p. 61, 118)</w:t>
            </w:r>
          </w:p>
        </w:tc>
        <w:tc>
          <w:tcPr>
            <w:tcW w:w="18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 low start-up cost, clear demand</w:t>
            </w:r>
          </w:p>
        </w:tc>
        <w:tc>
          <w:tcPr>
            <w:tcW w:w="26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Skills certification, asset leasing, revenue-based finance; verify age profile</w:t>
            </w:r>
          </w:p>
        </w:tc>
      </w:tr>
    </w:tbl>
    <w:p>
      <w:pPr>
        <w:pStyle w:val="Normal"/>
        <w:spacing w:before="0" w:after="120"/>
        <w:rPr/>
      </w:pPr>
      <w:r>
        <w:rPr/>
      </w:r>
    </w:p>
    <w:p>
      <w:pPr>
        <w:pStyle w:val="Normal"/>
        <w:jc w:val="both"/>
        <w:rPr/>
      </w:pPr>
      <w:r>
        <w:rPr/>
        <w:t>The Maun craft hub and the Zambian cooperative illustrate the two main barriers to scale: a buyer gap in the first case and a supply and certification gap in the second. Finance alone solves neither; both need finance packaged with market linkage and technical support. The Livingstone and Wilderness cases show the reverse: once a buyer commits, smallholders and citizen suppliers can be brought into contract and then into finance.</w:t>
      </w:r>
      <w:r>
        <w:br w:type="page"/>
      </w:r>
    </w:p>
    <w:p>
      <w:pPr>
        <w:pStyle w:val="Heading1"/>
        <w:spacing w:before="0" w:after="240"/>
        <w:rPr/>
      </w:pPr>
      <w:bookmarkStart w:id="36" w:name="__RefHeading___Toc2975_2470420549"/>
      <w:bookmarkEnd w:id="36"/>
      <w:r>
        <w:rPr/>
        <w:t>10. Recommended Capacity-Building Interventions</w:t>
      </w:r>
    </w:p>
    <w:p>
      <w:pPr>
        <w:pStyle w:val="Heading2"/>
        <w:rPr/>
      </w:pPr>
      <w:bookmarkStart w:id="37" w:name="__RefHeading___Toc2977_2470420549"/>
      <w:bookmarkEnd w:id="37"/>
      <w:r>
        <w:rPr/>
        <w:t>10.1 A Tiered Readiness Pathway</w:t>
      </w:r>
    </w:p>
    <w:p>
      <w:pPr>
        <w:pStyle w:val="Normal"/>
        <w:jc w:val="both"/>
        <w:rPr/>
      </w:pPr>
      <w:r>
        <w:rPr/>
        <w:t>Support should be organised as a pathway through which MSMEs graduate from tier to tier, with the support package and finance changing at each step. A common readiness diagnostic, applied by BSOs, would place each MSME in a tier and track progress.</w:t>
      </w:r>
    </w:p>
    <w:p>
      <w:pPr>
        <w:pStyle w:val="Normal"/>
        <w:keepNext w:val="true"/>
        <w:spacing w:before="160" w:after="80"/>
        <w:rPr/>
      </w:pPr>
      <w:r>
        <w:rPr>
          <w:b/>
          <w:bCs/>
          <w:color w:val="1F5135"/>
          <w:sz w:val="20"/>
          <w:szCs w:val="20"/>
        </w:rPr>
        <w:t xml:space="preserve">Table 16: </w:t>
      </w:r>
      <w:r>
        <w:rPr>
          <w:i/>
          <w:iCs/>
          <w:sz w:val="20"/>
          <w:szCs w:val="20"/>
        </w:rPr>
        <w:t>Tiered readiness pathway</w:t>
      </w:r>
    </w:p>
    <w:tbl>
      <w:tblPr>
        <w:tblW w:w="9026" w:type="dxa"/>
        <w:jc w:val="left"/>
        <w:tblInd w:w="0" w:type="dxa"/>
        <w:tblLayout w:type="fixed"/>
        <w:tblCellMar>
          <w:top w:w="60" w:type="dxa"/>
          <w:left w:w="100" w:type="dxa"/>
          <w:bottom w:w="60" w:type="dxa"/>
          <w:right w:w="100" w:type="dxa"/>
        </w:tblCellMar>
      </w:tblPr>
      <w:tblGrid>
        <w:gridCol w:w="1798"/>
        <w:gridCol w:w="2901"/>
        <w:gridCol w:w="2300"/>
        <w:gridCol w:w="2026"/>
      </w:tblGrid>
      <w:tr>
        <w:trPr>
          <w:tblHeader w:val="true"/>
        </w:trPr>
        <w:tc>
          <w:tcPr>
            <w:tcW w:w="17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Tier</w:t>
            </w:r>
          </w:p>
        </w:tc>
        <w:tc>
          <w:tcPr>
            <w:tcW w:w="29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Support package</w:t>
            </w:r>
          </w:p>
        </w:tc>
        <w:tc>
          <w:tcPr>
            <w:tcW w:w="23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Finance pathway</w:t>
            </w:r>
          </w:p>
        </w:tc>
        <w:tc>
          <w:tcPr>
            <w:tcW w:w="20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Graduation milestone</w:t>
            </w:r>
          </w:p>
        </w:tc>
      </w:tr>
      <w:tr>
        <w:trPr>
          <w:cantSplit w:val="true"/>
        </w:trPr>
        <w:tc>
          <w:tcPr>
            <w:tcW w:w="17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0: Pre-enterprise</w:t>
            </w:r>
          </w:p>
        </w:tc>
        <w:tc>
          <w:tcPr>
            <w:tcW w:w="29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Group formation and governance; savings-group linkage; financial literacy; product and market awareness</w:t>
            </w:r>
          </w:p>
        </w:tc>
        <w:tc>
          <w:tcPr>
            <w:tcW w:w="2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groups; small grants and in-kind inputs</w:t>
            </w:r>
          </w:p>
        </w:tc>
        <w:tc>
          <w:tcPr>
            <w:tcW w:w="2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Regular sales; group or individual records for six months</w:t>
            </w:r>
          </w:p>
        </w:tc>
      </w:tr>
      <w:tr>
        <w:trPr>
          <w:cantSplit w:val="true"/>
        </w:trPr>
        <w:tc>
          <w:tcPr>
            <w:tcW w:w="17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1: Emerging</w:t>
            </w:r>
          </w:p>
        </w:tc>
        <w:tc>
          <w:tcPr>
            <w:tcW w:w="29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Bookkeeping and mobile-money use; costing and pricing; quality and product development; registration support</w:t>
            </w:r>
          </w:p>
        </w:tc>
        <w:tc>
          <w:tcPr>
            <w:tcW w:w="2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Savings-linked micro-loans; matching grants; small asset leases</w:t>
            </w:r>
          </w:p>
        </w:tc>
        <w:tc>
          <w:tcPr>
            <w:tcW w:w="2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Registered; first repeat orders from a buyer; basic records</w:t>
            </w:r>
          </w:p>
        </w:tc>
      </w:tr>
      <w:tr>
        <w:trPr>
          <w:cantSplit w:val="true"/>
        </w:trPr>
        <w:tc>
          <w:tcPr>
            <w:tcW w:w="17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2: Supplier-ready</w:t>
            </w:r>
          </w:p>
        </w:tc>
        <w:tc>
          <w:tcPr>
            <w:tcW w:w="29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Supplier development with anchor buyers; compliance (tax, VAT, insurance, certification); contracting; cash-flow planning</w:t>
            </w:r>
          </w:p>
        </w:tc>
        <w:tc>
          <w:tcPr>
            <w:tcW w:w="2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Contract-backed working capital; receivables and asset finance; guaranteed loans</w:t>
            </w:r>
          </w:p>
        </w:tc>
        <w:tc>
          <w:tcPr>
            <w:tcW w:w="2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Contract or repeat orders for a full season; tax clearance; simple accounts</w:t>
            </w:r>
          </w:p>
        </w:tc>
      </w:tr>
      <w:tr>
        <w:trPr>
          <w:cantSplit w:val="true"/>
        </w:trPr>
        <w:tc>
          <w:tcPr>
            <w:tcW w:w="17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3: Investment-ready</w:t>
            </w:r>
          </w:p>
        </w:tc>
        <w:tc>
          <w:tcPr>
            <w:tcW w:w="29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plan and investment readiness coaching; governance; deal brokerage</w:t>
            </w:r>
          </w:p>
        </w:tc>
        <w:tc>
          <w:tcPr>
            <w:tcW w:w="2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Term loans with seasonal schedules; revenue-based finance; quasi-equity</w:t>
            </w:r>
          </w:p>
        </w:tc>
        <w:tc>
          <w:tcPr>
            <w:tcW w:w="2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Finance secured and serviced</w:t>
            </w:r>
          </w:p>
        </w:tc>
      </w:tr>
    </w:tbl>
    <w:p>
      <w:pPr>
        <w:pStyle w:val="Normal"/>
        <w:spacing w:before="0" w:after="120"/>
        <w:rPr/>
      </w:pPr>
      <w:r>
        <w:rPr/>
      </w:r>
    </w:p>
    <w:p>
      <w:pPr>
        <w:pStyle w:val="Heading2"/>
        <w:rPr/>
      </w:pPr>
      <w:bookmarkStart w:id="38" w:name="__RefHeading___Toc2979_2470420549"/>
      <w:bookmarkEnd w:id="38"/>
      <w:r>
        <w:rPr/>
        <w:t>10.2 Gender-Transformative Approaches</w:t>
      </w:r>
    </w:p>
    <w:p>
      <w:pPr>
        <w:pStyle w:val="ListParagraph"/>
        <w:numPr>
          <w:ilvl w:val="0"/>
          <w:numId w:val="80"/>
        </w:numPr>
        <w:rPr/>
      </w:pPr>
      <w:r>
        <w:rPr>
          <w:b/>
          <w:bCs/>
        </w:rPr>
        <w:t>Group-to-enterprise pathways</w:t>
      </w:r>
      <w:r>
        <w:rPr/>
        <w:t xml:space="preserve"> that turn women's savings groups and producer groups into registered cooperatives at nodes B and C, so women capture aggregation and processing margins rather than staying at node A.</w:t>
      </w:r>
    </w:p>
    <w:p>
      <w:pPr>
        <w:pStyle w:val="ListParagraph"/>
        <w:numPr>
          <w:ilvl w:val="0"/>
          <w:numId w:val="81"/>
        </w:numPr>
        <w:rPr/>
      </w:pPr>
      <w:r>
        <w:rPr>
          <w:b/>
          <w:bCs/>
        </w:rPr>
        <w:t>Collateral alternatives</w:t>
      </w:r>
      <w:r>
        <w:rPr/>
        <w:t xml:space="preserve"> that do not rely on land: contract and receivables security, movable-asset registration, group guarantees and savings-group credit histories.</w:t>
      </w:r>
    </w:p>
    <w:p>
      <w:pPr>
        <w:pStyle w:val="ListParagraph"/>
        <w:numPr>
          <w:ilvl w:val="0"/>
          <w:numId w:val="82"/>
        </w:numPr>
        <w:rPr/>
      </w:pPr>
      <w:r>
        <w:rPr>
          <w:b/>
          <w:bCs/>
        </w:rPr>
        <w:t>Women's leadership</w:t>
      </w:r>
      <w:r>
        <w:rPr/>
        <w:t xml:space="preserve"> quotas and training in cooperatives, community enterprises and conservancy enterprise committees.</w:t>
      </w:r>
    </w:p>
    <w:p>
      <w:pPr>
        <w:pStyle w:val="ListParagraph"/>
        <w:numPr>
          <w:ilvl w:val="0"/>
          <w:numId w:val="83"/>
        </w:numPr>
        <w:rPr/>
      </w:pPr>
      <w:r>
        <w:rPr>
          <w:b/>
          <w:bCs/>
        </w:rPr>
        <w:t>Care-aware delivery</w:t>
      </w:r>
      <w:r>
        <w:rPr/>
        <w:t>: training scheduled and located to fit women's workloads, with childcare where needed, and mobile delivery in remote areas.</w:t>
      </w:r>
    </w:p>
    <w:p>
      <w:pPr>
        <w:pStyle w:val="ListParagraph"/>
        <w:numPr>
          <w:ilvl w:val="0"/>
          <w:numId w:val="84"/>
        </w:numPr>
        <w:rPr/>
      </w:pPr>
      <w:r>
        <w:rPr>
          <w:b/>
          <w:bCs/>
        </w:rPr>
        <w:t>Gender-smart finance</w:t>
      </w:r>
      <w:r>
        <w:rPr/>
        <w:t>: sex-disaggregated data from lenders and guarantee schemes; AFAWA and women's finance windows used as risk-sharing for women-led tourism MSMEs.</w:t>
      </w:r>
    </w:p>
    <w:p>
      <w:pPr>
        <w:pStyle w:val="ListParagraph"/>
        <w:numPr>
          <w:ilvl w:val="0"/>
          <w:numId w:val="85"/>
        </w:numPr>
        <w:rPr/>
      </w:pPr>
      <w:r>
        <w:rPr>
          <w:b/>
          <w:bCs/>
        </w:rPr>
        <w:t>Cross-border trade support</w:t>
      </w:r>
      <w:r>
        <w:rPr/>
        <w:t xml:space="preserve"> for women small traders, including awareness of the COMESA Simplified Trade Regime between Zambia and Zimbabwe and advocacy for a SADC equivalent.</w:t>
      </w:r>
    </w:p>
    <w:p>
      <w:pPr>
        <w:pStyle w:val="ListParagraph"/>
        <w:numPr>
          <w:ilvl w:val="0"/>
          <w:numId w:val="86"/>
        </w:numPr>
        <w:rPr/>
      </w:pPr>
      <w:r>
        <w:rPr>
          <w:b/>
          <w:bCs/>
        </w:rPr>
        <w:t>Household dialogue</w:t>
      </w:r>
      <w:r>
        <w:rPr/>
        <w:t xml:space="preserve"> on control of income and decision-making where enterprise growth may otherwise shift control away from women.</w:t>
      </w:r>
    </w:p>
    <w:p>
      <w:pPr>
        <w:pStyle w:val="ListParagraph"/>
        <w:numPr>
          <w:ilvl w:val="0"/>
          <w:numId w:val="87"/>
        </w:numPr>
        <w:rPr/>
      </w:pPr>
      <w:r>
        <w:rPr>
          <w:b/>
          <w:bCs/>
        </w:rPr>
        <w:t>Diversification into higher-value chains</w:t>
      </w:r>
      <w:r>
        <w:rPr/>
        <w:t>: targeted support for women in lodge-linked goods, guiding and nature-positive products, not only crafts.</w:t>
      </w:r>
    </w:p>
    <w:p>
      <w:pPr>
        <w:pStyle w:val="Heading2"/>
        <w:rPr/>
      </w:pPr>
      <w:bookmarkStart w:id="39" w:name="__RefHeading___Toc2981_2470420549"/>
      <w:bookmarkEnd w:id="39"/>
      <w:r>
        <w:rPr/>
        <w:t>10.3 Youth-Focused Incubation</w:t>
      </w:r>
    </w:p>
    <w:p>
      <w:pPr>
        <w:pStyle w:val="ListParagraph"/>
        <w:numPr>
          <w:ilvl w:val="0"/>
          <w:numId w:val="88"/>
        </w:numPr>
        <w:rPr/>
      </w:pPr>
      <w:r>
        <w:rPr>
          <w:b/>
          <w:bCs/>
        </w:rPr>
        <w:t>Destination-based incubators</w:t>
      </w:r>
      <w:r>
        <w:rPr/>
        <w:t xml:space="preserve"> in two or three priority hubs (for example Kasane, Livingstone-Victoria Falls and Katima Mulilo), run with BSOs and training institutions and, where possible, hosted in existing facilities such as SMEDCO's planned hubs or INAPEM's incubator network.</w:t>
      </w:r>
    </w:p>
    <w:p>
      <w:pPr>
        <w:pStyle w:val="ListParagraph"/>
        <w:numPr>
          <w:ilvl w:val="0"/>
          <w:numId w:val="89"/>
        </w:numPr>
        <w:rPr/>
      </w:pPr>
      <w:r>
        <w:rPr>
          <w:b/>
          <w:bCs/>
        </w:rPr>
        <w:t>Skills-to-enterprise tracks</w:t>
      </w:r>
      <w:r>
        <w:rPr/>
        <w:t xml:space="preserve"> in guiding (certification and quality, responding to the guiding-quality bottleneck), transfers and logistics, waste and recycling services, and digital marketing and booking services for other MSMEs.</w:t>
      </w:r>
    </w:p>
    <w:p>
      <w:pPr>
        <w:pStyle w:val="ListParagraph"/>
        <w:numPr>
          <w:ilvl w:val="0"/>
          <w:numId w:val="90"/>
        </w:numPr>
        <w:rPr/>
      </w:pPr>
      <w:r>
        <w:rPr>
          <w:b/>
          <w:bCs/>
        </w:rPr>
        <w:t>Apprenticeships with anchor operators</w:t>
      </w:r>
      <w:r>
        <w:rPr/>
        <w:t xml:space="preserve"> that lead to sub-contracts and the two or three successful bookings needed to be listed (MD p. 75).</w:t>
      </w:r>
    </w:p>
    <w:p>
      <w:pPr>
        <w:pStyle w:val="ListParagraph"/>
        <w:numPr>
          <w:ilvl w:val="0"/>
          <w:numId w:val="91"/>
        </w:numPr>
        <w:rPr/>
      </w:pPr>
      <w:r>
        <w:rPr>
          <w:b/>
          <w:bCs/>
        </w:rPr>
        <w:t>Asset access</w:t>
      </w:r>
      <w:r>
        <w:rPr/>
        <w:t xml:space="preserve"> through lease-to-own schemes for vehicles, boats and equipment, linked to youth finance (YDF, EmpowerBank, bank youth windows).</w:t>
      </w:r>
    </w:p>
    <w:p>
      <w:pPr>
        <w:pStyle w:val="ListParagraph"/>
        <w:numPr>
          <w:ilvl w:val="0"/>
          <w:numId w:val="92"/>
        </w:numPr>
        <w:rPr/>
      </w:pPr>
      <w:r>
        <w:rPr>
          <w:b/>
          <w:bCs/>
        </w:rPr>
        <w:t>Seed grants converting to loans</w:t>
      </w:r>
      <w:r>
        <w:rPr/>
        <w:t xml:space="preserve"> on milestones, so young entrepreneurs build a credit history.</w:t>
      </w:r>
    </w:p>
    <w:p>
      <w:pPr>
        <w:pStyle w:val="ListParagraph"/>
        <w:numPr>
          <w:ilvl w:val="0"/>
          <w:numId w:val="93"/>
        </w:numPr>
        <w:rPr/>
      </w:pPr>
      <w:r>
        <w:rPr>
          <w:b/>
          <w:bCs/>
        </w:rPr>
        <w:t>Links to existing youth programmes</w:t>
      </w:r>
      <w:r>
        <w:rPr/>
        <w:t>, such as UNDP's youth-led MSME programme in Livingstone, to avoid duplication.</w:t>
      </w:r>
    </w:p>
    <w:p>
      <w:pPr>
        <w:pStyle w:val="Heading2"/>
        <w:rPr/>
      </w:pPr>
      <w:bookmarkStart w:id="40" w:name="__RefHeading___Toc2983_2470420549"/>
      <w:bookmarkEnd w:id="40"/>
      <w:r>
        <w:rPr/>
        <w:t>10.4 Blended Support Packages</w:t>
      </w:r>
    </w:p>
    <w:p>
      <w:pPr>
        <w:pStyle w:val="Normal"/>
        <w:jc w:val="both"/>
        <w:rPr/>
      </w:pPr>
      <w:r>
        <w:rPr/>
        <w:t>Finance and technical assistance should be delivered together and tied to a buyer. Three packages are proposed:</w:t>
      </w:r>
    </w:p>
    <w:p>
      <w:pPr>
        <w:pStyle w:val="Normal"/>
        <w:keepNext w:val="true"/>
        <w:spacing w:before="160" w:after="80"/>
        <w:rPr/>
      </w:pPr>
      <w:r>
        <w:rPr>
          <w:b/>
          <w:bCs/>
          <w:color w:val="1F5135"/>
          <w:sz w:val="20"/>
          <w:szCs w:val="20"/>
        </w:rPr>
        <w:t xml:space="preserve">Table 17: </w:t>
      </w:r>
      <w:r>
        <w:rPr>
          <w:i/>
          <w:iCs/>
          <w:sz w:val="20"/>
          <w:szCs w:val="20"/>
        </w:rPr>
        <w:t>Blended support packages</w:t>
      </w:r>
    </w:p>
    <w:tbl>
      <w:tblPr>
        <w:tblW w:w="9026" w:type="dxa"/>
        <w:jc w:val="left"/>
        <w:tblInd w:w="0" w:type="dxa"/>
        <w:tblLayout w:type="fixed"/>
        <w:tblCellMar>
          <w:top w:w="60" w:type="dxa"/>
          <w:left w:w="100" w:type="dxa"/>
          <w:bottom w:w="60" w:type="dxa"/>
          <w:right w:w="100" w:type="dxa"/>
        </w:tblCellMar>
      </w:tblPr>
      <w:tblGrid>
        <w:gridCol w:w="1798"/>
        <w:gridCol w:w="2301"/>
        <w:gridCol w:w="2702"/>
        <w:gridCol w:w="2224"/>
      </w:tblGrid>
      <w:tr>
        <w:trPr>
          <w:tblHeader w:val="true"/>
        </w:trPr>
        <w:tc>
          <w:tcPr>
            <w:tcW w:w="17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Package</w:t>
            </w:r>
          </w:p>
        </w:tc>
        <w:tc>
          <w:tcPr>
            <w:tcW w:w="23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Target</w:t>
            </w:r>
          </w:p>
        </w:tc>
        <w:tc>
          <w:tcPr>
            <w:tcW w:w="27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Components</w:t>
            </w:r>
          </w:p>
        </w:tc>
        <w:tc>
          <w:tcPr>
            <w:tcW w:w="2224"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Partners (indicative)</w:t>
            </w:r>
          </w:p>
        </w:tc>
      </w:tr>
      <w:tr>
        <w:trPr>
          <w:cantSplit w:val="true"/>
        </w:trPr>
        <w:tc>
          <w:tcPr>
            <w:tcW w:w="17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Anchor supplier package</w:t>
            </w:r>
          </w:p>
        </w:tc>
        <w:tc>
          <w:tcPr>
            <w:tcW w:w="23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2 suppliers in food, lodge-linked goods, transport and cleaning</w:t>
            </w:r>
          </w:p>
        </w:tc>
        <w:tc>
          <w:tcPr>
            <w:tcW w:w="27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Supplier development TA; contract-backed working capital with direct payment to the lender; partial guarantee; anchor payment-term commitment</w:t>
            </w:r>
          </w:p>
        </w:tc>
        <w:tc>
          <w:tcPr>
            <w:tcW w:w="22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Anchor operators, banks, guarantee schemes, LEA and other BSOs</w:t>
            </w:r>
          </w:p>
        </w:tc>
      </w:tr>
      <w:tr>
        <w:trPr>
          <w:cantSplit w:val="true"/>
        </w:trPr>
        <w:tc>
          <w:tcPr>
            <w:tcW w:w="17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enterprise package</w:t>
            </w:r>
          </w:p>
        </w:tc>
        <w:tc>
          <w:tcPr>
            <w:tcW w:w="23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Cooperatives and community enterprises in nature-positive products and crafts</w:t>
            </w:r>
          </w:p>
        </w:tc>
        <w:tc>
          <w:tcPr>
            <w:tcW w:w="27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Governance and certification support; grant for equipment; revolving fund; buyer brokerage</w:t>
            </w:r>
          </w:p>
        </w:tc>
        <w:tc>
          <w:tcPr>
            <w:tcW w:w="22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Conservancies, CBOs, NGOs, MFIs, community funds</w:t>
            </w:r>
          </w:p>
        </w:tc>
      </w:tr>
      <w:tr>
        <w:trPr>
          <w:cantSplit w:val="true"/>
        </w:trPr>
        <w:tc>
          <w:tcPr>
            <w:tcW w:w="17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Youth and women start-up package</w:t>
            </w:r>
          </w:p>
        </w:tc>
        <w:tc>
          <w:tcPr>
            <w:tcW w:w="23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0-1 women- and youth-led enterprises</w:t>
            </w:r>
          </w:p>
        </w:tc>
        <w:tc>
          <w:tcPr>
            <w:tcW w:w="27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Incubation; savings-group linkage; matching grant converting to loan; asset leasing; registration support</w:t>
            </w:r>
          </w:p>
        </w:tc>
        <w:tc>
          <w:tcPr>
            <w:tcW w:w="22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BSOs, youth and women's finance institutions, training institutions</w:t>
            </w:r>
          </w:p>
        </w:tc>
      </w:tr>
    </w:tbl>
    <w:p>
      <w:pPr>
        <w:pStyle w:val="Normal"/>
        <w:spacing w:before="0" w:after="120"/>
        <w:rPr/>
      </w:pPr>
      <w:r>
        <w:rPr/>
      </w:r>
    </w:p>
    <w:p>
      <w:pPr>
        <w:pStyle w:val="Heading2"/>
        <w:rPr/>
      </w:pPr>
      <w:bookmarkStart w:id="41" w:name="__RefHeading___Toc2985_2470420549"/>
      <w:bookmarkEnd w:id="41"/>
      <w:r>
        <w:rPr/>
        <w:t>10.5 BSO Strengthening</w:t>
      </w:r>
    </w:p>
    <w:p>
      <w:pPr>
        <w:pStyle w:val="ListParagraph"/>
        <w:numPr>
          <w:ilvl w:val="0"/>
          <w:numId w:val="94"/>
        </w:numPr>
        <w:rPr/>
      </w:pPr>
      <w:r>
        <w:rPr/>
        <w:t xml:space="preserve">Develop and roll out a </w:t>
      </w:r>
      <w:r>
        <w:rPr>
          <w:b/>
          <w:bCs/>
        </w:rPr>
        <w:t>common KAZA readiness diagnostic</w:t>
      </w:r>
      <w:r>
        <w:rPr/>
        <w:t xml:space="preserve"> and tier-tracking system for use by BSOs and financiers.</w:t>
      </w:r>
    </w:p>
    <w:p>
      <w:pPr>
        <w:pStyle w:val="ListParagraph"/>
        <w:numPr>
          <w:ilvl w:val="0"/>
          <w:numId w:val="95"/>
        </w:numPr>
        <w:rPr/>
      </w:pPr>
      <w:r>
        <w:rPr/>
        <w:t xml:space="preserve">Train BSO staff in </w:t>
      </w:r>
      <w:r>
        <w:rPr>
          <w:b/>
          <w:bCs/>
        </w:rPr>
        <w:t>tourism supplier development</w:t>
      </w:r>
      <w:r>
        <w:rPr/>
        <w:t xml:space="preserve">, R-NBT product development and </w:t>
      </w:r>
      <w:r>
        <w:rPr>
          <w:b/>
          <w:bCs/>
        </w:rPr>
        <w:t>investment-readiness services</w:t>
      </w:r>
      <w:r>
        <w:rPr/>
        <w:t xml:space="preserve"> (loan packaging, lender introductions).</w:t>
      </w:r>
    </w:p>
    <w:p>
      <w:pPr>
        <w:pStyle w:val="ListParagraph"/>
        <w:numPr>
          <w:ilvl w:val="0"/>
          <w:numId w:val="96"/>
        </w:numPr>
        <w:rPr/>
      </w:pPr>
      <w:r>
        <w:rPr/>
        <w:t xml:space="preserve">Establish </w:t>
      </w:r>
      <w:r>
        <w:rPr>
          <w:b/>
          <w:bCs/>
        </w:rPr>
        <w:t>BSO-financier referral agreements</w:t>
      </w:r>
      <w:r>
        <w:rPr/>
        <w:t xml:space="preserve"> so that BSO-assessed MSMEs receive faster processing.</w:t>
      </w:r>
    </w:p>
    <w:p>
      <w:pPr>
        <w:pStyle w:val="ListParagraph"/>
        <w:numPr>
          <w:ilvl w:val="0"/>
          <w:numId w:val="97"/>
        </w:numPr>
        <w:rPr/>
      </w:pPr>
      <w:r>
        <w:rPr/>
        <w:t xml:space="preserve">Extend outreach to KAZA hubs through </w:t>
      </w:r>
      <w:r>
        <w:rPr>
          <w:b/>
          <w:bCs/>
        </w:rPr>
        <w:t>satellite offices or mobile advisers</w:t>
      </w:r>
      <w:r>
        <w:rPr/>
        <w:t>.</w:t>
      </w:r>
    </w:p>
    <w:p>
      <w:pPr>
        <w:pStyle w:val="ListParagraph"/>
        <w:numPr>
          <w:ilvl w:val="0"/>
          <w:numId w:val="98"/>
        </w:numPr>
        <w:rPr/>
      </w:pPr>
      <w:r>
        <w:rPr/>
        <w:t xml:space="preserve">Build </w:t>
      </w:r>
      <w:r>
        <w:rPr>
          <w:b/>
          <w:bCs/>
        </w:rPr>
        <w:t>gender and youth capacity</w:t>
      </w:r>
      <w:r>
        <w:rPr/>
        <w:t xml:space="preserve"> within BSOs, including staff training and disaggregated client data.</w:t>
      </w:r>
    </w:p>
    <w:p>
      <w:pPr>
        <w:pStyle w:val="ListParagraph"/>
        <w:numPr>
          <w:ilvl w:val="0"/>
          <w:numId w:val="99"/>
        </w:numPr>
        <w:rPr/>
      </w:pPr>
      <w:r>
        <w:rPr/>
        <w:t xml:space="preserve">Use </w:t>
      </w:r>
      <w:r>
        <w:rPr>
          <w:b/>
          <w:bCs/>
        </w:rPr>
        <w:t>performance-based contracts</w:t>
      </w:r>
      <w:r>
        <w:rPr/>
        <w:t xml:space="preserve"> that pay BSOs for MSMEs graduating between tiers and accessing finance.</w:t>
      </w:r>
    </w:p>
    <w:p>
      <w:pPr>
        <w:pStyle w:val="Normal"/>
        <w:jc w:val="both"/>
        <w:rPr/>
      </w:pPr>
      <w:r>
        <w:rPr/>
        <w:t>The programme should work through existing BSOs rather than create new ones. The table below proposes a lead BSO and a first strengthening focus in each country, based on Section 7.3.</w:t>
      </w:r>
    </w:p>
    <w:p>
      <w:pPr>
        <w:pStyle w:val="Normal"/>
        <w:keepNext w:val="true"/>
        <w:spacing w:before="160" w:after="80"/>
        <w:rPr/>
      </w:pPr>
      <w:r>
        <w:rPr>
          <w:b/>
          <w:bCs/>
          <w:color w:val="1F5135"/>
          <w:sz w:val="20"/>
          <w:szCs w:val="20"/>
        </w:rPr>
        <w:t xml:space="preserve">Table 18: </w:t>
      </w:r>
      <w:r>
        <w:rPr>
          <w:i/>
          <w:iCs/>
          <w:sz w:val="20"/>
          <w:szCs w:val="20"/>
        </w:rPr>
        <w:t>Proposed lead BSOs and strengthening focus by country</w:t>
      </w:r>
    </w:p>
    <w:tbl>
      <w:tblPr>
        <w:tblW w:w="9026" w:type="dxa"/>
        <w:jc w:val="left"/>
        <w:tblInd w:w="0" w:type="dxa"/>
        <w:tblLayout w:type="fixed"/>
        <w:tblCellMar>
          <w:top w:w="60" w:type="dxa"/>
          <w:left w:w="100" w:type="dxa"/>
          <w:bottom w:w="60" w:type="dxa"/>
          <w:right w:w="100" w:type="dxa"/>
        </w:tblCellMar>
      </w:tblPr>
      <w:tblGrid>
        <w:gridCol w:w="1199"/>
        <w:gridCol w:w="2500"/>
        <w:gridCol w:w="2800"/>
        <w:gridCol w:w="2526"/>
      </w:tblGrid>
      <w:tr>
        <w:trPr>
          <w:tblHeader w:val="true"/>
        </w:trPr>
        <w:tc>
          <w:tcPr>
            <w:tcW w:w="11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Country</w:t>
            </w:r>
          </w:p>
        </w:tc>
        <w:tc>
          <w:tcPr>
            <w:tcW w:w="25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Lead and partner BSOs</w:t>
            </w:r>
          </w:p>
        </w:tc>
        <w:tc>
          <w:tcPr>
            <w:tcW w:w="28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Strengthening focus</w:t>
            </w:r>
          </w:p>
        </w:tc>
        <w:tc>
          <w:tcPr>
            <w:tcW w:w="25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Entry point</w:t>
            </w:r>
          </w:p>
        </w:tc>
      </w:tr>
      <w:tr>
        <w:trPr>
          <w:cantSplit w:val="true"/>
        </w:trPr>
        <w:tc>
          <w:tcPr>
            <w:tcW w:w="1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Angola</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INAPEM, with the provincial governments of Cuando and Cubango and conservation NGOs</w:t>
            </w:r>
          </w:p>
        </w:tc>
        <w:tc>
          <w:tcPr>
            <w:tcW w:w="28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and lodge-supply module in the incubator network; certification and registration help in Menongue; guiding and logistics capability</w:t>
            </w:r>
          </w:p>
        </w:tc>
        <w:tc>
          <w:tcPr>
            <w:tcW w:w="25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INAPEM incubator network; Envolver+</w:t>
            </w:r>
          </w:p>
        </w:tc>
      </w:tr>
      <w:tr>
        <w:trPr>
          <w:cantSplit w:val="true"/>
        </w:trPr>
        <w:tc>
          <w:tcPr>
            <w:tcW w:w="1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 with BTO, HATAB, WIBA and anchor operators</w:t>
            </w:r>
          </w:p>
        </w:tc>
        <w:tc>
          <w:tcPr>
            <w:tcW w:w="28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Supplier development in Kasane and Maun; readiness diagnostic; links to CEDA and Stanbic finance</w:t>
            </w:r>
          </w:p>
        </w:tc>
        <w:tc>
          <w:tcPr>
            <w:tcW w:w="25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Wilderness-LEA MoU; LEA-CEDA collaboration framework</w:t>
            </w:r>
          </w:p>
        </w:tc>
      </w:tr>
      <w:tr>
        <w:trPr>
          <w:cantSplit w:val="true"/>
        </w:trPr>
        <w:tc>
          <w:tcPr>
            <w:tcW w:w="1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NIPDB, with NACSO, IRDNC, NNF, NCCI regional branches and lodge operators</w:t>
            </w:r>
          </w:p>
        </w:tc>
        <w:tc>
          <w:tcPr>
            <w:tcW w:w="28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window in the High Potential Pool and SME fund; conservancy enterprise to supplier pathway; registration support</w:t>
            </w:r>
          </w:p>
        </w:tc>
        <w:tc>
          <w:tcPr>
            <w:tcW w:w="25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NIPDB High Potential Pool and SME fund</w:t>
            </w:r>
          </w:p>
        </w:tc>
      </w:tr>
      <w:tr>
        <w:trPr>
          <w:cantSplit w:val="true"/>
        </w:trPr>
        <w:tc>
          <w:tcPr>
            <w:tcW w:w="1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ZDA and CEEC, with the Livingstone Tourism Association and training institutions</w:t>
            </w:r>
          </w:p>
        </w:tc>
        <w:tc>
          <w:tcPr>
            <w:tcW w:w="28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supplier development in Livingstone; seasonal terms in CEEC products under the new framework; youth incubation</w:t>
            </w:r>
          </w:p>
        </w:tc>
        <w:tc>
          <w:tcPr>
            <w:tcW w:w="25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ZDA-CEEC agreement; UNDP youth MSME programme</w:t>
            </w:r>
          </w:p>
        </w:tc>
      </w:tr>
      <w:tr>
        <w:trPr>
          <w:cantSplit w:val="true"/>
        </w:trPr>
        <w:tc>
          <w:tcPr>
            <w:tcW w:w="11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Zimbabwe</w:t>
            </w:r>
          </w:p>
        </w:tc>
        <w:tc>
          <w:tcPr>
            <w:tcW w:w="25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SMEDCO, with ZIDA, ZTA, TBCZ and the CAMPFIRE Association</w:t>
            </w:r>
          </w:p>
        </w:tc>
        <w:tc>
          <w:tcPr>
            <w:tcW w:w="28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Victoria Falls-Hwange supplier development; tax-clearance support through ZIDA; investment readiness for ZEEX</w:t>
            </w:r>
          </w:p>
        </w:tc>
        <w:tc>
          <w:tcPr>
            <w:tcW w:w="25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SMEDCO hubs and ZEEX</w:t>
            </w:r>
          </w:p>
        </w:tc>
      </w:tr>
    </w:tbl>
    <w:p>
      <w:pPr>
        <w:pStyle w:val="Normal"/>
        <w:spacing w:before="0" w:after="120"/>
        <w:rPr/>
      </w:pPr>
      <w:r>
        <w:rPr/>
      </w:r>
    </w:p>
    <w:p>
      <w:pPr>
        <w:pStyle w:val="Heading2"/>
        <w:rPr/>
      </w:pPr>
      <w:bookmarkStart w:id="42" w:name="__RefHeading___Toc2987_2470420549"/>
      <w:bookmarkEnd w:id="42"/>
      <w:r>
        <w:rPr/>
        <w:t>10.6 Financial Institution Strengthening</w:t>
      </w:r>
    </w:p>
    <w:p>
      <w:pPr>
        <w:pStyle w:val="ListParagraph"/>
        <w:numPr>
          <w:ilvl w:val="0"/>
          <w:numId w:val="100"/>
        </w:numPr>
        <w:rPr/>
      </w:pPr>
      <w:r>
        <w:rPr/>
        <w:t xml:space="preserve">Technical assistance to partner banks and MFIs to design </w:t>
      </w:r>
      <w:r>
        <w:rPr>
          <w:b/>
          <w:bCs/>
        </w:rPr>
        <w:t>seasonal products</w:t>
      </w:r>
      <w:r>
        <w:rPr/>
        <w:t xml:space="preserve"> and contract-backed supplier finance.</w:t>
      </w:r>
    </w:p>
    <w:p>
      <w:pPr>
        <w:pStyle w:val="ListParagraph"/>
        <w:numPr>
          <w:ilvl w:val="0"/>
          <w:numId w:val="101"/>
        </w:numPr>
        <w:rPr/>
      </w:pPr>
      <w:r>
        <w:rPr>
          <w:b/>
          <w:bCs/>
        </w:rPr>
        <w:t>Sector training</w:t>
      </w:r>
      <w:r>
        <w:rPr/>
        <w:t xml:space="preserve"> for credit officers on R-NBT business models, anchor contracts and concession arrangements.</w:t>
      </w:r>
    </w:p>
    <w:p>
      <w:pPr>
        <w:pStyle w:val="ListParagraph"/>
        <w:numPr>
          <w:ilvl w:val="0"/>
          <w:numId w:val="102"/>
        </w:numPr>
        <w:rPr/>
      </w:pPr>
      <w:r>
        <w:rPr>
          <w:b/>
          <w:bCs/>
        </w:rPr>
        <w:t>Standard tripartite contract templates</w:t>
      </w:r>
      <w:r>
        <w:rPr/>
        <w:t xml:space="preserve"> (MSME supplier, anchor buyer and lender) with direct payment to the lender, to reduce reliance on slow court enforcement.</w:t>
      </w:r>
    </w:p>
    <w:p>
      <w:pPr>
        <w:pStyle w:val="ListParagraph"/>
        <w:numPr>
          <w:ilvl w:val="0"/>
          <w:numId w:val="103"/>
        </w:numPr>
        <w:rPr/>
      </w:pPr>
      <w:r>
        <w:rPr/>
        <w:t xml:space="preserve">Support to guarantee schemes to open </w:t>
      </w:r>
      <w:r>
        <w:rPr>
          <w:b/>
          <w:bCs/>
        </w:rPr>
        <w:t>tourism or KAZA windows</w:t>
      </w:r>
      <w:r>
        <w:rPr/>
        <w:t xml:space="preserve"> with seasonal terms, and to banks to use them.</w:t>
      </w:r>
    </w:p>
    <w:p>
      <w:pPr>
        <w:pStyle w:val="ListParagraph"/>
        <w:numPr>
          <w:ilvl w:val="0"/>
          <w:numId w:val="104"/>
        </w:numPr>
        <w:rPr/>
      </w:pPr>
      <w:r>
        <w:rPr/>
        <w:t xml:space="preserve">A </w:t>
      </w:r>
      <w:r>
        <w:rPr>
          <w:b/>
          <w:bCs/>
        </w:rPr>
        <w:t>revenue-based finance pilot</w:t>
      </w:r>
      <w:r>
        <w:rPr/>
        <w:t xml:space="preserve"> with an impact fund or fintech, using anchor-buyer and digital payment data.</w:t>
      </w:r>
    </w:p>
    <w:p>
      <w:pPr>
        <w:pStyle w:val="ListParagraph"/>
        <w:numPr>
          <w:ilvl w:val="0"/>
          <w:numId w:val="105"/>
        </w:numPr>
        <w:rPr/>
      </w:pPr>
      <w:r>
        <w:rPr>
          <w:b/>
          <w:bCs/>
        </w:rPr>
        <w:t>Gender-disaggregated reporting</w:t>
      </w:r>
      <w:r>
        <w:rPr/>
        <w:t xml:space="preserve"> and gender-smart product design.</w:t>
      </w:r>
    </w:p>
    <w:p>
      <w:pPr>
        <w:pStyle w:val="Heading2"/>
        <w:rPr/>
      </w:pPr>
      <w:bookmarkStart w:id="43" w:name="__RefHeading___Toc2989_2470420549"/>
      <w:bookmarkEnd w:id="43"/>
      <w:r>
        <w:rPr/>
        <w:t>10.7 Enabling Environment and Market Linkage Actions</w:t>
      </w:r>
    </w:p>
    <w:p>
      <w:pPr>
        <w:pStyle w:val="Normal"/>
        <w:jc w:val="both"/>
        <w:rPr/>
      </w:pPr>
      <w:r>
        <w:rPr/>
        <w:t>Most enabling-environment constraints are national and beyond the programme's control, but several can be influenced directly:</w:t>
      </w:r>
    </w:p>
    <w:p>
      <w:pPr>
        <w:pStyle w:val="ListParagraph"/>
        <w:numPr>
          <w:ilvl w:val="0"/>
          <w:numId w:val="106"/>
        </w:numPr>
        <w:rPr/>
      </w:pPr>
      <w:r>
        <w:rPr>
          <w:b/>
          <w:bCs/>
        </w:rPr>
        <w:t>Formalisation support at the point of need.</w:t>
      </w:r>
      <w:r>
        <w:rPr/>
        <w:t xml:space="preserve"> Fund BSO advisers to take MSMEs through registration and tax clearance when a contract requires it, using CIPA's online system in Botswana, ZIDA's one-stop centre in Zimbabwe and the BUE in Angola.</w:t>
      </w:r>
    </w:p>
    <w:p>
      <w:pPr>
        <w:pStyle w:val="ListParagraph"/>
        <w:numPr>
          <w:ilvl w:val="0"/>
          <w:numId w:val="107"/>
        </w:numPr>
        <w:rPr/>
      </w:pPr>
      <w:r>
        <w:rPr>
          <w:b/>
          <w:bCs/>
        </w:rPr>
        <w:t>Dialogue on MSME-friendly rules.</w:t>
      </w:r>
      <w:r>
        <w:rPr/>
        <w:t xml:space="preserve"> Use national validation workshops to raise specific issues with regulators: a simplified tax-clearance route for micro-suppliers in Zimbabwe, a tourism omnibus licence in Zambia (already under consideration by the BRRA), faster registration in Namibia, and seasonal terms in public finance schemes.</w:t>
      </w:r>
    </w:p>
    <w:p>
      <w:pPr>
        <w:pStyle w:val="ListParagraph"/>
        <w:numPr>
          <w:ilvl w:val="0"/>
          <w:numId w:val="108"/>
        </w:numPr>
        <w:rPr/>
      </w:pPr>
      <w:r>
        <w:rPr>
          <w:b/>
          <w:bCs/>
        </w:rPr>
        <w:t>Anchor procurement commitments.</w:t>
      </w:r>
      <w:r>
        <w:rPr/>
        <w:t xml:space="preserve"> Agree local and MSME procurement targets, product specifications and payment terms with anchor operators in each pilot destination, following the Wilderness and Gondwana examples, and report on them through the destination baselines (MD p. 140-141).</w:t>
      </w:r>
    </w:p>
    <w:p>
      <w:pPr>
        <w:pStyle w:val="ListParagraph"/>
        <w:numPr>
          <w:ilvl w:val="0"/>
          <w:numId w:val="109"/>
        </w:numPr>
        <w:rPr/>
      </w:pPr>
      <w:r>
        <w:rPr>
          <w:b/>
          <w:bCs/>
        </w:rPr>
        <w:t>Cross-border supply.</w:t>
      </w:r>
      <w:r>
        <w:rPr/>
        <w:t xml:space="preserve"> Support the KAZA Secretariat on Univisa adoption by Botswana and Namibia, and pilot a simplified procedure for small consignments from MSME suppliers across the Kazungula and Victoria Falls borders.</w:t>
      </w:r>
    </w:p>
    <w:p>
      <w:pPr>
        <w:pStyle w:val="ListParagraph"/>
        <w:numPr>
          <w:ilvl w:val="0"/>
          <w:numId w:val="110"/>
        </w:numPr>
        <w:rPr/>
      </w:pPr>
      <w:r>
        <w:rPr>
          <w:b/>
          <w:bCs/>
        </w:rPr>
        <w:t>Update the regulatory evidence.</w:t>
      </w:r>
      <w:r>
        <w:rPr/>
        <w:t xml:space="preserve"> Replace the Doing Business 2020 benchmarks with B-READY data as the World Bank extends coverage to all five states, and add KAZA-hub measures of registration and licensing time to the destination baselines.</w:t>
      </w:r>
    </w:p>
    <w:p>
      <w:pPr>
        <w:pStyle w:val="Heading2"/>
        <w:rPr/>
      </w:pPr>
      <w:bookmarkStart w:id="44" w:name="__RefHeading___Toc2991_2470420549"/>
      <w:bookmarkEnd w:id="44"/>
      <w:r>
        <w:rPr/>
        <w:t>10.8 Pathways to Financing</w:t>
      </w:r>
    </w:p>
    <w:p>
      <w:pPr>
        <w:pStyle w:val="Normal"/>
        <w:jc w:val="both"/>
        <w:rPr/>
      </w:pPr>
      <w:r>
        <w:rPr/>
        <w:t>The pathways connect the readiness tiers to the pilot mechanisms identified in the Financial Landscape Analysis:</w:t>
      </w:r>
    </w:p>
    <w:p>
      <w:pPr>
        <w:pStyle w:val="ListParagraph"/>
        <w:numPr>
          <w:ilvl w:val="0"/>
          <w:numId w:val="111"/>
        </w:numPr>
        <w:rPr/>
      </w:pPr>
      <w:r>
        <w:rPr>
          <w:b/>
          <w:bCs/>
        </w:rPr>
        <w:t>Tier 0-1 to savings-linked micro-finance:</w:t>
      </w:r>
      <w:r>
        <w:rPr/>
        <w:t xml:space="preserve"> savings groups linked to MFIs and women's and youth finance institutions, with community revolving funds where conservancy or CAMPFIRE revenues allow.</w:t>
      </w:r>
    </w:p>
    <w:p>
      <w:pPr>
        <w:pStyle w:val="ListParagraph"/>
        <w:numPr>
          <w:ilvl w:val="0"/>
          <w:numId w:val="112"/>
        </w:numPr>
        <w:rPr/>
      </w:pPr>
      <w:r>
        <w:rPr>
          <w:b/>
          <w:bCs/>
        </w:rPr>
        <w:t>Tier 1-2 to grant-to-loan finance:</w:t>
      </w:r>
      <w:r>
        <w:rPr/>
        <w:t xml:space="preserve"> readiness grants that convert to loans or guarantees on milestones.</w:t>
      </w:r>
    </w:p>
    <w:p>
      <w:pPr>
        <w:pStyle w:val="ListParagraph"/>
        <w:numPr>
          <w:ilvl w:val="0"/>
          <w:numId w:val="113"/>
        </w:numPr>
        <w:rPr/>
      </w:pPr>
      <w:r>
        <w:rPr>
          <w:b/>
          <w:bCs/>
        </w:rPr>
        <w:t>Tier 2 to contract-backed supplier finance and asset leasing:</w:t>
      </w:r>
      <w:r>
        <w:rPr/>
        <w:t xml:space="preserve"> anchored by lodge operators and DMCs, with tourism windows in national guarantee schemes.</w:t>
      </w:r>
    </w:p>
    <w:p>
      <w:pPr>
        <w:pStyle w:val="ListParagraph"/>
        <w:numPr>
          <w:ilvl w:val="0"/>
          <w:numId w:val="114"/>
        </w:numPr>
        <w:rPr/>
      </w:pPr>
      <w:r>
        <w:rPr>
          <w:b/>
          <w:bCs/>
        </w:rPr>
        <w:t>Tier 3 to term finance, revenue-based finance and quasi-equity:</w:t>
      </w:r>
      <w:r>
        <w:rPr/>
        <w:t xml:space="preserve"> through banks, DFIs and impact investors, with seasonal repayment.</w:t>
      </w:r>
    </w:p>
    <w:p>
      <w:pPr>
        <w:pStyle w:val="Heading2"/>
        <w:rPr/>
      </w:pPr>
      <w:bookmarkStart w:id="45" w:name="__RefHeading___Toc2993_2470420549"/>
      <w:bookmarkEnd w:id="45"/>
      <w:r>
        <w:rPr/>
        <w:t>10.9 Priorities and Next Steps</w:t>
      </w:r>
    </w:p>
    <w:p>
      <w:pPr>
        <w:pStyle w:val="ListParagraph"/>
        <w:numPr>
          <w:ilvl w:val="0"/>
          <w:numId w:val="115"/>
        </w:numPr>
        <w:rPr/>
      </w:pPr>
      <w:r>
        <w:rPr>
          <w:b/>
          <w:bCs/>
        </w:rPr>
        <w:t>Start where demand is proven:</w:t>
      </w:r>
      <w:r>
        <w:rPr/>
        <w:t xml:space="preserve"> food and agricultural supply and lodge-linked goods in Kasane/Chobe, Hwange-Victoria Falls, Livingstone and the Zambezi Region, where anchor demand is confirmed.</w:t>
      </w:r>
    </w:p>
    <w:p>
      <w:pPr>
        <w:pStyle w:val="ListParagraph"/>
        <w:numPr>
          <w:ilvl w:val="0"/>
          <w:numId w:val="116"/>
        </w:numPr>
        <w:rPr/>
      </w:pPr>
      <w:r>
        <w:rPr>
          <w:b/>
          <w:bCs/>
        </w:rPr>
        <w:t>Fix crafts through markets, not volume:</w:t>
      </w:r>
      <w:r>
        <w:rPr/>
        <w:t xml:space="preserve"> focus on product differentiation and buyer relationships before finance.</w:t>
      </w:r>
    </w:p>
    <w:p>
      <w:pPr>
        <w:pStyle w:val="ListParagraph"/>
        <w:numPr>
          <w:ilvl w:val="0"/>
          <w:numId w:val="117"/>
        </w:numPr>
        <w:rPr/>
      </w:pPr>
      <w:r>
        <w:rPr>
          <w:b/>
          <w:bCs/>
        </w:rPr>
        <w:t>Build on what exists:</w:t>
      </w:r>
      <w:r>
        <w:rPr/>
        <w:t xml:space="preserve"> work through the lead BSOs and anchor supplier programmes in each country rather than creating parallel structures.</w:t>
      </w:r>
    </w:p>
    <w:p>
      <w:pPr>
        <w:pStyle w:val="ListParagraph"/>
        <w:numPr>
          <w:ilvl w:val="0"/>
          <w:numId w:val="118"/>
        </w:numPr>
        <w:rPr/>
      </w:pPr>
      <w:r>
        <w:rPr>
          <w:b/>
          <w:bCs/>
        </w:rPr>
        <w:t>Close the gender and age data gap:</w:t>
      </w:r>
      <w:r>
        <w:rPr/>
        <w:t xml:space="preserve"> run a disaggregated MSME baseline in pilot destinations (Annex B).</w:t>
      </w:r>
    </w:p>
    <w:p>
      <w:pPr>
        <w:pStyle w:val="ListParagraph"/>
        <w:numPr>
          <w:ilvl w:val="0"/>
          <w:numId w:val="119"/>
        </w:numPr>
        <w:rPr/>
      </w:pPr>
      <w:r>
        <w:rPr>
          <w:b/>
          <w:bCs/>
        </w:rPr>
        <w:t>Validate:</w:t>
      </w:r>
      <w:r>
        <w:rPr/>
        <w:t xml:space="preserve"> test readiness ratings, models and enabling-environment findings with MSMEs, BSOs, anchor buyers, regulators and financial institutions at national workshops.</w:t>
      </w:r>
    </w:p>
    <w:p>
      <w:pPr>
        <w:pStyle w:val="ListParagraph"/>
        <w:numPr>
          <w:ilvl w:val="0"/>
          <w:numId w:val="120"/>
        </w:numPr>
        <w:rPr/>
      </w:pPr>
      <w:r>
        <w:rPr>
          <w:b/>
          <w:bCs/>
        </w:rPr>
        <w:t>Design pilots:</w:t>
      </w:r>
      <w:r>
        <w:rPr/>
        <w:t xml:space="preserve"> agree one or two blended packages per pilot destination with lead partners and term sheets for finance products.</w:t>
      </w:r>
      <w:r>
        <w:br w:type="page"/>
      </w:r>
    </w:p>
    <w:p>
      <w:pPr>
        <w:pStyle w:val="Heading1"/>
        <w:spacing w:before="0" w:after="240"/>
        <w:rPr/>
      </w:pPr>
      <w:bookmarkStart w:id="46" w:name="__RefHeading___Toc2995_2470420549"/>
      <w:bookmarkEnd w:id="46"/>
      <w:r>
        <w:rPr/>
        <w:t>Annex A: Evidence Map</w:t>
      </w:r>
    </w:p>
    <w:p>
      <w:pPr>
        <w:pStyle w:val="Normal"/>
        <w:keepNext w:val="true"/>
        <w:spacing w:before="160" w:after="80"/>
        <w:rPr/>
      </w:pPr>
      <w:r>
        <w:rPr>
          <w:b/>
          <w:bCs/>
          <w:color w:val="1F5135"/>
          <w:sz w:val="20"/>
          <w:szCs w:val="20"/>
        </w:rPr>
        <w:t xml:space="preserve">Table 19: </w:t>
      </w:r>
      <w:r>
        <w:rPr>
          <w:i/>
          <w:iCs/>
          <w:sz w:val="20"/>
          <w:szCs w:val="20"/>
        </w:rPr>
        <w:t>Macro Diagnostic sections used in this assessment</w:t>
      </w:r>
    </w:p>
    <w:tbl>
      <w:tblPr>
        <w:tblW w:w="9026" w:type="dxa"/>
        <w:jc w:val="left"/>
        <w:tblInd w:w="0" w:type="dxa"/>
        <w:tblLayout w:type="fixed"/>
        <w:tblCellMar>
          <w:top w:w="60" w:type="dxa"/>
          <w:left w:w="100" w:type="dxa"/>
          <w:bottom w:w="60" w:type="dxa"/>
          <w:right w:w="100" w:type="dxa"/>
        </w:tblCellMar>
      </w:tblPr>
      <w:tblGrid>
        <w:gridCol w:w="4624"/>
        <w:gridCol w:w="2001"/>
        <w:gridCol w:w="2401"/>
      </w:tblGrid>
      <w:tr>
        <w:trPr>
          <w:tblHeader w:val="true"/>
        </w:trPr>
        <w:tc>
          <w:tcPr>
            <w:tcW w:w="4624"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Topic</w:t>
            </w:r>
          </w:p>
        </w:tc>
        <w:tc>
          <w:tcPr>
            <w:tcW w:w="20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MD section</w:t>
            </w:r>
          </w:p>
        </w:tc>
        <w:tc>
          <w:tcPr>
            <w:tcW w:w="24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MD pages</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Survey respondents by business activity</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10</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61</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Stakeholder findings by country (buyer and enterprise evidence)</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11</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65-76</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Emerging themes and triangulation</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77-85</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Comparative value-chain table by country</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13</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87-94</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 definition</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14</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95-102</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Destination prioritisation</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15</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103-110</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Regenerative practice and enterprise cases</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17</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115-116</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Cross-border corridors</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18</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117-119</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value capture, procurement and market readiness</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20.7</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128-129</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Integrated preliminary conclusions</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21</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131-135</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Data gaps and baseline indicators</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22-23</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139-142</w:t>
            </w:r>
          </w:p>
        </w:tc>
      </w:tr>
      <w:tr>
        <w:trPr>
          <w:cantSplit w:val="true"/>
        </w:trPr>
        <w:tc>
          <w:tcPr>
            <w:tcW w:w="4624"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Recommendations on value capture and supplier development</w:t>
            </w:r>
          </w:p>
        </w:tc>
        <w:tc>
          <w:tcPr>
            <w:tcW w:w="20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24.1.5, 24.1.7</w:t>
            </w:r>
          </w:p>
        </w:tc>
        <w:tc>
          <w:tcPr>
            <w:tcW w:w="24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146-148</w:t>
            </w:r>
          </w:p>
        </w:tc>
      </w:tr>
    </w:tbl>
    <w:p>
      <w:pPr>
        <w:pStyle w:val="Normal"/>
        <w:spacing w:before="0" w:after="120"/>
        <w:rPr/>
      </w:pPr>
      <w:r>
        <w:rPr/>
      </w:r>
      <w:r>
        <w:br w:type="page"/>
      </w:r>
    </w:p>
    <w:p>
      <w:pPr>
        <w:pStyle w:val="Heading1"/>
        <w:spacing w:before="0" w:after="240"/>
        <w:rPr/>
      </w:pPr>
      <w:bookmarkStart w:id="47" w:name="__RefHeading___Toc2997_2470420549"/>
      <w:bookmarkEnd w:id="47"/>
      <w:r>
        <w:rPr/>
        <w:t>Annex B: Closing the Gender and Age Data Gap</w:t>
      </w:r>
    </w:p>
    <w:p>
      <w:pPr>
        <w:pStyle w:val="Normal"/>
        <w:jc w:val="both"/>
        <w:rPr/>
      </w:pPr>
      <w:r>
        <w:rPr/>
        <w:t>A disaggregated MSME baseline in pilot destinations should collect the following for each enterprise, with a sample large enough to compare women- and men-led and youth- and adult-led enterprises within each priority value chain:</w:t>
      </w:r>
    </w:p>
    <w:p>
      <w:pPr>
        <w:pStyle w:val="Normal"/>
        <w:keepNext w:val="true"/>
        <w:spacing w:before="160" w:after="80"/>
        <w:rPr/>
      </w:pPr>
      <w:r>
        <w:rPr>
          <w:b/>
          <w:bCs/>
          <w:color w:val="1F5135"/>
          <w:sz w:val="20"/>
          <w:szCs w:val="20"/>
        </w:rPr>
        <w:t xml:space="preserve">Table 20: </w:t>
      </w:r>
      <w:r>
        <w:rPr>
          <w:i/>
          <w:iCs/>
          <w:sz w:val="20"/>
          <w:szCs w:val="20"/>
        </w:rPr>
        <w:t>Proposed indicators for a disaggregated MSME baseline</w:t>
      </w:r>
    </w:p>
    <w:tbl>
      <w:tblPr>
        <w:tblW w:w="9026" w:type="dxa"/>
        <w:jc w:val="left"/>
        <w:tblInd w:w="0" w:type="dxa"/>
        <w:tblLayout w:type="fixed"/>
        <w:tblCellMar>
          <w:top w:w="60" w:type="dxa"/>
          <w:left w:w="100" w:type="dxa"/>
          <w:bottom w:w="60" w:type="dxa"/>
          <w:right w:w="100" w:type="dxa"/>
        </w:tblCellMar>
      </w:tblPr>
      <w:tblGrid>
        <w:gridCol w:w="2298"/>
        <w:gridCol w:w="6727"/>
      </w:tblGrid>
      <w:tr>
        <w:trPr>
          <w:tblHeader w:val="true"/>
        </w:trPr>
        <w:tc>
          <w:tcPr>
            <w:tcW w:w="22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Area</w:t>
            </w:r>
          </w:p>
        </w:tc>
        <w:tc>
          <w:tcPr>
            <w:tcW w:w="6727"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Indicators</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Owner and leadership</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Sex and age of owner(s) and manager; women's and youth share of ownership and of cooperative or committee leadership</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Value chain position</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Value chain; node (A-E); main buyers; share of sales to anchor buyers</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model</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Products; revenue by month; employees by sex and age; years operating</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Financial practices</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Separate business account; savings-group membership; sources of start-up and working capital; loans applied for and received; reasons for not applying</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Record-keeping</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Records kept (none, notebook, spreadsheet, accounting software); mobile-money and bank use for business</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Formality</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Registration; tax clearance; VAT; licences; insurance; certification; time and cost taken to register and obtain tax clearance</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Market access</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Number of anchor buyers; contracts held; payment terms; cross-border sales</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Constraints</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Self-reported constraints, including land and collateral, time and care responsibilities, mobility and safety</w:t>
            </w:r>
          </w:p>
        </w:tc>
      </w:tr>
      <w:tr>
        <w:trPr>
          <w:cantSplit w:val="true"/>
        </w:trPr>
        <w:tc>
          <w:tcPr>
            <w:tcW w:w="2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Readiness tier</w:t>
            </w:r>
          </w:p>
        </w:tc>
        <w:tc>
          <w:tcPr>
            <w:tcW w:w="67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Tier assigned using the common readiness diagnostic</w:t>
            </w:r>
          </w:p>
        </w:tc>
      </w:tr>
    </w:tbl>
    <w:p>
      <w:pPr>
        <w:pStyle w:val="Normal"/>
        <w:spacing w:before="0" w:after="120"/>
        <w:rPr/>
      </w:pPr>
      <w:r>
        <w:rPr/>
      </w:r>
      <w:r>
        <w:br w:type="page"/>
      </w:r>
    </w:p>
    <w:p>
      <w:pPr>
        <w:pStyle w:val="Heading1"/>
        <w:spacing w:before="0" w:after="240"/>
        <w:rPr/>
      </w:pPr>
      <w:bookmarkStart w:id="48" w:name="__RefHeading___Toc2999_2470420549"/>
      <w:bookmarkEnd w:id="48"/>
      <w:r>
        <w:rPr/>
        <w:t>References</w:t>
      </w:r>
    </w:p>
    <w:p>
      <w:pPr>
        <w:pStyle w:val="Normal"/>
        <w:spacing w:before="0" w:after="160"/>
        <w:rPr/>
      </w:pPr>
      <w:r>
        <w:rPr>
          <w:i/>
          <w:iCs/>
          <w:color w:val="555555"/>
          <w:sz w:val="20"/>
          <w:szCs w:val="20"/>
        </w:rPr>
        <w:t>Web sources were accessed in October 2026. Secondary figures were taken from published summaries, agency and company reports and press coverage, and should be checked against the full source documents before publication.</w:t>
      </w:r>
    </w:p>
    <w:p>
      <w:pPr>
        <w:pStyle w:val="Normal"/>
        <w:spacing w:before="0" w:after="100"/>
        <w:ind w:hanging="567" w:left="567"/>
        <w:rPr/>
      </w:pPr>
      <w:r>
        <w:rPr>
          <w:sz w:val="20"/>
          <w:szCs w:val="20"/>
        </w:rPr>
        <w:t>African Journal of Inclusive Societies (n.d.). Financial Inclusion in Zimbabwe: Re-imagining Prospects for Inclusive Stakeholder Involvement and National Development. https://www.si-ajis.org/articles/financial-inclusion-in-zimbabwe-re-imagining-prospects-for-inclusive-stakeholder-involvement-and-national-development/</w:t>
      </w:r>
    </w:p>
    <w:p>
      <w:pPr>
        <w:pStyle w:val="Normal"/>
        <w:spacing w:before="0" w:after="100"/>
        <w:ind w:hanging="567" w:left="567"/>
        <w:rPr/>
      </w:pPr>
      <w:r>
        <w:rPr>
          <w:sz w:val="20"/>
          <w:szCs w:val="20"/>
        </w:rPr>
        <w:t>AllAfrica (2026). Angola: Over 3,000 micro and small companies certified in 2025 in Benguela. https://allafrica.com/stories/202602030395.html</w:t>
      </w:r>
    </w:p>
    <w:p>
      <w:pPr>
        <w:pStyle w:val="Normal"/>
        <w:spacing w:before="0" w:after="100"/>
        <w:ind w:hanging="567" w:left="567"/>
        <w:rPr/>
      </w:pPr>
      <w:r>
        <w:rPr>
          <w:sz w:val="20"/>
          <w:szCs w:val="20"/>
        </w:rPr>
        <w:t>Alliance for Financial Inclusion (2024). Zambia: Increasing Women's Financial Inclusion and Closing the Women's SME Credit Gap through Enabling Financial Policy and Regulation. https://www.afi-global.org/wp-content/uploads/2024/10/Zambia-Increasing-Womens-Financial-Inclusion-and-Closing-the-Womens-SME-Credit-Gap-Through-Enabling-Financial-Policy-and-Regulation.pdf</w:t>
      </w:r>
    </w:p>
    <w:p>
      <w:pPr>
        <w:pStyle w:val="Normal"/>
        <w:spacing w:before="0" w:after="100"/>
        <w:ind w:hanging="567" w:left="567"/>
        <w:rPr/>
      </w:pPr>
      <w:r>
        <w:rPr>
          <w:sz w:val="20"/>
          <w:szCs w:val="20"/>
        </w:rPr>
        <w:t>Alliance for Financial Inclusion (n.d.). Regional Joint Learning Program on Women-led MSMEs: opening remarks by Deputy Governor Dr J. T. Chipika. https://afi-global.org/speeches/regional-joint-learning-program-on-developing-and-implementing-financial-inclusion-policies-and-regulations-for-women-led-msmes-opening-remarks-by-deputy-governor-dr-j-t-chipika/</w:t>
      </w:r>
    </w:p>
    <w:p>
      <w:pPr>
        <w:pStyle w:val="Normal"/>
        <w:spacing w:before="0" w:after="100"/>
        <w:ind w:hanging="567" w:left="567"/>
        <w:rPr/>
      </w:pPr>
      <w:r>
        <w:rPr>
          <w:sz w:val="20"/>
          <w:szCs w:val="20"/>
        </w:rPr>
        <w:t>Anantara Hotels (n.d.). Changing the World, One Jar of Peanut Butter at a Time (Royal Livingstone and AVANI Victoria Falls community sourcing). https://www.anantara.com/en/blog/zambia-csr-project</w:t>
      </w:r>
    </w:p>
    <w:p>
      <w:pPr>
        <w:pStyle w:val="Normal"/>
        <w:spacing w:before="0" w:after="100"/>
        <w:ind w:hanging="567" w:left="567"/>
        <w:rPr/>
      </w:pPr>
      <w:r>
        <w:rPr>
          <w:sz w:val="20"/>
          <w:szCs w:val="20"/>
        </w:rPr>
        <w:t>Ashley, C. and Mitchell, J. (ODI) (2007). Assessing how tourism revenues reach the poor. ODI Briefing Paper. https://odi.org/en/publications/assessing-how-tourism-revenues-reach-the-poor/</w:t>
      </w:r>
    </w:p>
    <w:p>
      <w:pPr>
        <w:pStyle w:val="Normal"/>
        <w:spacing w:before="0" w:after="100"/>
        <w:ind w:hanging="567" w:left="567"/>
        <w:rPr/>
      </w:pPr>
      <w:r>
        <w:rPr>
          <w:sz w:val="20"/>
          <w:szCs w:val="20"/>
        </w:rPr>
        <w:t>Botswana Daily News (BOPA) (2016). Tourism revenue leakages (report on parliamentary answer). https://dailynews.gov.bw/news-detail/27287</w:t>
      </w:r>
    </w:p>
    <w:p>
      <w:pPr>
        <w:pStyle w:val="Normal"/>
        <w:spacing w:before="0" w:after="100"/>
        <w:ind w:hanging="567" w:left="567"/>
        <w:rPr/>
      </w:pPr>
      <w:r>
        <w:rPr>
          <w:sz w:val="20"/>
          <w:szCs w:val="20"/>
        </w:rPr>
        <w:t>Botswana Daily News (BOPA) (n.d.). Report of parliamentary answer on the LEA-CEDA collaboration framework and pending merger. https://dailynews.gov.bw</w:t>
      </w:r>
    </w:p>
    <w:p>
      <w:pPr>
        <w:pStyle w:val="Normal"/>
        <w:spacing w:before="0" w:after="100"/>
        <w:ind w:hanging="567" w:left="567"/>
        <w:rPr/>
      </w:pPr>
      <w:r>
        <w:rPr>
          <w:sz w:val="20"/>
          <w:szCs w:val="20"/>
        </w:rPr>
        <w:t>Business Times Zimbabwe (2026). SMEDCO rolls out US$15m to unlock SME growth. https://businesstimes.co.zw/smedco-rolls-out-us15m-to-unlock-sme-growth/</w:t>
      </w:r>
    </w:p>
    <w:p>
      <w:pPr>
        <w:pStyle w:val="Normal"/>
        <w:spacing w:before="0" w:after="100"/>
        <w:ind w:hanging="567" w:left="567"/>
        <w:rPr/>
      </w:pPr>
      <w:r>
        <w:rPr>
          <w:sz w:val="20"/>
          <w:szCs w:val="20"/>
        </w:rPr>
        <w:t>Business Weekly (2026). Wilderness Botswana channels billions into local economy through conservation tourism. https://businessweekly.co.bw/news/wilderness-botswana-channels-billions-into-local-economy-through-conservation-tourism</w:t>
      </w:r>
    </w:p>
    <w:p>
      <w:pPr>
        <w:pStyle w:val="Normal"/>
        <w:spacing w:before="0" w:after="100"/>
        <w:ind w:hanging="567" w:left="567"/>
        <w:rPr/>
      </w:pPr>
      <w:r>
        <w:rPr>
          <w:sz w:val="20"/>
          <w:szCs w:val="20"/>
        </w:rPr>
        <w:t>COMESA (2016). Presentation on the COMESA Simplified Trade Regime (L. Othieno), UNCTAD. https://unctad.org/meetings/en/Presentation/ditc-ted-10.05.16-oceans-comesa-lawrence othieno.pdf</w:t>
      </w:r>
    </w:p>
    <w:p>
      <w:pPr>
        <w:pStyle w:val="Normal"/>
        <w:spacing w:before="0" w:after="100"/>
        <w:ind w:hanging="567" w:left="567"/>
        <w:rPr/>
      </w:pPr>
      <w:r>
        <w:rPr>
          <w:sz w:val="20"/>
          <w:szCs w:val="20"/>
        </w:rPr>
        <w:t>COMESA (2025). Current threshold for the Simplified Trade Regime. https://www.comesa.int/wp-content/uploads/2025/09/CURRENT-THRESHOLD-FOR-THE-SIMPLIFIED-TRADE-REGIME-STR1.pdf</w:t>
      </w:r>
    </w:p>
    <w:p>
      <w:pPr>
        <w:pStyle w:val="Normal"/>
        <w:spacing w:before="0" w:after="100"/>
        <w:ind w:hanging="567" w:left="567"/>
        <w:rPr/>
      </w:pPr>
      <w:r>
        <w:rPr>
          <w:sz w:val="20"/>
          <w:szCs w:val="20"/>
        </w:rPr>
        <w:t>Ecofin Agency (2026). Rwanda Tops Africa in World Bank's Business Ready 2025 Ranking. https://www.ecofinagency.com/news/0801-51811-rwanda-tops-africa-in-world-bank-s-business-ready-2025-ranking</w:t>
      </w:r>
    </w:p>
    <w:p>
      <w:pPr>
        <w:pStyle w:val="Normal"/>
        <w:spacing w:before="0" w:after="100"/>
        <w:ind w:hanging="567" w:left="567"/>
        <w:rPr/>
      </w:pPr>
      <w:r>
        <w:rPr>
          <w:sz w:val="20"/>
          <w:szCs w:val="20"/>
        </w:rPr>
        <w:t>Equity Axis (2025). Zimbabwe welcomes over 750,000 tourists in H1 2024, tourism receipts edge half a billion. https://equityaxis.net/post/18316/2025/3/zimbabwe-welcomes-over-750-000-tourists-in-h1-2024-tourism-receipts-edges-half-a-billion</w:t>
      </w:r>
    </w:p>
    <w:p>
      <w:pPr>
        <w:pStyle w:val="Normal"/>
        <w:spacing w:before="0" w:after="100"/>
        <w:ind w:hanging="567" w:left="567"/>
        <w:rPr/>
      </w:pPr>
      <w:r>
        <w:rPr>
          <w:sz w:val="20"/>
          <w:szCs w:val="20"/>
        </w:rPr>
        <w:t>European Union (2026). Regenerative Nature Based Tourism Development: action document. https://www.eeas.europa.eu/sites/default/files/2026/documents/Regenerative%20Nature%20Based%20Tourism%20Development_0.pdf</w:t>
      </w:r>
    </w:p>
    <w:p>
      <w:pPr>
        <w:pStyle w:val="Normal"/>
        <w:spacing w:before="0" w:after="100"/>
        <w:ind w:hanging="567" w:left="567"/>
        <w:rPr/>
      </w:pPr>
      <w:r>
        <w:rPr>
          <w:sz w:val="20"/>
          <w:szCs w:val="20"/>
        </w:rPr>
        <w:t>FIIAPP (2025). Support for MSMEs and the establishment and operationalisation of the national network of incubators in Angola. https://www.fiap.gob.es/en/proyectos_fiiapp/support-for-msmes-micro-small-and-medium-sized-enterprises-and-the-establishment-and-operationalization-of-the-national-network-of-incubators-in-angola/</w:t>
      </w:r>
    </w:p>
    <w:p>
      <w:pPr>
        <w:pStyle w:val="Normal"/>
        <w:spacing w:before="0" w:after="100"/>
        <w:ind w:hanging="567" w:left="567"/>
        <w:rPr/>
      </w:pPr>
      <w:r>
        <w:rPr>
          <w:sz w:val="20"/>
          <w:szCs w:val="20"/>
        </w:rPr>
        <w:t>FinMark Trust (2022). FinScope MSME Survey Zimbabwe 2022: Topline Findings. https://finmark.org.za/Publications/FinScope_MSME_Survey_Zimbabwe2022_findings.pdf</w:t>
      </w:r>
    </w:p>
    <w:p>
      <w:pPr>
        <w:pStyle w:val="Normal"/>
        <w:spacing w:before="0" w:after="100"/>
        <w:ind w:hanging="567" w:left="567"/>
        <w:rPr/>
      </w:pPr>
      <w:r>
        <w:rPr>
          <w:sz w:val="20"/>
          <w:szCs w:val="20"/>
        </w:rPr>
        <w:t>FinMark Trust (2025). FinScope MSME Survey Botswana 2024: Pocket Guide. https://finmark.org.za/Publications/2024_Pocket_Guide_FinScope_Botswana_MSME.pdf</w:t>
      </w:r>
    </w:p>
    <w:p>
      <w:pPr>
        <w:pStyle w:val="Normal"/>
        <w:spacing w:before="0" w:after="100"/>
        <w:ind w:hanging="567" w:left="567"/>
        <w:rPr/>
      </w:pPr>
      <w:r>
        <w:rPr>
          <w:sz w:val="20"/>
          <w:szCs w:val="20"/>
        </w:rPr>
        <w:t>Forbes África Lusófona (2025). INAPEM aposta no fomento de mais talentos no sector das tecnologias em Angola (Tuendi programme). https://forbesafricalusofona.com/?p=157887</w:t>
      </w:r>
    </w:p>
    <w:p>
      <w:pPr>
        <w:pStyle w:val="Normal"/>
        <w:spacing w:before="0" w:after="100"/>
        <w:ind w:hanging="567" w:left="567"/>
        <w:rPr/>
      </w:pPr>
      <w:r>
        <w:rPr>
          <w:sz w:val="20"/>
          <w:szCs w:val="20"/>
        </w:rPr>
        <w:t>GIZ (2026). Regenerative Tourism: Investing in Nature and Local Economies across KAZA. https://www.giz.de/en/regions/africa/sadc-botswana/news/regenerative-tourism-investing-nature-and-local-economies-across-kaza</w:t>
      </w:r>
    </w:p>
    <w:p>
      <w:pPr>
        <w:pStyle w:val="Normal"/>
        <w:spacing w:before="0" w:after="100"/>
        <w:ind w:hanging="567" w:left="567"/>
        <w:rPr/>
      </w:pPr>
      <w:r>
        <w:rPr>
          <w:sz w:val="20"/>
          <w:szCs w:val="20"/>
        </w:rPr>
        <w:t>Gondwana Collection Namibia (n.d.). Our partners; and Etosha King Nehale: unique through the love of detail. https://gondwana-collection.com/en/about-us/our-partners</w:t>
      </w:r>
    </w:p>
    <w:p>
      <w:pPr>
        <w:pStyle w:val="Normal"/>
        <w:spacing w:before="0" w:after="100"/>
        <w:ind w:hanging="567" w:left="567"/>
        <w:rPr/>
      </w:pPr>
      <w:r>
        <w:rPr>
          <w:sz w:val="20"/>
          <w:szCs w:val="20"/>
        </w:rPr>
        <w:t>Government of Angola (2012). Decreto Presidencial n.º 40/12, de 13 de Março (Balcão Único do Empreendedor). https://lex.ao/docs/presidente-da-republica/2012/decreto-presidencial-n-o-40-12-de-13-de-marco/</w:t>
      </w:r>
    </w:p>
    <w:p>
      <w:pPr>
        <w:pStyle w:val="Normal"/>
        <w:spacing w:before="0" w:after="100"/>
        <w:ind w:hanging="567" w:left="567"/>
        <w:rPr/>
      </w:pPr>
      <w:r>
        <w:rPr>
          <w:sz w:val="20"/>
          <w:szCs w:val="20"/>
        </w:rPr>
        <w:t>Government of Botswana (2021). Economic Inclusion Act (Act No. 26 of 2021). https://botswanalaws.com/consolidated-statutes/principle-legislation/economic-inclusion-act</w:t>
      </w:r>
    </w:p>
    <w:p>
      <w:pPr>
        <w:pStyle w:val="Normal"/>
        <w:spacing w:before="0" w:after="100"/>
        <w:ind w:hanging="567" w:left="567"/>
        <w:rPr/>
      </w:pPr>
      <w:r>
        <w:rPr>
          <w:sz w:val="20"/>
          <w:szCs w:val="20"/>
        </w:rPr>
        <w:t>Herald, The (2019). Zim among World Bank top performers. https://www.heraldonline.co.zw/zim-among-world-bank-top-performers-2/</w:t>
      </w:r>
    </w:p>
    <w:p>
      <w:pPr>
        <w:pStyle w:val="Normal"/>
        <w:spacing w:before="0" w:after="100"/>
        <w:ind w:hanging="567" w:left="567"/>
        <w:rPr/>
      </w:pPr>
      <w:r>
        <w:rPr>
          <w:sz w:val="20"/>
          <w:szCs w:val="20"/>
        </w:rPr>
        <w:t>ITWeb Africa (2019). Botswana pushes ahead with online business registration system. https://itweb.africa/content/KPNG878KVQav4mwD</w:t>
      </w:r>
    </w:p>
    <w:p>
      <w:pPr>
        <w:pStyle w:val="Normal"/>
        <w:spacing w:before="0" w:after="100"/>
        <w:ind w:hanging="567" w:left="567"/>
        <w:rPr/>
      </w:pPr>
      <w:r>
        <w:rPr>
          <w:sz w:val="20"/>
          <w:szCs w:val="20"/>
        </w:rPr>
        <w:t>KAZA Financial Landscape Analysis: Access to Finance for R-NBT MSMEs in the KAZA TFCA (Final Draft for Validation, October 2026).</w:t>
      </w:r>
    </w:p>
    <w:p>
      <w:pPr>
        <w:pStyle w:val="Normal"/>
        <w:spacing w:before="0" w:after="100"/>
        <w:ind w:hanging="567" w:left="567"/>
        <w:rPr/>
      </w:pPr>
      <w:r>
        <w:rPr>
          <w:sz w:val="20"/>
          <w:szCs w:val="20"/>
        </w:rPr>
        <w:t>Mbaiwa, J. E. (2005). Enclave tourism and its socio-economic impacts in the Okavango Delta, Botswana. Tourism Management 26(2), 157-172.</w:t>
      </w:r>
    </w:p>
    <w:p>
      <w:pPr>
        <w:pStyle w:val="Normal"/>
        <w:spacing w:before="0" w:after="100"/>
        <w:ind w:hanging="567" w:left="567"/>
        <w:rPr/>
      </w:pPr>
      <w:r>
        <w:rPr>
          <w:sz w:val="20"/>
          <w:szCs w:val="20"/>
        </w:rPr>
        <w:t>Ministry of Trade and Entrepreneurship, Botswana (2026). Committee of Supply Speech, 16 February 2026. https://www.parliament.gov.bw/documents/Committee-of-Supply-Speech--16-02-2026--Ministry-of-Trade---Entrepreneurship-Version-6--final_07_19_44_27_07_2026.pdf</w:t>
      </w:r>
    </w:p>
    <w:p>
      <w:pPr>
        <w:pStyle w:val="Normal"/>
        <w:spacing w:before="0" w:after="100"/>
        <w:ind w:hanging="567" w:left="567"/>
        <w:rPr/>
      </w:pPr>
      <w:r>
        <w:rPr>
          <w:sz w:val="20"/>
          <w:szCs w:val="20"/>
        </w:rPr>
        <w:t>Mmegi (2026). Wilderness, LEA herald new era for citizen participation in tourism. https://www.mmegi.bw/ampArticle/123339</w:t>
      </w:r>
    </w:p>
    <w:p>
      <w:pPr>
        <w:pStyle w:val="Normal"/>
        <w:spacing w:before="0" w:after="100"/>
        <w:ind w:hanging="567" w:left="567"/>
        <w:rPr/>
      </w:pPr>
      <w:r>
        <w:rPr>
          <w:sz w:val="20"/>
          <w:szCs w:val="20"/>
        </w:rPr>
        <w:t>MSME Africa Online (n.d.). NIPDB urges local MSMEs to tap into N$18 million SME support fund. https://msmeafricaonline.com/nipdb-urges-local-msmes-to-tap-into-18-million-sme-support-fund/</w:t>
      </w:r>
    </w:p>
    <w:p>
      <w:pPr>
        <w:pStyle w:val="Normal"/>
        <w:spacing w:before="0" w:after="100"/>
        <w:ind w:hanging="567" w:left="567"/>
        <w:rPr/>
      </w:pPr>
      <w:r>
        <w:rPr>
          <w:sz w:val="20"/>
          <w:szCs w:val="20"/>
        </w:rPr>
        <w:t>Namibian, The (2024). Namibia's 2023 Labour Force Survey highlights unemployment challenges and income disparities. https://www.namibian.com.na/namibias-2023-labour-force-survey-highlights-unemployment-challenges-and-income-disparities/</w:t>
      </w:r>
    </w:p>
    <w:p>
      <w:pPr>
        <w:pStyle w:val="Normal"/>
        <w:spacing w:before="0" w:after="100"/>
        <w:ind w:hanging="567" w:left="567"/>
        <w:rPr/>
      </w:pPr>
      <w:r>
        <w:rPr>
          <w:sz w:val="20"/>
          <w:szCs w:val="20"/>
        </w:rPr>
        <w:t>Namibian, The (2025). Oshana leads with most registered businesses (status of BIPA online system). https://www.namibian.com.na/oshana-leads-with-most-registered-businesses/</w:t>
      </w:r>
    </w:p>
    <w:p>
      <w:pPr>
        <w:pStyle w:val="Normal"/>
        <w:spacing w:before="0" w:after="100"/>
        <w:ind w:hanging="567" w:left="567"/>
        <w:rPr/>
      </w:pPr>
      <w:r>
        <w:rPr>
          <w:sz w:val="20"/>
          <w:szCs w:val="20"/>
        </w:rPr>
        <w:t>Namibian, The (2026). Namibia receives 1.3m tourists in 2025. https://www.namibian.com.na/namibia-receives-1-3m-tourists-in-2025/</w:t>
      </w:r>
    </w:p>
    <w:p>
      <w:pPr>
        <w:pStyle w:val="Normal"/>
        <w:spacing w:before="0" w:after="100"/>
        <w:ind w:hanging="567" w:left="567"/>
        <w:rPr/>
      </w:pPr>
      <w:r>
        <w:rPr>
          <w:sz w:val="20"/>
          <w:szCs w:val="20"/>
        </w:rPr>
        <w:t>Newsday (2026). ZSE, SMEDCO join forces to bridge SME funding gap. https://www.newsday.co.zw/amp/business/article/200057516/zse-smedco-join-forces-to-bridge-sme-funding-gap</w:t>
      </w:r>
    </w:p>
    <w:p>
      <w:pPr>
        <w:pStyle w:val="Normal"/>
        <w:spacing w:before="0" w:after="100"/>
        <w:ind w:hanging="567" w:left="567"/>
        <w:rPr/>
      </w:pPr>
      <w:r>
        <w:rPr>
          <w:sz w:val="20"/>
          <w:szCs w:val="20"/>
        </w:rPr>
        <w:t>NIPDB (2025). Annual Report 2024/25; and Celebrating World MSME Day 2025: a Namibian perspective. https://www.nipdb.com/annual-report</w:t>
      </w:r>
    </w:p>
    <w:p>
      <w:pPr>
        <w:pStyle w:val="Normal"/>
        <w:spacing w:before="0" w:after="100"/>
        <w:ind w:hanging="567" w:left="567"/>
        <w:rPr/>
      </w:pPr>
      <w:r>
        <w:rPr>
          <w:sz w:val="20"/>
          <w:szCs w:val="20"/>
        </w:rPr>
        <w:t>Pretoria News (2025). Zimbabwe blocks foreigners from taxi, bakery and salon businesses, reserves sectors for locals (SI 215 of 2025). https://pretorianews.co.za/news/politics/2025-12-15-zimbabwe-blocks-foreigners-from-taxi-bakery-and-salon-businesses-reserves-sectors-for-locals/</w:t>
      </w:r>
    </w:p>
    <w:p>
      <w:pPr>
        <w:pStyle w:val="Normal"/>
        <w:spacing w:before="0" w:after="100"/>
        <w:ind w:hanging="567" w:left="567"/>
        <w:rPr/>
      </w:pPr>
      <w:r>
        <w:rPr>
          <w:sz w:val="20"/>
          <w:szCs w:val="20"/>
        </w:rPr>
        <w:t>Reserve Bank of Zimbabwe (2022). Zimbabwe FinScope MSME Survey Report 2022. https://www.rbz.co.zw/documents/BLSS/2022/Zimbabwe_FinScope_MSME_Survey_Report_2022.pdf</w:t>
      </w:r>
    </w:p>
    <w:p>
      <w:pPr>
        <w:pStyle w:val="Normal"/>
        <w:spacing w:before="0" w:after="100"/>
        <w:ind w:hanging="567" w:left="567"/>
        <w:rPr/>
      </w:pPr>
      <w:r>
        <w:rPr>
          <w:sz w:val="20"/>
          <w:szCs w:val="20"/>
        </w:rPr>
        <w:t>SIGMA International (2026). KAZA Regenerative Nature-Based Tourism Macro Diagnostic: Findings Report (Draft). Prepared for GIZ, September 2026. Used via an extract on priority value chains.</w:t>
      </w:r>
    </w:p>
    <w:p>
      <w:pPr>
        <w:pStyle w:val="Normal"/>
        <w:spacing w:before="0" w:after="100"/>
        <w:ind w:hanging="567" w:left="567"/>
        <w:rPr/>
      </w:pPr>
      <w:r>
        <w:rPr>
          <w:sz w:val="20"/>
          <w:szCs w:val="20"/>
        </w:rPr>
        <w:t>Statistics Botswana (2025). Tourism International Visitor Arrivals Stats Brief, 2024 Quarters 2-4. https://www.statsbots.org.bw/sites/default/files/publications/Tourism%20International%20Visitor%20Arrivals%20Stats%20Brief%202024%20Quarter%202-4.pdf</w:t>
      </w:r>
    </w:p>
    <w:p>
      <w:pPr>
        <w:pStyle w:val="Normal"/>
        <w:spacing w:before="0" w:after="100"/>
        <w:ind w:hanging="567" w:left="567"/>
        <w:rPr/>
      </w:pPr>
      <w:r>
        <w:rPr>
          <w:sz w:val="20"/>
          <w:szCs w:val="20"/>
        </w:rPr>
        <w:t>The Brief (2023). NIPDB target to empower 3,000 MSMEs. https://thebrief.com.na/2023/08/nipdb-target-to-empower-3-000-msmes</w:t>
      </w:r>
    </w:p>
    <w:p>
      <w:pPr>
        <w:pStyle w:val="Normal"/>
        <w:spacing w:before="0" w:after="100"/>
        <w:ind w:hanging="567" w:left="567"/>
        <w:rPr/>
      </w:pPr>
      <w:r>
        <w:rPr>
          <w:sz w:val="20"/>
          <w:szCs w:val="20"/>
        </w:rPr>
        <w:t>The Brief (2024). Annual duty waiver programme will not be extended: BIPA. https://thebrief.com.na/2024/06/annual-duty-waiver-programme-will-not-be-extended-bipa</w:t>
      </w:r>
    </w:p>
    <w:p>
      <w:pPr>
        <w:pStyle w:val="Normal"/>
        <w:spacing w:before="0" w:after="100"/>
        <w:ind w:hanging="567" w:left="567"/>
        <w:rPr/>
      </w:pPr>
      <w:r>
        <w:rPr>
          <w:sz w:val="20"/>
          <w:szCs w:val="20"/>
        </w:rPr>
        <w:t>The Brief (2025). Namibia's tourism revival trips on its own red tape. https://thebrief.com.na/2025/10/namibias-tourism-revival-trips-on-its-own-red-tape/</w:t>
      </w:r>
    </w:p>
    <w:p>
      <w:pPr>
        <w:pStyle w:val="Normal"/>
        <w:spacing w:before="0" w:after="100"/>
        <w:ind w:hanging="567" w:left="567"/>
        <w:rPr/>
      </w:pPr>
      <w:r>
        <w:rPr>
          <w:sz w:val="20"/>
          <w:szCs w:val="20"/>
        </w:rPr>
        <w:t>Tourism Update (2025). Teething problems plague Namibia's new visa regime. https://www.tourismupdate.com/article/teething-problems-plague-namibias-new-visa-regime</w:t>
      </w:r>
    </w:p>
    <w:p>
      <w:pPr>
        <w:pStyle w:val="Normal"/>
        <w:spacing w:before="0" w:after="100"/>
        <w:ind w:hanging="567" w:left="567"/>
        <w:rPr/>
      </w:pPr>
      <w:r>
        <w:rPr>
          <w:sz w:val="20"/>
          <w:szCs w:val="20"/>
        </w:rPr>
        <w:t>UNDP Zambia (2025). Youth-Led MSME Empowerment Programme launched to boost entrepreneurial capacity and regional market access. https://www.undp.org/node/527721</w:t>
      </w:r>
    </w:p>
    <w:p>
      <w:pPr>
        <w:pStyle w:val="Normal"/>
        <w:spacing w:before="0" w:after="100"/>
        <w:ind w:hanging="567" w:left="567"/>
        <w:rPr/>
      </w:pPr>
      <w:r>
        <w:rPr>
          <w:sz w:val="20"/>
          <w:szCs w:val="20"/>
        </w:rPr>
        <w:t>University of Pretoria (n.d.). Evaluating tourism-agriculture linkages for inclusive growth in Zambia. https://repository.up.ac.za/handle/2263/86012</w:t>
      </w:r>
    </w:p>
    <w:p>
      <w:pPr>
        <w:pStyle w:val="Normal"/>
        <w:spacing w:before="0" w:after="100"/>
        <w:ind w:hanging="567" w:left="567"/>
        <w:rPr/>
      </w:pPr>
      <w:r>
        <w:rPr>
          <w:sz w:val="20"/>
          <w:szCs w:val="20"/>
        </w:rPr>
        <w:t>US Department of State (2020). 2020 Investment Climate Statements: Botswana; Namibia. https://www.state.gov/reports/2020-investment-climate-statements/botswana/</w:t>
      </w:r>
    </w:p>
    <w:p>
      <w:pPr>
        <w:pStyle w:val="Normal"/>
        <w:spacing w:before="0" w:after="100"/>
        <w:ind w:hanging="567" w:left="567"/>
        <w:rPr/>
      </w:pPr>
      <w:r>
        <w:rPr>
          <w:sz w:val="20"/>
          <w:szCs w:val="20"/>
        </w:rPr>
        <w:t>US International Trade Administration (n.d.). Botswana Country Commercial Guide: market challenges. https://trade.gov/country-commercial-guides/botswana-market-challenges</w:t>
      </w:r>
    </w:p>
    <w:p>
      <w:pPr>
        <w:pStyle w:val="Normal"/>
        <w:spacing w:before="0" w:after="100"/>
        <w:ind w:hanging="567" w:left="567"/>
        <w:rPr/>
      </w:pPr>
      <w:r>
        <w:rPr>
          <w:sz w:val="20"/>
          <w:szCs w:val="20"/>
        </w:rPr>
        <w:t>Ver Angola (2019). Governo lança Guiché Único de Empresas online para criar sociedades em dois dias. https://www.verangola.net/va/pt/032019/Economia/14762/</w:t>
      </w:r>
    </w:p>
    <w:p>
      <w:pPr>
        <w:pStyle w:val="Normal"/>
        <w:spacing w:before="0" w:after="100"/>
        <w:ind w:hanging="567" w:left="567"/>
        <w:rPr/>
      </w:pPr>
      <w:r>
        <w:rPr>
          <w:sz w:val="20"/>
          <w:szCs w:val="20"/>
        </w:rPr>
        <w:t>Ver Angola (2025). Projecto Envolver lançado em Angola para fortalecer empreendedorismo. https://www.verangola.net/va/pt/102025/Sociedade/46493/</w:t>
      </w:r>
    </w:p>
    <w:p>
      <w:pPr>
        <w:pStyle w:val="Normal"/>
        <w:spacing w:before="0" w:after="100"/>
        <w:ind w:hanging="567" w:left="567"/>
        <w:rPr/>
      </w:pPr>
      <w:r>
        <w:rPr>
          <w:sz w:val="20"/>
          <w:szCs w:val="20"/>
        </w:rPr>
        <w:t>Veritas Zimbabwe (2018). Bill Watch 5-2018: Indigenisation Act amendments now law. https://www.veritaszim.net/node/2356</w:t>
      </w:r>
    </w:p>
    <w:p>
      <w:pPr>
        <w:pStyle w:val="Normal"/>
        <w:spacing w:before="0" w:after="100"/>
        <w:ind w:hanging="567" w:left="567"/>
        <w:rPr/>
      </w:pPr>
      <w:r>
        <w:rPr>
          <w:sz w:val="20"/>
          <w:szCs w:val="20"/>
        </w:rPr>
        <w:t>Visa Atlas (2026). KAZA Univisa. https://visaatlas.org/visas/zambia/kaza-univisa</w:t>
      </w:r>
    </w:p>
    <w:p>
      <w:pPr>
        <w:pStyle w:val="Normal"/>
        <w:spacing w:before="0" w:after="100"/>
        <w:ind w:hanging="567" w:left="567"/>
        <w:rPr/>
      </w:pPr>
      <w:r>
        <w:rPr>
          <w:sz w:val="20"/>
          <w:szCs w:val="20"/>
        </w:rPr>
        <w:t>World Bank (2013). FinScope MSME Survey Zimbabwe 2012. https://documents1.worldbank.org/curated/en/780081468137402417/pdf/945050WP0Box385442B0P12644800PUBLIC00ACS.pdf</w:t>
      </w:r>
    </w:p>
    <w:p>
      <w:pPr>
        <w:pStyle w:val="Normal"/>
        <w:spacing w:before="0" w:after="100"/>
        <w:ind w:hanging="567" w:left="567"/>
        <w:rPr/>
      </w:pPr>
      <w:r>
        <w:rPr>
          <w:sz w:val="20"/>
          <w:szCs w:val="20"/>
        </w:rPr>
        <w:t>World Bank (2019). Doing Business 2020: Comparing Business Regulation in 190 Economies; and economy profiles for Angola, Botswana, Namibia, Zambia and Zimbabwe. https://archive.doingbusiness.org/en/reports/global-reports/doing-business-2020</w:t>
      </w:r>
    </w:p>
    <w:p>
      <w:pPr>
        <w:pStyle w:val="Normal"/>
        <w:spacing w:before="0" w:after="100"/>
        <w:ind w:hanging="567" w:left="567"/>
        <w:rPr/>
      </w:pPr>
      <w:r>
        <w:rPr>
          <w:sz w:val="20"/>
          <w:szCs w:val="20"/>
        </w:rPr>
        <w:t>World Bank (2019). Doing Business 2020: two Sub-Saharan African countries among most improved in ease of doing business (press release, 24 October 2019). https://www.worldbank.org/en/news/press-release/2019/10/24/doing-business-2020-two-sub-saharan-african-countries-among-most-improved-in-ease-of-doing-business</w:t>
      </w:r>
    </w:p>
    <w:p>
      <w:pPr>
        <w:pStyle w:val="Normal"/>
        <w:spacing w:before="0" w:after="100"/>
        <w:ind w:hanging="567" w:left="567"/>
        <w:rPr/>
      </w:pPr>
      <w:r>
        <w:rPr>
          <w:sz w:val="20"/>
          <w:szCs w:val="20"/>
        </w:rPr>
        <w:t>World Bank (2021). Access to Finance and Capacity Building of Women-led Small and Medium Enterprises in Zambia (W-SME Survey Report). https://documents1.worldbank.org/curated/en/576591618321561334/pdf/Access-to-Finance-and-Capacity-Building-of-Women-led-Small-and-Medium-Enterprises-in-Zambia.pdf</w:t>
      </w:r>
    </w:p>
    <w:p>
      <w:pPr>
        <w:pStyle w:val="Normal"/>
        <w:spacing w:before="0" w:after="100"/>
        <w:ind w:hanging="567" w:left="567"/>
        <w:rPr/>
      </w:pPr>
      <w:r>
        <w:rPr>
          <w:sz w:val="20"/>
          <w:szCs w:val="20"/>
        </w:rPr>
        <w:t>World Bank (2024). Risk and reform: Zambia's strategic approach to modern governance (Nasikiliza blog). https://blogs.worldbank.org/en/nasikiliza/risk-and-reform-zambias-strategic-approach-to-modern-governance-afe-0524</w:t>
      </w:r>
    </w:p>
    <w:p>
      <w:pPr>
        <w:pStyle w:val="Normal"/>
        <w:spacing w:before="0" w:after="100"/>
        <w:ind w:hanging="567" w:left="567"/>
        <w:rPr/>
      </w:pPr>
      <w:r>
        <w:rPr>
          <w:sz w:val="20"/>
          <w:szCs w:val="20"/>
        </w:rPr>
        <w:t>World Bank (2024). Skills Development in Namibia: Policy Note. https://documents1.worldbank.org/curated/en/099081224051035127/pdf/P171994-2b4ffc58-d328-4002-a65a-8df0a178573e.pdf</w:t>
      </w:r>
    </w:p>
    <w:p>
      <w:pPr>
        <w:pStyle w:val="Normal"/>
        <w:spacing w:before="0" w:after="100"/>
        <w:ind w:hanging="567" w:left="567"/>
        <w:rPr/>
      </w:pPr>
      <w:r>
        <w:rPr>
          <w:sz w:val="20"/>
          <w:szCs w:val="20"/>
        </w:rPr>
        <w:t>World Bank (2025). Business Ready 2025. https://documents.worldbank.org/en/publication/documents-reports/documentdetail/099122925140531373</w:t>
      </w:r>
    </w:p>
    <w:p>
      <w:pPr>
        <w:pStyle w:val="Normal"/>
        <w:spacing w:before="0" w:after="100"/>
        <w:ind w:hanging="567" w:left="567"/>
        <w:rPr/>
      </w:pPr>
      <w:r>
        <w:rPr>
          <w:sz w:val="20"/>
          <w:szCs w:val="20"/>
        </w:rPr>
        <w:t>Zambia Monitor (2025). BRRA to explore omnibus licensing for tourism. https://www.zambiamonitor.com/?p=70314</w:t>
      </w:r>
    </w:p>
    <w:p>
      <w:pPr>
        <w:pStyle w:val="Normal"/>
        <w:spacing w:before="0" w:after="100"/>
        <w:ind w:hanging="567" w:left="567"/>
        <w:rPr/>
      </w:pPr>
      <w:r>
        <w:rPr>
          <w:sz w:val="20"/>
          <w:szCs w:val="20"/>
        </w:rPr>
        <w:t>Zambia Monitor (n.d.). Govt halts pending applications for empowerment schemes; fresh requests to reopen under new framework. https://www.zambiamonitor.com/govt-halts-pending-applications-for-empowerment-schemes-fresh-requests-to-reopen-under-new-framework-in-jan/</w:t>
      </w:r>
    </w:p>
    <w:p>
      <w:pPr>
        <w:pStyle w:val="Normal"/>
        <w:spacing w:before="0" w:after="100"/>
        <w:ind w:hanging="567" w:left="567"/>
        <w:rPr/>
      </w:pPr>
      <w:r>
        <w:rPr>
          <w:sz w:val="20"/>
          <w:szCs w:val="20"/>
        </w:rPr>
        <w:t>Zambia Monitor (n.d.). ZDA and CEEC sign agreement to strengthen SME support. https://zambiamonitor.com/?p=52339</w:t>
      </w:r>
    </w:p>
    <w:p>
      <w:pPr>
        <w:pStyle w:val="Normal"/>
        <w:spacing w:before="0" w:after="100"/>
        <w:ind w:hanging="567" w:left="567"/>
        <w:rPr/>
      </w:pPr>
      <w:r>
        <w:rPr>
          <w:sz w:val="20"/>
          <w:szCs w:val="20"/>
        </w:rPr>
        <w:t>ZIMRA (2024). ZIMRA signs MOU with ZIDA. https://zimra.co.zw/news/20-story?start=45</w:t>
      </w:r>
    </w:p>
    <w:p>
      <w:pPr>
        <w:pStyle w:val="Normal"/>
        <w:spacing w:before="0" w:after="100"/>
        <w:ind w:hanging="567" w:left="567"/>
        <w:rPr/>
      </w:pPr>
      <w:r>
        <w:rPr>
          <w:sz w:val="20"/>
          <w:szCs w:val="20"/>
        </w:rPr>
        <w:t>ZIMRA (n.d.). COMESA Simplified Trade Regime. https://zimra.co.zw/customs/origin-and-preference/comesa-simplified-trade-regime</w:t>
      </w:r>
    </w:p>
    <w:sectPr>
      <w:headerReference w:type="default" r:id="rId8"/>
      <w:headerReference w:type="first" r:id="rId9"/>
      <w:footerReference w:type="default" r:id="rId10"/>
      <w:footerReference w:type="first" r:id="rId11"/>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555555"/>
        <w:sz w:val="18"/>
        <w:szCs w:val="18"/>
      </w:rPr>
      <w:t xml:space="preserve">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w:instrText>
    </w:r>
    <w:r>
      <w:rPr/>
      <w:fldChar w:fldCharType="separate"/>
    </w:r>
    <w:r>
      <w:rPr/>
      <w:t>49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555555"/>
        <w:sz w:val="18"/>
        <w:szCs w:val="18"/>
      </w:rPr>
      <w:t xml:space="preserve">Page </w:t>
    </w:r>
    <w:r>
      <w:rPr/>
      <w:fldChar w:fldCharType="begin"/>
    </w:r>
    <w:r>
      <w:rPr/>
      <w:instrText xml:space="preserve"> PAGE </w:instrText>
    </w:r>
    <w:r>
      <w:rPr/>
      <w:fldChar w:fldCharType="separate"/>
    </w:r>
    <w:r>
      <w:rPr/>
      <w:t>49</w:t>
    </w:r>
    <w:r>
      <w:rPr/>
      <w:fldChar w:fldCharType="end"/>
    </w:r>
    <w:r>
      <w:rPr/>
      <w:t xml:space="preserve"> of </w:t>
    </w:r>
    <w:r>
      <w:rPr/>
      <w:fldChar w:fldCharType="begin"/>
    </w:r>
    <w:r>
      <w:rPr/>
      <w:instrText xml:space="preserve"> NUMPAGES </w:instrText>
    </w:r>
    <w:r>
      <w:rPr/>
      <w:fldChar w:fldCharType="separate"/>
    </w:r>
    <w:r>
      <w:rPr/>
      <w:t>49</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color w:val="777777"/>
        <w:sz w:val="16"/>
        <w:szCs w:val="16"/>
      </w:rPr>
      <w:t>KAZA MSME Investment Readiness Assessment — R-NBT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color w:val="777777"/>
        <w:sz w:val="16"/>
        <w:szCs w:val="16"/>
      </w:rPr>
      <w:t>KAZA MSME Investment Readiness Assessment — R-NBT</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7"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567"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exact" w:line="276" w:before="0" w:after="12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C8A951"/>
      </w:pBdr>
      <w:spacing w:before="0" w:after="240"/>
      <w:outlineLvl w:val="0"/>
    </w:pPr>
    <w:rPr>
      <w:rFonts w:ascii="Calibri" w:hAnsi="Calibri" w:eastAsia="Calibri" w:cs="Calibri"/>
      <w:b/>
      <w:bCs/>
      <w:color w:val="1F5135"/>
      <w:sz w:val="34"/>
      <w:szCs w:val="34"/>
    </w:rPr>
  </w:style>
  <w:style w:type="paragraph" w:styleId="Heading2">
    <w:name w:val="Heading 2"/>
    <w:basedOn w:val="Heading"/>
    <w:qFormat/>
    <w:pPr>
      <w:keepNext w:val="true"/>
      <w:spacing w:before="320" w:after="140"/>
      <w:outlineLvl w:val="1"/>
    </w:pPr>
    <w:rPr>
      <w:rFonts w:ascii="Calibri" w:hAnsi="Calibri" w:eastAsia="Calibri" w:cs="Calibri"/>
      <w:b/>
      <w:bCs/>
      <w:color w:val="1F5135"/>
      <w:sz w:val="26"/>
      <w:szCs w:val="26"/>
    </w:rPr>
  </w:style>
  <w:style w:type="paragraph" w:styleId="Heading3">
    <w:name w:val="Heading 3"/>
    <w:basedOn w:val="Heading"/>
    <w:qFormat/>
    <w:pPr>
      <w:keepNext w:val="true"/>
      <w:spacing w:before="200" w:after="100"/>
      <w:outlineLvl w:val="2"/>
    </w:pPr>
    <w:rPr>
      <w:rFonts w:ascii="Calibri" w:hAnsi="Calibri" w:eastAsia="Calibri" w:cs="Calibri"/>
      <w:b/>
      <w:bCs/>
      <w:color w:val="3D6B5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lineRule="exact" w:line="276" w:before="0" w:after="12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lineRule="exact" w:line="276" w:before="0" w:after="12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49</Pages>
  <Words>16582</Words>
  <Characters>102586</Characters>
  <CharactersWithSpaces>117898</CharactersWithSpaces>
  <Paragraphs>1151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2026-10-15T10:23:18Z</dcterms:created>
  <dc:creator>KAZA R-NBT Finance Study</dc:creator>
  <dc:description>Investment readiness of R-NBT MSMEs in the KAZA priority value chains, capacity gaps, enabling environment and recommended interventions</dc:description>
  <dc:language>en-US</dc:language>
  <cp:lastModifiedBy/>
  <dcterms:modified xsi:type="dcterms:W3CDTF">2026-10-15T10:23:32Z</dcterms:modified>
  <cp:revision>3</cp:revision>
  <dc:subject/>
  <dc:title>MSME Investment Readiness Assessment – KAZA R-NBT Priority Value Chains</dc:title>
</cp:coreProperties>
</file>

<file path=docProps/custom.xml><?xml version="1.0" encoding="utf-8"?>
<Properties xmlns="http://schemas.openxmlformats.org/officeDocument/2006/custom-properties" xmlns:vt="http://schemas.openxmlformats.org/officeDocument/2006/docPropsVTypes"/>
</file>