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120"/>
        <w:rPr/>
      </w:pPr>
      <w:r>
        <w:rPr/>
      </w:r>
    </w:p>
    <w:p>
      <w:pPr>
        <w:pStyle w:val="Normal"/>
        <w:pBdr>
          <w:bottom w:val="single" w:sz="18" w:space="6" w:color="C8A951"/>
        </w:pBdr>
        <w:spacing w:before="0" w:after="300"/>
        <w:rPr/>
      </w:pPr>
      <w:r>
        <w:rPr>
          <w:rFonts w:eastAsia="Calibri" w:cs="Calibri"/>
          <w:b/>
          <w:bCs/>
          <w:color w:val="1F5135"/>
          <w:sz w:val="56"/>
          <w:szCs w:val="56"/>
        </w:rPr>
        <w:t>Financial Landscape Analysis</w:t>
      </w:r>
    </w:p>
    <w:p>
      <w:pPr>
        <w:pStyle w:val="Normal"/>
        <w:spacing w:before="0" w:after="200"/>
        <w:rPr/>
      </w:pPr>
      <w:r>
        <w:rPr>
          <w:color w:val="333333"/>
          <w:sz w:val="30"/>
          <w:szCs w:val="30"/>
        </w:rPr>
        <w:t>Access to Finance for Regenerative Nature-Based Tourism (R-NBT) MSMEs in the Kavango Zambezi Transfrontier Conservation Area (KAZA TFCA)</w:t>
      </w:r>
    </w:p>
    <w:p>
      <w:pPr>
        <w:pStyle w:val="Normal"/>
        <w:spacing w:before="0" w:after="1200"/>
        <w:rPr/>
      </w:pPr>
      <w:r>
        <w:rPr>
          <w:b/>
          <w:bCs/>
          <w:color w:val="1F5135"/>
          <w:sz w:val="26"/>
          <w:szCs w:val="26"/>
        </w:rPr>
        <w:t>Angola · Botswana · Namibia · Zambia · Zimbabwe</w:t>
      </w:r>
    </w:p>
    <w:p>
      <w:pPr>
        <w:pStyle w:val="Normal"/>
        <w:rPr/>
      </w:pPr>
      <w:r>
        <w:rPr>
          <w:i/>
          <w:iCs/>
          <w:color w:val="555555"/>
          <w:sz w:val="20"/>
          <w:szCs w:val="20"/>
        </w:rPr>
        <w:t>Country chapters: financial actors and products; business support organisations; product accessibility; regulatory and policy environment; private-sector partners; partner institution assessment; DFIs, foundations and impact investors; guarantee schemes and revolving funds</w:t>
      </w:r>
    </w:p>
    <w:p>
      <w:pPr>
        <w:pStyle w:val="Normal"/>
        <w:spacing w:before="1600" w:after="120"/>
        <w:rPr/>
      </w:pPr>
      <w:r>
        <w:rPr>
          <w:b/>
          <w:bCs/>
          <w:sz w:val="22"/>
          <w:szCs w:val="22"/>
        </w:rPr>
        <w:t>Final Draft for Validation</w:t>
      </w:r>
    </w:p>
    <w:p>
      <w:pPr>
        <w:pStyle w:val="Normal"/>
        <w:rPr/>
      </w:pPr>
      <w:r>
        <w:rPr>
          <w:sz w:val="22"/>
          <w:szCs w:val="22"/>
        </w:rPr>
        <w:t>October 2026</w:t>
      </w:r>
    </w:p>
    <w:p>
      <w:pPr>
        <w:pStyle w:val="Normal"/>
        <w:rPr/>
      </w:pPr>
      <w:r>
        <w:rPr/>
      </w:r>
      <w:r>
        <w:br w:type="page"/>
      </w:r>
    </w:p>
    <w:p>
      <w:pPr>
        <w:pStyle w:val="Normal"/>
        <w:spacing w:before="0" w:after="240"/>
        <w:rPr/>
      </w:pPr>
      <w:r>
        <w:rPr>
          <w:b/>
          <w:bCs/>
          <w:color w:val="1F5135"/>
          <w:sz w:val="32"/>
          <w:szCs w:val="32"/>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4683_309009763">
            <w:r>
              <w:rPr>
                <w:rStyle w:val="IndexLink"/>
              </w:rPr>
              <w:t>Executive Summary</w:t>
              <w:tab/>
              <w:t>6</w:t>
            </w:r>
          </w:hyperlink>
        </w:p>
        <w:p>
          <w:pPr>
            <w:pStyle w:val="TOC1"/>
            <w:tabs>
              <w:tab w:val="clear" w:pos="9026"/>
              <w:tab w:val="right" w:pos="9025" w:leader="dot"/>
            </w:tabs>
            <w:rPr/>
          </w:pPr>
          <w:hyperlink w:anchor="__RefHeading___Toc4685_309009763">
            <w:r>
              <w:rPr>
                <w:rStyle w:val="IndexLink"/>
              </w:rPr>
              <w:t>1. Introduction and Methodology</w:t>
              <w:tab/>
              <w:t>8</w:t>
            </w:r>
          </w:hyperlink>
        </w:p>
        <w:p>
          <w:pPr>
            <w:pStyle w:val="TOC2"/>
            <w:tabs>
              <w:tab w:val="clear" w:pos="8743"/>
              <w:tab w:val="right" w:pos="9025" w:leader="dot"/>
            </w:tabs>
            <w:rPr/>
          </w:pPr>
          <w:hyperlink w:anchor="__RefHeading___Toc4687_309009763">
            <w:r>
              <w:rPr>
                <w:rStyle w:val="IndexLink"/>
              </w:rPr>
              <w:t>1.1 Background and Purpose</w:t>
              <w:tab/>
              <w:t>8</w:t>
            </w:r>
          </w:hyperlink>
        </w:p>
        <w:p>
          <w:pPr>
            <w:pStyle w:val="TOC2"/>
            <w:tabs>
              <w:tab w:val="clear" w:pos="8743"/>
              <w:tab w:val="right" w:pos="9025" w:leader="dot"/>
            </w:tabs>
            <w:rPr/>
          </w:pPr>
          <w:hyperlink w:anchor="__RefHeading___Toc4689_309009763">
            <w:r>
              <w:rPr>
                <w:rStyle w:val="IndexLink"/>
              </w:rPr>
              <w:t>1.2 Scope</w:t>
              <w:tab/>
              <w:t>8</w:t>
            </w:r>
          </w:hyperlink>
        </w:p>
        <w:p>
          <w:pPr>
            <w:pStyle w:val="TOC2"/>
            <w:tabs>
              <w:tab w:val="clear" w:pos="8743"/>
              <w:tab w:val="right" w:pos="9025" w:leader="dot"/>
            </w:tabs>
            <w:rPr/>
          </w:pPr>
          <w:hyperlink w:anchor="__RefHeading___Toc4691_309009763">
            <w:r>
              <w:rPr>
                <w:rStyle w:val="IndexLink"/>
              </w:rPr>
              <w:t>1.3 The R-NBT MSME Value Chain</w:t>
              <w:tab/>
              <w:t>9</w:t>
            </w:r>
          </w:hyperlink>
        </w:p>
        <w:p>
          <w:pPr>
            <w:pStyle w:val="TOC2"/>
            <w:tabs>
              <w:tab w:val="clear" w:pos="8743"/>
              <w:tab w:val="right" w:pos="9025" w:leader="dot"/>
            </w:tabs>
            <w:rPr/>
          </w:pPr>
          <w:hyperlink w:anchor="__RefHeading___Toc4693_309009763">
            <w:r>
              <w:rPr>
                <w:rStyle w:val="IndexLink"/>
              </w:rPr>
              <w:t>1.4 Methodology and Limitations</w:t>
              <w:tab/>
              <w:t>9</w:t>
            </w:r>
          </w:hyperlink>
        </w:p>
        <w:p>
          <w:pPr>
            <w:pStyle w:val="TOC1"/>
            <w:tabs>
              <w:tab w:val="clear" w:pos="9026"/>
              <w:tab w:val="right" w:pos="9025" w:leader="dot"/>
            </w:tabs>
            <w:rPr/>
          </w:pPr>
          <w:hyperlink w:anchor="__RefHeading___Toc4695_309009763">
            <w:r>
              <w:rPr>
                <w:rStyle w:val="IndexLink"/>
              </w:rPr>
              <w:t>2. Regional Context: KAZA and Cross-Cutting Finance Issues</w:t>
              <w:tab/>
              <w:t>10</w:t>
            </w:r>
          </w:hyperlink>
        </w:p>
        <w:p>
          <w:pPr>
            <w:pStyle w:val="TOC2"/>
            <w:tabs>
              <w:tab w:val="clear" w:pos="8743"/>
              <w:tab w:val="right" w:pos="9025" w:leader="dot"/>
            </w:tabs>
            <w:rPr/>
          </w:pPr>
          <w:hyperlink w:anchor="__RefHeading___Toc4697_309009763">
            <w:r>
              <w:rPr>
                <w:rStyle w:val="IndexLink"/>
              </w:rPr>
              <w:t>2.1 KAZA Institutional Framework</w:t>
              <w:tab/>
              <w:t>10</w:t>
            </w:r>
          </w:hyperlink>
        </w:p>
        <w:p>
          <w:pPr>
            <w:pStyle w:val="TOC2"/>
            <w:tabs>
              <w:tab w:val="clear" w:pos="8743"/>
              <w:tab w:val="right" w:pos="9025" w:leader="dot"/>
            </w:tabs>
            <w:rPr/>
          </w:pPr>
          <w:hyperlink w:anchor="__RefHeading___Toc4699_309009763">
            <w:r>
              <w:rPr>
                <w:rStyle w:val="IndexLink"/>
              </w:rPr>
              <w:t>2.2 Regional Financial Actors</w:t>
              <w:tab/>
              <w:t>10</w:t>
            </w:r>
          </w:hyperlink>
        </w:p>
        <w:p>
          <w:pPr>
            <w:pStyle w:val="TOC2"/>
            <w:tabs>
              <w:tab w:val="clear" w:pos="8743"/>
              <w:tab w:val="right" w:pos="9025" w:leader="dot"/>
            </w:tabs>
            <w:rPr/>
          </w:pPr>
          <w:hyperlink w:anchor="__RefHeading___Toc4701_309009763">
            <w:r>
              <w:rPr>
                <w:rStyle w:val="IndexLink"/>
              </w:rPr>
              <w:t>2.3 Cross-Cutting Constraints</w:t>
              <w:tab/>
              <w:t>11</w:t>
            </w:r>
          </w:hyperlink>
        </w:p>
        <w:p>
          <w:pPr>
            <w:pStyle w:val="TOC1"/>
            <w:tabs>
              <w:tab w:val="clear" w:pos="9026"/>
              <w:tab w:val="right" w:pos="9025" w:leader="dot"/>
            </w:tabs>
            <w:rPr/>
          </w:pPr>
          <w:hyperlink w:anchor="__RefHeading___Toc4703_309009763">
            <w:r>
              <w:rPr>
                <w:rStyle w:val="IndexLink"/>
              </w:rPr>
              <w:t>3. Angola</w:t>
              <w:tab/>
              <w:t>12</w:t>
            </w:r>
          </w:hyperlink>
        </w:p>
        <w:p>
          <w:pPr>
            <w:pStyle w:val="TOC2"/>
            <w:tabs>
              <w:tab w:val="clear" w:pos="8743"/>
              <w:tab w:val="right" w:pos="9025" w:leader="dot"/>
            </w:tabs>
            <w:rPr/>
          </w:pPr>
          <w:hyperlink w:anchor="__RefHeading___Toc4705_309009763">
            <w:r>
              <w:rPr>
                <w:rStyle w:val="IndexLink"/>
              </w:rPr>
              <w:t>3.1 Country Context: The Angolan KAZA Component</w:t>
              <w:tab/>
              <w:t>12</w:t>
            </w:r>
          </w:hyperlink>
        </w:p>
        <w:p>
          <w:pPr>
            <w:pStyle w:val="TOC2"/>
            <w:tabs>
              <w:tab w:val="clear" w:pos="8743"/>
              <w:tab w:val="right" w:pos="9025" w:leader="dot"/>
            </w:tabs>
            <w:rPr/>
          </w:pPr>
          <w:hyperlink w:anchor="__RefHeading___Toc4707_309009763">
            <w:r>
              <w:rPr>
                <w:rStyle w:val="IndexLink"/>
              </w:rPr>
              <w:t>3.2 Mapping of Financial Actors and Adaptable Products</w:t>
              <w:tab/>
              <w:t>12</w:t>
            </w:r>
          </w:hyperlink>
        </w:p>
        <w:p>
          <w:pPr>
            <w:pStyle w:val="TOC2"/>
            <w:tabs>
              <w:tab w:val="clear" w:pos="8743"/>
              <w:tab w:val="right" w:pos="9025" w:leader="dot"/>
            </w:tabs>
            <w:rPr/>
          </w:pPr>
          <w:hyperlink w:anchor="__RefHeading___Toc4709_309009763">
            <w:r>
              <w:rPr>
                <w:rStyle w:val="IndexLink"/>
              </w:rPr>
              <w:t>3.3 Business Support Organisations and Stakeholders</w:t>
              <w:tab/>
              <w:t>13</w:t>
            </w:r>
          </w:hyperlink>
        </w:p>
        <w:p>
          <w:pPr>
            <w:pStyle w:val="TOC2"/>
            <w:tabs>
              <w:tab w:val="clear" w:pos="8743"/>
              <w:tab w:val="right" w:pos="9025" w:leader="dot"/>
            </w:tabs>
            <w:rPr/>
          </w:pPr>
          <w:hyperlink w:anchor="__RefHeading___Toc4711_309009763">
            <w:r>
              <w:rPr>
                <w:rStyle w:val="IndexLink"/>
              </w:rPr>
              <w:t>3.4 Analysis of Available Financial Products</w:t>
              <w:tab/>
              <w:t>14</w:t>
            </w:r>
          </w:hyperlink>
        </w:p>
        <w:p>
          <w:pPr>
            <w:pStyle w:val="TOC2"/>
            <w:tabs>
              <w:tab w:val="clear" w:pos="8743"/>
              <w:tab w:val="right" w:pos="9025" w:leader="dot"/>
            </w:tabs>
            <w:rPr/>
          </w:pPr>
          <w:hyperlink w:anchor="__RefHeading___Toc4713_309009763">
            <w:r>
              <w:rPr>
                <w:rStyle w:val="IndexLink"/>
              </w:rPr>
              <w:t>3.5 Regulatory and Policy Environment</w:t>
              <w:tab/>
              <w:t>15</w:t>
            </w:r>
          </w:hyperlink>
        </w:p>
        <w:p>
          <w:pPr>
            <w:pStyle w:val="TOC2"/>
            <w:tabs>
              <w:tab w:val="clear" w:pos="8743"/>
              <w:tab w:val="right" w:pos="9025" w:leader="dot"/>
            </w:tabs>
            <w:rPr/>
          </w:pPr>
          <w:hyperlink w:anchor="__RefHeading___Toc4715_309009763">
            <w:r>
              <w:rPr>
                <w:rStyle w:val="IndexLink"/>
              </w:rPr>
              <w:t>3.6 Large Tourism Companies, Investors, DMCs and Lodge Chains</w:t>
              <w:tab/>
              <w:t>16</w:t>
            </w:r>
          </w:hyperlink>
        </w:p>
        <w:p>
          <w:pPr>
            <w:pStyle w:val="TOC2"/>
            <w:tabs>
              <w:tab w:val="clear" w:pos="8743"/>
              <w:tab w:val="right" w:pos="9025" w:leader="dot"/>
            </w:tabs>
            <w:rPr/>
          </w:pPr>
          <w:hyperlink w:anchor="__RefHeading___Toc4717_309009763">
            <w:r>
              <w:rPr>
                <w:rStyle w:val="IndexLink"/>
              </w:rPr>
              <w:t>3.7 Assessment of Potential Partner Financial Institutions</w:t>
              <w:tab/>
              <w:t>16</w:t>
            </w:r>
          </w:hyperlink>
        </w:p>
        <w:p>
          <w:pPr>
            <w:pStyle w:val="TOC2"/>
            <w:tabs>
              <w:tab w:val="clear" w:pos="8743"/>
              <w:tab w:val="right" w:pos="9025" w:leader="dot"/>
            </w:tabs>
            <w:rPr/>
          </w:pPr>
          <w:hyperlink w:anchor="__RefHeading___Toc4719_309009763">
            <w:r>
              <w:rPr>
                <w:rStyle w:val="IndexLink"/>
              </w:rPr>
              <w:t>3.8 Development Banks, Foundations and Impact Investors</w:t>
              <w:tab/>
              <w:t>17</w:t>
            </w:r>
          </w:hyperlink>
        </w:p>
        <w:p>
          <w:pPr>
            <w:pStyle w:val="TOC2"/>
            <w:tabs>
              <w:tab w:val="clear" w:pos="8743"/>
              <w:tab w:val="right" w:pos="9025" w:leader="dot"/>
            </w:tabs>
            <w:rPr/>
          </w:pPr>
          <w:hyperlink w:anchor="__RefHeading___Toc4721_309009763">
            <w:r>
              <w:rPr>
                <w:rStyle w:val="IndexLink"/>
              </w:rPr>
              <w:t>3.9 Existing Guarantee Schemes, Revolving Funds and Other Mechanisms</w:t>
              <w:tab/>
              <w:t>17</w:t>
            </w:r>
          </w:hyperlink>
        </w:p>
        <w:p>
          <w:pPr>
            <w:pStyle w:val="TOC1"/>
            <w:tabs>
              <w:tab w:val="clear" w:pos="9026"/>
              <w:tab w:val="right" w:pos="9025" w:leader="dot"/>
            </w:tabs>
            <w:rPr/>
          </w:pPr>
          <w:hyperlink w:anchor="__RefHeading___Toc4723_309009763">
            <w:r>
              <w:rPr>
                <w:rStyle w:val="IndexLink"/>
              </w:rPr>
              <w:t>4. Botswana</w:t>
              <w:tab/>
              <w:t>19</w:t>
            </w:r>
          </w:hyperlink>
        </w:p>
        <w:p>
          <w:pPr>
            <w:pStyle w:val="TOC2"/>
            <w:tabs>
              <w:tab w:val="clear" w:pos="8743"/>
              <w:tab w:val="right" w:pos="9025" w:leader="dot"/>
            </w:tabs>
            <w:rPr/>
          </w:pPr>
          <w:hyperlink w:anchor="__RefHeading___Toc4725_309009763">
            <w:r>
              <w:rPr>
                <w:rStyle w:val="IndexLink"/>
              </w:rPr>
              <w:t>4.1 Country Context: The Botswana KAZA Component</w:t>
              <w:tab/>
              <w:t>19</w:t>
            </w:r>
          </w:hyperlink>
        </w:p>
        <w:p>
          <w:pPr>
            <w:pStyle w:val="TOC2"/>
            <w:tabs>
              <w:tab w:val="clear" w:pos="8743"/>
              <w:tab w:val="right" w:pos="9025" w:leader="dot"/>
            </w:tabs>
            <w:rPr/>
          </w:pPr>
          <w:hyperlink w:anchor="__RefHeading___Toc4727_309009763">
            <w:r>
              <w:rPr>
                <w:rStyle w:val="IndexLink"/>
              </w:rPr>
              <w:t>4.2 Mapping of Financial Actors and Adaptable Products</w:t>
              <w:tab/>
              <w:t>19</w:t>
            </w:r>
          </w:hyperlink>
        </w:p>
        <w:p>
          <w:pPr>
            <w:pStyle w:val="TOC2"/>
            <w:tabs>
              <w:tab w:val="clear" w:pos="8743"/>
              <w:tab w:val="right" w:pos="9025" w:leader="dot"/>
            </w:tabs>
            <w:rPr/>
          </w:pPr>
          <w:hyperlink w:anchor="__RefHeading___Toc4729_309009763">
            <w:r>
              <w:rPr>
                <w:rStyle w:val="IndexLink"/>
              </w:rPr>
              <w:t>4.3 Business Support Organisations and Stakeholders</w:t>
              <w:tab/>
              <w:t>20</w:t>
            </w:r>
          </w:hyperlink>
        </w:p>
        <w:p>
          <w:pPr>
            <w:pStyle w:val="TOC2"/>
            <w:tabs>
              <w:tab w:val="clear" w:pos="8743"/>
              <w:tab w:val="right" w:pos="9025" w:leader="dot"/>
            </w:tabs>
            <w:rPr/>
          </w:pPr>
          <w:hyperlink w:anchor="__RefHeading___Toc4731_309009763">
            <w:r>
              <w:rPr>
                <w:rStyle w:val="IndexLink"/>
              </w:rPr>
              <w:t>4.4 Analysis of Available Financial Products</w:t>
              <w:tab/>
              <w:t>21</w:t>
            </w:r>
          </w:hyperlink>
        </w:p>
        <w:p>
          <w:pPr>
            <w:pStyle w:val="TOC2"/>
            <w:tabs>
              <w:tab w:val="clear" w:pos="8743"/>
              <w:tab w:val="right" w:pos="9025" w:leader="dot"/>
            </w:tabs>
            <w:rPr/>
          </w:pPr>
          <w:hyperlink w:anchor="__RefHeading___Toc4733_309009763">
            <w:r>
              <w:rPr>
                <w:rStyle w:val="IndexLink"/>
              </w:rPr>
              <w:t>4.5 Regulatory and Policy Environment</w:t>
              <w:tab/>
              <w:t>22</w:t>
            </w:r>
          </w:hyperlink>
        </w:p>
        <w:p>
          <w:pPr>
            <w:pStyle w:val="TOC2"/>
            <w:tabs>
              <w:tab w:val="clear" w:pos="8743"/>
              <w:tab w:val="right" w:pos="9025" w:leader="dot"/>
            </w:tabs>
            <w:rPr/>
          </w:pPr>
          <w:hyperlink w:anchor="__RefHeading___Toc4735_309009763">
            <w:r>
              <w:rPr>
                <w:rStyle w:val="IndexLink"/>
              </w:rPr>
              <w:t>4.6 Large Tourism Companies, Investors, DMCs and Lodge Chains</w:t>
              <w:tab/>
              <w:t>23</w:t>
            </w:r>
          </w:hyperlink>
        </w:p>
        <w:p>
          <w:pPr>
            <w:pStyle w:val="TOC2"/>
            <w:tabs>
              <w:tab w:val="clear" w:pos="8743"/>
              <w:tab w:val="right" w:pos="9025" w:leader="dot"/>
            </w:tabs>
            <w:rPr/>
          </w:pPr>
          <w:hyperlink w:anchor="__RefHeading___Toc4737_309009763">
            <w:r>
              <w:rPr>
                <w:rStyle w:val="IndexLink"/>
              </w:rPr>
              <w:t>4.7 Assessment of Potential Partner Financial Institutions</w:t>
              <w:tab/>
              <w:t>23</w:t>
            </w:r>
          </w:hyperlink>
        </w:p>
        <w:p>
          <w:pPr>
            <w:pStyle w:val="TOC2"/>
            <w:tabs>
              <w:tab w:val="clear" w:pos="8743"/>
              <w:tab w:val="right" w:pos="9025" w:leader="dot"/>
            </w:tabs>
            <w:rPr/>
          </w:pPr>
          <w:hyperlink w:anchor="__RefHeading___Toc4739_309009763">
            <w:r>
              <w:rPr>
                <w:rStyle w:val="IndexLink"/>
              </w:rPr>
              <w:t>4.8 Development Banks, Foundations and Impact Investors</w:t>
              <w:tab/>
              <w:t>24</w:t>
            </w:r>
          </w:hyperlink>
        </w:p>
        <w:p>
          <w:pPr>
            <w:pStyle w:val="TOC2"/>
            <w:tabs>
              <w:tab w:val="clear" w:pos="8743"/>
              <w:tab w:val="right" w:pos="9025" w:leader="dot"/>
            </w:tabs>
            <w:rPr/>
          </w:pPr>
          <w:hyperlink w:anchor="__RefHeading___Toc4741_309009763">
            <w:r>
              <w:rPr>
                <w:rStyle w:val="IndexLink"/>
              </w:rPr>
              <w:t>4.9 Existing Guarantee Schemes, Revolving Funds and Other Mechanisms</w:t>
              <w:tab/>
              <w:t>24</w:t>
            </w:r>
          </w:hyperlink>
        </w:p>
        <w:p>
          <w:pPr>
            <w:pStyle w:val="TOC1"/>
            <w:tabs>
              <w:tab w:val="clear" w:pos="9026"/>
              <w:tab w:val="right" w:pos="9025" w:leader="dot"/>
            </w:tabs>
            <w:rPr/>
          </w:pPr>
          <w:hyperlink w:anchor="__RefHeading___Toc4743_309009763">
            <w:r>
              <w:rPr>
                <w:rStyle w:val="IndexLink"/>
              </w:rPr>
              <w:t>5. Namibia</w:t>
              <w:tab/>
              <w:t>26</w:t>
            </w:r>
          </w:hyperlink>
        </w:p>
        <w:p>
          <w:pPr>
            <w:pStyle w:val="TOC2"/>
            <w:tabs>
              <w:tab w:val="clear" w:pos="8743"/>
              <w:tab w:val="right" w:pos="9025" w:leader="dot"/>
            </w:tabs>
            <w:rPr/>
          </w:pPr>
          <w:hyperlink w:anchor="__RefHeading___Toc4745_309009763">
            <w:r>
              <w:rPr>
                <w:rStyle w:val="IndexLink"/>
              </w:rPr>
              <w:t>5.1 Country Context: The Namibian KAZA Component</w:t>
              <w:tab/>
              <w:t>26</w:t>
            </w:r>
          </w:hyperlink>
        </w:p>
        <w:p>
          <w:pPr>
            <w:pStyle w:val="TOC2"/>
            <w:tabs>
              <w:tab w:val="clear" w:pos="8743"/>
              <w:tab w:val="right" w:pos="9025" w:leader="dot"/>
            </w:tabs>
            <w:rPr/>
          </w:pPr>
          <w:hyperlink w:anchor="__RefHeading___Toc4747_309009763">
            <w:r>
              <w:rPr>
                <w:rStyle w:val="IndexLink"/>
              </w:rPr>
              <w:t>5.2 Mapping of Financial Actors and Adaptable Products</w:t>
              <w:tab/>
              <w:t>26</w:t>
            </w:r>
          </w:hyperlink>
        </w:p>
        <w:p>
          <w:pPr>
            <w:pStyle w:val="TOC2"/>
            <w:tabs>
              <w:tab w:val="clear" w:pos="8743"/>
              <w:tab w:val="right" w:pos="9025" w:leader="dot"/>
            </w:tabs>
            <w:rPr/>
          </w:pPr>
          <w:hyperlink w:anchor="__RefHeading___Toc4749_309009763">
            <w:r>
              <w:rPr>
                <w:rStyle w:val="IndexLink"/>
              </w:rPr>
              <w:t>5.3 Business Support Organisations and Stakeholders</w:t>
              <w:tab/>
              <w:t>27</w:t>
            </w:r>
          </w:hyperlink>
        </w:p>
        <w:p>
          <w:pPr>
            <w:pStyle w:val="TOC2"/>
            <w:tabs>
              <w:tab w:val="clear" w:pos="8743"/>
              <w:tab w:val="right" w:pos="9025" w:leader="dot"/>
            </w:tabs>
            <w:rPr/>
          </w:pPr>
          <w:hyperlink w:anchor="__RefHeading___Toc4751_309009763">
            <w:r>
              <w:rPr>
                <w:rStyle w:val="IndexLink"/>
              </w:rPr>
              <w:t>5.4 Analysis of Available Financial Products</w:t>
              <w:tab/>
              <w:t>28</w:t>
            </w:r>
          </w:hyperlink>
        </w:p>
        <w:p>
          <w:pPr>
            <w:pStyle w:val="TOC2"/>
            <w:tabs>
              <w:tab w:val="clear" w:pos="8743"/>
              <w:tab w:val="right" w:pos="9025" w:leader="dot"/>
            </w:tabs>
            <w:rPr/>
          </w:pPr>
          <w:hyperlink w:anchor="__RefHeading___Toc4753_309009763">
            <w:r>
              <w:rPr>
                <w:rStyle w:val="IndexLink"/>
              </w:rPr>
              <w:t>5.5 Regulatory and Policy Environment</w:t>
              <w:tab/>
              <w:t>28</w:t>
            </w:r>
          </w:hyperlink>
        </w:p>
        <w:p>
          <w:pPr>
            <w:pStyle w:val="TOC2"/>
            <w:tabs>
              <w:tab w:val="clear" w:pos="8743"/>
              <w:tab w:val="right" w:pos="9025" w:leader="dot"/>
            </w:tabs>
            <w:rPr/>
          </w:pPr>
          <w:hyperlink w:anchor="__RefHeading___Toc4755_309009763">
            <w:r>
              <w:rPr>
                <w:rStyle w:val="IndexLink"/>
              </w:rPr>
              <w:t>5.6 Large Tourism Companies, Investors, DMCs and Lodge Chains</w:t>
              <w:tab/>
              <w:t>29</w:t>
            </w:r>
          </w:hyperlink>
        </w:p>
        <w:p>
          <w:pPr>
            <w:pStyle w:val="TOC2"/>
            <w:tabs>
              <w:tab w:val="clear" w:pos="8743"/>
              <w:tab w:val="right" w:pos="9025" w:leader="dot"/>
            </w:tabs>
            <w:rPr/>
          </w:pPr>
          <w:hyperlink w:anchor="__RefHeading___Toc4757_309009763">
            <w:r>
              <w:rPr>
                <w:rStyle w:val="IndexLink"/>
              </w:rPr>
              <w:t>5.7 Assessment of Potential Partner Financial Institutions</w:t>
              <w:tab/>
              <w:t>30</w:t>
            </w:r>
          </w:hyperlink>
        </w:p>
        <w:p>
          <w:pPr>
            <w:pStyle w:val="TOC2"/>
            <w:tabs>
              <w:tab w:val="clear" w:pos="8743"/>
              <w:tab w:val="right" w:pos="9025" w:leader="dot"/>
            </w:tabs>
            <w:rPr/>
          </w:pPr>
          <w:hyperlink w:anchor="__RefHeading___Toc4759_309009763">
            <w:r>
              <w:rPr>
                <w:rStyle w:val="IndexLink"/>
              </w:rPr>
              <w:t>5.8 Development Banks, Foundations and Impact Investors</w:t>
              <w:tab/>
              <w:t>31</w:t>
            </w:r>
          </w:hyperlink>
        </w:p>
        <w:p>
          <w:pPr>
            <w:pStyle w:val="TOC2"/>
            <w:tabs>
              <w:tab w:val="clear" w:pos="8743"/>
              <w:tab w:val="right" w:pos="9025" w:leader="dot"/>
            </w:tabs>
            <w:rPr/>
          </w:pPr>
          <w:hyperlink w:anchor="__RefHeading___Toc4761_309009763">
            <w:r>
              <w:rPr>
                <w:rStyle w:val="IndexLink"/>
              </w:rPr>
              <w:t>5.9 Existing Guarantee Schemes, Revolving Funds and Other Mechanisms</w:t>
              <w:tab/>
              <w:t>31</w:t>
            </w:r>
          </w:hyperlink>
        </w:p>
        <w:p>
          <w:pPr>
            <w:pStyle w:val="TOC1"/>
            <w:tabs>
              <w:tab w:val="clear" w:pos="9026"/>
              <w:tab w:val="right" w:pos="9025" w:leader="dot"/>
            </w:tabs>
            <w:rPr/>
          </w:pPr>
          <w:hyperlink w:anchor="__RefHeading___Toc4763_309009763">
            <w:r>
              <w:rPr>
                <w:rStyle w:val="IndexLink"/>
              </w:rPr>
              <w:t>6. Zambia</w:t>
              <w:tab/>
              <w:t>33</w:t>
            </w:r>
          </w:hyperlink>
        </w:p>
        <w:p>
          <w:pPr>
            <w:pStyle w:val="TOC2"/>
            <w:tabs>
              <w:tab w:val="clear" w:pos="8743"/>
              <w:tab w:val="right" w:pos="9025" w:leader="dot"/>
            </w:tabs>
            <w:rPr/>
          </w:pPr>
          <w:hyperlink w:anchor="__RefHeading___Toc4765_309009763">
            <w:r>
              <w:rPr>
                <w:rStyle w:val="IndexLink"/>
              </w:rPr>
              <w:t>6.1 Country Context: The Zambian KAZA Component</w:t>
              <w:tab/>
              <w:t>33</w:t>
            </w:r>
          </w:hyperlink>
        </w:p>
        <w:p>
          <w:pPr>
            <w:pStyle w:val="TOC2"/>
            <w:tabs>
              <w:tab w:val="clear" w:pos="8743"/>
              <w:tab w:val="right" w:pos="9025" w:leader="dot"/>
            </w:tabs>
            <w:rPr/>
          </w:pPr>
          <w:hyperlink w:anchor="__RefHeading___Toc4767_309009763">
            <w:r>
              <w:rPr>
                <w:rStyle w:val="IndexLink"/>
              </w:rPr>
              <w:t>6.2 Mapping of Financial Actors and Adaptable Products</w:t>
              <w:tab/>
              <w:t>33</w:t>
            </w:r>
          </w:hyperlink>
        </w:p>
        <w:p>
          <w:pPr>
            <w:pStyle w:val="TOC2"/>
            <w:tabs>
              <w:tab w:val="clear" w:pos="8743"/>
              <w:tab w:val="right" w:pos="9025" w:leader="dot"/>
            </w:tabs>
            <w:rPr/>
          </w:pPr>
          <w:hyperlink w:anchor="__RefHeading___Toc4769_309009763">
            <w:r>
              <w:rPr>
                <w:rStyle w:val="IndexLink"/>
              </w:rPr>
              <w:t>6.3 Business Support Organisations and Stakeholders</w:t>
              <w:tab/>
              <w:t>34</w:t>
            </w:r>
          </w:hyperlink>
        </w:p>
        <w:p>
          <w:pPr>
            <w:pStyle w:val="TOC2"/>
            <w:tabs>
              <w:tab w:val="clear" w:pos="8743"/>
              <w:tab w:val="right" w:pos="9025" w:leader="dot"/>
            </w:tabs>
            <w:rPr/>
          </w:pPr>
          <w:hyperlink w:anchor="__RefHeading___Toc4771_309009763">
            <w:r>
              <w:rPr>
                <w:rStyle w:val="IndexLink"/>
              </w:rPr>
              <w:t>6.4 Analysis of Available Financial Products</w:t>
              <w:tab/>
              <w:t>35</w:t>
            </w:r>
          </w:hyperlink>
        </w:p>
        <w:p>
          <w:pPr>
            <w:pStyle w:val="TOC2"/>
            <w:tabs>
              <w:tab w:val="clear" w:pos="8743"/>
              <w:tab w:val="right" w:pos="9025" w:leader="dot"/>
            </w:tabs>
            <w:rPr/>
          </w:pPr>
          <w:hyperlink w:anchor="__RefHeading___Toc4773_309009763">
            <w:r>
              <w:rPr>
                <w:rStyle w:val="IndexLink"/>
              </w:rPr>
              <w:t>6.5 Regulatory and Policy Environment</w:t>
              <w:tab/>
              <w:t>36</w:t>
            </w:r>
          </w:hyperlink>
        </w:p>
        <w:p>
          <w:pPr>
            <w:pStyle w:val="TOC2"/>
            <w:tabs>
              <w:tab w:val="clear" w:pos="8743"/>
              <w:tab w:val="right" w:pos="9025" w:leader="dot"/>
            </w:tabs>
            <w:rPr/>
          </w:pPr>
          <w:hyperlink w:anchor="__RefHeading___Toc4775_309009763">
            <w:r>
              <w:rPr>
                <w:rStyle w:val="IndexLink"/>
              </w:rPr>
              <w:t>6.6 Large Tourism Companies, Investors, DMCs and Lodge Chains</w:t>
              <w:tab/>
              <w:t>37</w:t>
            </w:r>
          </w:hyperlink>
        </w:p>
        <w:p>
          <w:pPr>
            <w:pStyle w:val="TOC2"/>
            <w:tabs>
              <w:tab w:val="clear" w:pos="8743"/>
              <w:tab w:val="right" w:pos="9025" w:leader="dot"/>
            </w:tabs>
            <w:rPr/>
          </w:pPr>
          <w:hyperlink w:anchor="__RefHeading___Toc4777_309009763">
            <w:r>
              <w:rPr>
                <w:rStyle w:val="IndexLink"/>
              </w:rPr>
              <w:t>6.7 Assessment of Potential Partner Financial Institutions</w:t>
              <w:tab/>
              <w:t>37</w:t>
            </w:r>
          </w:hyperlink>
        </w:p>
        <w:p>
          <w:pPr>
            <w:pStyle w:val="TOC2"/>
            <w:tabs>
              <w:tab w:val="clear" w:pos="8743"/>
              <w:tab w:val="right" w:pos="9025" w:leader="dot"/>
            </w:tabs>
            <w:rPr/>
          </w:pPr>
          <w:hyperlink w:anchor="__RefHeading___Toc4779_309009763">
            <w:r>
              <w:rPr>
                <w:rStyle w:val="IndexLink"/>
              </w:rPr>
              <w:t>6.8 Development Banks, Foundations and Impact Investors</w:t>
              <w:tab/>
              <w:t>38</w:t>
            </w:r>
          </w:hyperlink>
        </w:p>
        <w:p>
          <w:pPr>
            <w:pStyle w:val="TOC2"/>
            <w:tabs>
              <w:tab w:val="clear" w:pos="8743"/>
              <w:tab w:val="right" w:pos="9025" w:leader="dot"/>
            </w:tabs>
            <w:rPr/>
          </w:pPr>
          <w:hyperlink w:anchor="__RefHeading___Toc4781_309009763">
            <w:r>
              <w:rPr>
                <w:rStyle w:val="IndexLink"/>
              </w:rPr>
              <w:t>6.9 Existing Guarantee Schemes, Revolving Funds and Other Mechanisms</w:t>
              <w:tab/>
              <w:t>38</w:t>
            </w:r>
          </w:hyperlink>
        </w:p>
        <w:p>
          <w:pPr>
            <w:pStyle w:val="TOC1"/>
            <w:tabs>
              <w:tab w:val="clear" w:pos="9026"/>
              <w:tab w:val="right" w:pos="9025" w:leader="dot"/>
            </w:tabs>
            <w:rPr/>
          </w:pPr>
          <w:hyperlink w:anchor="__RefHeading___Toc4783_309009763">
            <w:r>
              <w:rPr>
                <w:rStyle w:val="IndexLink"/>
              </w:rPr>
              <w:t>7. Zimbabwe</w:t>
              <w:tab/>
              <w:t>40</w:t>
            </w:r>
          </w:hyperlink>
        </w:p>
        <w:p>
          <w:pPr>
            <w:pStyle w:val="TOC2"/>
            <w:tabs>
              <w:tab w:val="clear" w:pos="8743"/>
              <w:tab w:val="right" w:pos="9025" w:leader="dot"/>
            </w:tabs>
            <w:rPr/>
          </w:pPr>
          <w:hyperlink w:anchor="__RefHeading___Toc4785_309009763">
            <w:r>
              <w:rPr>
                <w:rStyle w:val="IndexLink"/>
              </w:rPr>
              <w:t>7.1 Country Context: The Zimbabwean KAZA Component</w:t>
              <w:tab/>
              <w:t>40</w:t>
            </w:r>
          </w:hyperlink>
        </w:p>
        <w:p>
          <w:pPr>
            <w:pStyle w:val="TOC2"/>
            <w:tabs>
              <w:tab w:val="clear" w:pos="8743"/>
              <w:tab w:val="right" w:pos="9025" w:leader="dot"/>
            </w:tabs>
            <w:rPr/>
          </w:pPr>
          <w:hyperlink w:anchor="__RefHeading___Toc4787_309009763">
            <w:r>
              <w:rPr>
                <w:rStyle w:val="IndexLink"/>
              </w:rPr>
              <w:t>7.2 Mapping of Financial Actors and Adaptable Products</w:t>
              <w:tab/>
              <w:t>40</w:t>
            </w:r>
          </w:hyperlink>
        </w:p>
        <w:p>
          <w:pPr>
            <w:pStyle w:val="TOC2"/>
            <w:tabs>
              <w:tab w:val="clear" w:pos="8743"/>
              <w:tab w:val="right" w:pos="9025" w:leader="dot"/>
            </w:tabs>
            <w:rPr/>
          </w:pPr>
          <w:hyperlink w:anchor="__RefHeading___Toc4789_309009763">
            <w:r>
              <w:rPr>
                <w:rStyle w:val="IndexLink"/>
              </w:rPr>
              <w:t>7.3 Business Support Organisations and Stakeholders</w:t>
              <w:tab/>
              <w:t>41</w:t>
            </w:r>
          </w:hyperlink>
        </w:p>
        <w:p>
          <w:pPr>
            <w:pStyle w:val="TOC2"/>
            <w:tabs>
              <w:tab w:val="clear" w:pos="8743"/>
              <w:tab w:val="right" w:pos="9025" w:leader="dot"/>
            </w:tabs>
            <w:rPr/>
          </w:pPr>
          <w:hyperlink w:anchor="__RefHeading___Toc4791_309009763">
            <w:r>
              <w:rPr>
                <w:rStyle w:val="IndexLink"/>
              </w:rPr>
              <w:t>7.4 Analysis of Available Financial Products</w:t>
              <w:tab/>
              <w:t>42</w:t>
            </w:r>
          </w:hyperlink>
        </w:p>
        <w:p>
          <w:pPr>
            <w:pStyle w:val="TOC2"/>
            <w:tabs>
              <w:tab w:val="clear" w:pos="8743"/>
              <w:tab w:val="right" w:pos="9025" w:leader="dot"/>
            </w:tabs>
            <w:rPr/>
          </w:pPr>
          <w:hyperlink w:anchor="__RefHeading___Toc4793_309009763">
            <w:r>
              <w:rPr>
                <w:rStyle w:val="IndexLink"/>
              </w:rPr>
              <w:t>7.5 Regulatory and Policy Environment</w:t>
              <w:tab/>
              <w:t>43</w:t>
            </w:r>
          </w:hyperlink>
        </w:p>
        <w:p>
          <w:pPr>
            <w:pStyle w:val="TOC2"/>
            <w:tabs>
              <w:tab w:val="clear" w:pos="8743"/>
              <w:tab w:val="right" w:pos="9025" w:leader="dot"/>
            </w:tabs>
            <w:rPr/>
          </w:pPr>
          <w:hyperlink w:anchor="__RefHeading___Toc4795_309009763">
            <w:r>
              <w:rPr>
                <w:rStyle w:val="IndexLink"/>
              </w:rPr>
              <w:t>7.6 Large Tourism Companies, Investors, DMCs and Lodge Chains</w:t>
              <w:tab/>
              <w:t>44</w:t>
            </w:r>
          </w:hyperlink>
        </w:p>
        <w:p>
          <w:pPr>
            <w:pStyle w:val="TOC2"/>
            <w:tabs>
              <w:tab w:val="clear" w:pos="8743"/>
              <w:tab w:val="right" w:pos="9025" w:leader="dot"/>
            </w:tabs>
            <w:rPr/>
          </w:pPr>
          <w:hyperlink w:anchor="__RefHeading___Toc4797_309009763">
            <w:r>
              <w:rPr>
                <w:rStyle w:val="IndexLink"/>
              </w:rPr>
              <w:t>7.7 Assessment of Potential Partner Financial Institutions</w:t>
              <w:tab/>
              <w:t>44</w:t>
            </w:r>
          </w:hyperlink>
        </w:p>
        <w:p>
          <w:pPr>
            <w:pStyle w:val="TOC2"/>
            <w:tabs>
              <w:tab w:val="clear" w:pos="8743"/>
              <w:tab w:val="right" w:pos="9025" w:leader="dot"/>
            </w:tabs>
            <w:rPr/>
          </w:pPr>
          <w:hyperlink w:anchor="__RefHeading___Toc4799_309009763">
            <w:r>
              <w:rPr>
                <w:rStyle w:val="IndexLink"/>
              </w:rPr>
              <w:t>7.8 Development Banks, Foundations and Impact Investors</w:t>
              <w:tab/>
              <w:t>45</w:t>
            </w:r>
          </w:hyperlink>
        </w:p>
        <w:p>
          <w:pPr>
            <w:pStyle w:val="TOC2"/>
            <w:tabs>
              <w:tab w:val="clear" w:pos="8743"/>
              <w:tab w:val="right" w:pos="9025" w:leader="dot"/>
            </w:tabs>
            <w:rPr/>
          </w:pPr>
          <w:hyperlink w:anchor="__RefHeading___Toc4801_309009763">
            <w:r>
              <w:rPr>
                <w:rStyle w:val="IndexLink"/>
              </w:rPr>
              <w:t>7.9 Existing Guarantee Schemes, Revolving Funds and Other Mechanisms</w:t>
              <w:tab/>
              <w:t>45</w:t>
            </w:r>
          </w:hyperlink>
        </w:p>
        <w:p>
          <w:pPr>
            <w:pStyle w:val="TOC1"/>
            <w:tabs>
              <w:tab w:val="clear" w:pos="9026"/>
              <w:tab w:val="right" w:pos="9025" w:leader="dot"/>
            </w:tabs>
            <w:rPr/>
          </w:pPr>
          <w:hyperlink w:anchor="__RefHeading___Toc4803_309009763">
            <w:r>
              <w:rPr>
                <w:rStyle w:val="IndexLink"/>
              </w:rPr>
              <w:t>8. Cross-Country Synthesis</w:t>
              <w:tab/>
              <w:t>47</w:t>
            </w:r>
          </w:hyperlink>
        </w:p>
        <w:p>
          <w:pPr>
            <w:pStyle w:val="TOC2"/>
            <w:tabs>
              <w:tab w:val="clear" w:pos="8743"/>
              <w:tab w:val="right" w:pos="9025" w:leader="dot"/>
            </w:tabs>
            <w:rPr/>
          </w:pPr>
          <w:hyperlink w:anchor="__RefHeading___Toc4805_309009763">
            <w:r>
              <w:rPr>
                <w:rStyle w:val="IndexLink"/>
              </w:rPr>
              <w:t>8.1 Comparative Overview</w:t>
              <w:tab/>
              <w:t>47</w:t>
            </w:r>
          </w:hyperlink>
        </w:p>
        <w:p>
          <w:pPr>
            <w:pStyle w:val="TOC2"/>
            <w:tabs>
              <w:tab w:val="clear" w:pos="8743"/>
              <w:tab w:val="right" w:pos="9025" w:leader="dot"/>
            </w:tabs>
            <w:rPr/>
          </w:pPr>
          <w:hyperlink w:anchor="__RefHeading___Toc4807_309009763">
            <w:r>
              <w:rPr>
                <w:rStyle w:val="IndexLink"/>
              </w:rPr>
              <w:t>8.2 Common Barriers</w:t>
              <w:tab/>
              <w:t>47</w:t>
            </w:r>
          </w:hyperlink>
        </w:p>
        <w:p>
          <w:pPr>
            <w:pStyle w:val="TOC2"/>
            <w:tabs>
              <w:tab w:val="clear" w:pos="8743"/>
              <w:tab w:val="right" w:pos="9025" w:leader="dot"/>
            </w:tabs>
            <w:rPr/>
          </w:pPr>
          <w:hyperlink w:anchor="__RefHeading___Toc4809_309009763">
            <w:r>
              <w:rPr>
                <w:rStyle w:val="IndexLink"/>
              </w:rPr>
              <w:t>8.3 Harmonisation Opportunities at KAZA Level</w:t>
              <w:tab/>
              <w:t>47</w:t>
            </w:r>
          </w:hyperlink>
        </w:p>
        <w:p>
          <w:pPr>
            <w:pStyle w:val="TOC1"/>
            <w:tabs>
              <w:tab w:val="clear" w:pos="9026"/>
              <w:tab w:val="right" w:pos="9025" w:leader="dot"/>
            </w:tabs>
            <w:rPr/>
          </w:pPr>
          <w:hyperlink w:anchor="__RefHeading___Toc4811_309009763">
            <w:r>
              <w:rPr>
                <w:rStyle w:val="IndexLink"/>
              </w:rPr>
              <w:t>9. Recommendations and Pilot Options</w:t>
              <w:tab/>
              <w:t>49</w:t>
            </w:r>
          </w:hyperlink>
        </w:p>
        <w:p>
          <w:pPr>
            <w:pStyle w:val="TOC2"/>
            <w:tabs>
              <w:tab w:val="clear" w:pos="8743"/>
              <w:tab w:val="right" w:pos="9025" w:leader="dot"/>
            </w:tabs>
            <w:rPr/>
          </w:pPr>
          <w:hyperlink w:anchor="__RefHeading___Toc4813_309009763">
            <w:r>
              <w:rPr>
                <w:rStyle w:val="IndexLink"/>
              </w:rPr>
              <w:t>9.1 Candidate Pilot Mechanisms</w:t>
              <w:tab/>
              <w:t>49</w:t>
            </w:r>
          </w:hyperlink>
        </w:p>
        <w:p>
          <w:pPr>
            <w:pStyle w:val="TOC2"/>
            <w:tabs>
              <w:tab w:val="clear" w:pos="8743"/>
              <w:tab w:val="right" w:pos="9025" w:leader="dot"/>
            </w:tabs>
            <w:rPr/>
          </w:pPr>
          <w:hyperlink w:anchor="__RefHeading___Toc4815_309009763">
            <w:r>
              <w:rPr>
                <w:rStyle w:val="IndexLink"/>
              </w:rPr>
              <w:t>9.2 Design Principles</w:t>
              <w:tab/>
              <w:t>49</w:t>
            </w:r>
          </w:hyperlink>
        </w:p>
        <w:p>
          <w:pPr>
            <w:pStyle w:val="TOC2"/>
            <w:tabs>
              <w:tab w:val="clear" w:pos="8743"/>
              <w:tab w:val="right" w:pos="9025" w:leader="dot"/>
            </w:tabs>
            <w:rPr/>
          </w:pPr>
          <w:hyperlink w:anchor="__RefHeading___Toc4817_309009763">
            <w:r>
              <w:rPr>
                <w:rStyle w:val="IndexLink"/>
              </w:rPr>
              <w:t>9.3 Next Steps</w:t>
              <w:tab/>
              <w:t>50</w:t>
            </w:r>
          </w:hyperlink>
        </w:p>
        <w:p>
          <w:pPr>
            <w:pStyle w:val="TOC1"/>
            <w:tabs>
              <w:tab w:val="clear" w:pos="9026"/>
              <w:tab w:val="right" w:pos="9025" w:leader="dot"/>
            </w:tabs>
            <w:rPr/>
          </w:pPr>
          <w:hyperlink w:anchor="__RefHeading___Toc4819_309009763">
            <w:r>
              <w:rPr>
                <w:rStyle w:val="IndexLink"/>
              </w:rPr>
              <w:t>References</w:t>
              <w:tab/>
              <w:t>51</w:t>
            </w:r>
          </w:hyperlink>
          <w:r>
            <w:rPr>
              <w:rStyle w:val="IndexLink"/>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itlePg/>
              <w:textDirection w:val="lrTb"/>
              <w:docGrid w:type="default" w:linePitch="360" w:charSpace="4096"/>
            </w:sectPr>
          </w:pPr>
        </w:p>
      </w:sdtContent>
    </w:sdt>
    <w:p>
      <w:pPr>
        <w:pStyle w:val="Normal"/>
        <w:spacing w:before="0" w:after="240"/>
        <w:rPr/>
      </w:pPr>
      <w:r>
        <w:rPr>
          <w:b/>
          <w:bCs/>
          <w:color w:val="1F5135"/>
          <w:sz w:val="32"/>
          <w:szCs w:val="32"/>
        </w:rPr>
        <w:t>Acronyms and Abbreviations</w:t>
      </w:r>
    </w:p>
    <w:tbl>
      <w:tblPr>
        <w:tblW w:w="9026" w:type="dxa"/>
        <w:jc w:val="left"/>
        <w:tblInd w:w="0" w:type="dxa"/>
        <w:tblLayout w:type="fixed"/>
        <w:tblCellMar>
          <w:top w:w="60" w:type="dxa"/>
          <w:left w:w="100" w:type="dxa"/>
          <w:bottom w:w="60" w:type="dxa"/>
          <w:right w:w="100" w:type="dxa"/>
        </w:tblCellMar>
      </w:tblPr>
      <w:tblGrid>
        <w:gridCol w:w="2000"/>
        <w:gridCol w:w="7025"/>
      </w:tblGrid>
      <w:tr>
        <w:trPr>
          <w:tblHeader w:val="true"/>
        </w:trPr>
        <w:tc>
          <w:tcPr>
            <w:tcW w:w="20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Acronym</w:t>
            </w:r>
          </w:p>
        </w:tc>
        <w:tc>
          <w:tcPr>
            <w:tcW w:w="7025"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Meaning</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AECF</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Africa Enterprise Challenge Fund</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AfDB</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African Development Bank</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AGF</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African Guarantee Fund</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BDA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Banco de Desenvolvimento de Angola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BDC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 Development Corporation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BDS</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Development Services</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BNA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Banco Nacional de Angola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BoZ</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 of Zambia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BSO</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Support Organisation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BTO</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 Tourism Organisation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CAMPFIRE</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Communal Areas Management Programme for Indigenous Resources</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CBNRM</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Community-Based Natural Resource Management</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CBO</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Community-Based Organisation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CCFN</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Conservation Fund of Namibia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CEDA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Citizen Entrepreneurial Development Agency</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CEEC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Citizens Economic Empowerment Commission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CGS</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Credit Guarantee Scheme (Namibia)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CRB</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Resource Board</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DBN</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Bank of Namibia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DBZ</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Bank of Zambia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DFI</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Finance Institution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DMC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Destination Management Company</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DNPW</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Department of National Parks and Wildlife (Zambia)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ECGC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Export Credit Guarantee Corporation of Zimbabwe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EIF</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Environmental Investment Fund of Namibia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FGC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Fundo de Garantia de Crédito (Angola)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GCF</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Climate Fund</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GMA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Game Management Area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GPTF</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Game Products Trust Fund</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HWC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Human–Wildlife Conflict</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IDBZ</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Infrastructure Development Bank of Zimbabwe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JV</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Joint Venture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KAZA TFCA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Kavango Zambezi Transfrontier Conservation Area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Enterprise Authority (Botswana)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MFI</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Microfinance Institution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MSME</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 Small and Medium-sized Enterprise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NASRIA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 Special Risks Insurance Association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NDB</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National Development Bank (Botswana)</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PRODESI</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Programa de Apoio à Produção, Diversificação das Exportações e Substituição das Importações</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R-NBT</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Regenerative Nature-Based Tourism</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RBZ</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Reserve Bank of Zimbabwe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RDC</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Rural District Council</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SMEDCO</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Small and Medium Enterprises Development Corporation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Technical Assistance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VFEX</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Victoria Falls Stock Exchange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VSLA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Village Savings and Loan Association</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ZCGS</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 Credit Guarantee Scheme</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ZiG</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Zimbabwe Gold (currency)</w:t>
            </w:r>
          </w:p>
        </w:tc>
      </w:tr>
      <w:tr>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ZTA</w:t>
            </w:r>
          </w:p>
        </w:tc>
        <w:tc>
          <w:tcPr>
            <w:tcW w:w="70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 Tourism Agency / Zimbabwe Tourism Authority</w:t>
            </w:r>
          </w:p>
        </w:tc>
      </w:tr>
    </w:tbl>
    <w:p>
      <w:pPr>
        <w:pStyle w:val="Heading1"/>
        <w:rPr/>
      </w:pPr>
      <w:r>
        <w:br w:type="page"/>
      </w:r>
      <w:bookmarkStart w:id="0" w:name="__RefHeading___Toc4683_309009763"/>
      <w:bookmarkEnd w:id="0"/>
      <w:r>
        <w:rPr/>
        <w:t>Executive Summary</w:t>
      </w:r>
    </w:p>
    <w:p>
      <w:pPr>
        <w:pStyle w:val="Normal"/>
        <w:jc w:val="both"/>
        <w:rPr/>
      </w:pPr>
      <w:r>
        <w:rPr/>
        <w:t>This Financial Landscape Analysis maps the actors, products, policies, partners and mechanisms that shape access to finance for micro, small and medium-sized enterprises (MSMEs) engaged in regenerative nature-based tourism (R-NBT) across the five Partner States of the Kavango Zambezi Transfrontier Conservation Area (KAZA TFCA): Angola, Botswana, Namibia, Zambia and Zimbabwe. It is designed to inform the selection and design of pilot financial mechanisms tailored to MSMEs in the KAZA corridor, recognising that access to finance is overwhelmingly governed at national level even where the tourism product is transboundary.</w:t>
      </w:r>
    </w:p>
    <w:p>
      <w:pPr>
        <w:pStyle w:val="Normal"/>
        <w:jc w:val="both"/>
        <w:rPr/>
      </w:pPr>
      <w:r>
        <w:rPr>
          <w:b/>
          <w:bCs/>
        </w:rPr>
        <w:t>Core finding.</w:t>
      </w:r>
      <w:r>
        <w:rPr/>
        <w:t xml:space="preserve"> Finance is not absent from the KAZA landscape; it is misaligned with the profile of R-NBT MSMEs. Commercial banks in all five states are liquid and present in the main KAZA hubs (Kasane, Maun, Katima Mulilo, Rundu, Livingstone, Victoria Falls and, to a lesser extent, Menongue), but their products are designed around formal collateral, stable cash flows and urban clients. R-NBT MSMEs typically operate on communal or customary land that cannot be mortgaged, earn highly seasonal and often foreign-currency revenues, and lack audited records. The resulting gap is concentrated in small-ticket (USD 5,000–150,000) term and working-capital finance with tenors and repayment profiles that match tourism seasonality.</w:t>
      </w:r>
    </w:p>
    <w:p>
      <w:pPr>
        <w:pStyle w:val="Normal"/>
        <w:jc w:val="both"/>
        <w:rPr/>
      </w:pPr>
      <w:r>
        <w:rPr>
          <w:b/>
          <w:bCs/>
        </w:rPr>
        <w:t>Country typology.</w:t>
      </w:r>
      <w:r>
        <w:rPr/>
        <w:t xml:space="preserve"> The five states sit at very different points on the finance-readiness spectrum:</w:t>
      </w:r>
    </w:p>
    <w:p>
      <w:pPr>
        <w:pStyle w:val="ListParagraph"/>
        <w:numPr>
          <w:ilvl w:val="0"/>
          <w:numId w:val="4"/>
        </w:numPr>
        <w:rPr/>
      </w:pPr>
      <w:r>
        <w:rPr>
          <w:b/>
          <w:bCs/>
        </w:rPr>
        <w:t>Namibia</w:t>
      </w:r>
      <w:r>
        <w:rPr/>
        <w:t xml:space="preserve"> has the most developed enabling infrastructure for community-linked tourism finance: a functioning national Credit Guarantee Scheme (DBN, NASRIA and commercial banks), a dedicated Development Bank of Namibia tourism window that explicitly finances conservancy joint-venture lodges, an accredited green-finance vehicle (EIF) and a mature CBNRM system with dedicated funds (CCFN, GPTF).</w:t>
      </w:r>
    </w:p>
    <w:p>
      <w:pPr>
        <w:pStyle w:val="ListParagraph"/>
        <w:numPr>
          <w:ilvl w:val="0"/>
          <w:numId w:val="5"/>
        </w:numPr>
        <w:rPr/>
      </w:pPr>
      <w:r>
        <w:rPr>
          <w:b/>
          <w:bCs/>
        </w:rPr>
        <w:t>Botswana</w:t>
      </w:r>
      <w:r>
        <w:rPr/>
        <w:t xml:space="preserve"> combines strong banks and citizen-empowerment finance (CEDA, NDB, YDF) with the deepest high-value tourism market in KAZA. A first-of-its-kind contract-backed supplier finance model (Wilderness–Stanbic, 2025) and a supplier-development MoU with LEA (2026) offer a directly replicable route to MSME finance; the main gap is the absence of an operational national credit guarantee scheme and fiscal pressure on public financiers following the diamond downturn.</w:t>
      </w:r>
    </w:p>
    <w:p>
      <w:pPr>
        <w:pStyle w:val="ListParagraph"/>
        <w:numPr>
          <w:ilvl w:val="0"/>
          <w:numId w:val="6"/>
        </w:numPr>
        <w:rPr/>
      </w:pPr>
      <w:r>
        <w:rPr>
          <w:b/>
          <w:bCs/>
        </w:rPr>
        <w:t>Zambia</w:t>
      </w:r>
      <w:r>
        <w:rPr/>
        <w:t xml:space="preserve"> has an active, expanding partial credit guarantee institution (ZCGS, with 15 partner lenders), a Bank of Zambia–led pilot guarantee programme (Small Business Growth Initiative), extensive savings-group coverage and a USD 100 million World Bank tourism operation with community matching grants. High lending rates and customary land tenure remain the binding constraints.</w:t>
      </w:r>
    </w:p>
    <w:p>
      <w:pPr>
        <w:pStyle w:val="ListParagraph"/>
        <w:numPr>
          <w:ilvl w:val="0"/>
          <w:numId w:val="7"/>
        </w:numPr>
        <w:rPr/>
      </w:pPr>
      <w:r>
        <w:rPr>
          <w:b/>
          <w:bCs/>
        </w:rPr>
        <w:t>Zimbabwe</w:t>
      </w:r>
      <w:r>
        <w:rPr/>
        <w:t xml:space="preserve"> has the strongest private tourism cluster in the corridor (Victoria Falls–Hwange) and an RBZ-owned MSME credit guarantee scheme (ECGC), but currency instability, short-tenor USD lending and sovereign arrears that limit World Bank/AfDB lending depress the supply of term finance. Past tourism revival facilities suffered from low uptake because of design and currency issues — a lesson for pilot design.</w:t>
      </w:r>
    </w:p>
    <w:p>
      <w:pPr>
        <w:pStyle w:val="ListParagraph"/>
        <w:numPr>
          <w:ilvl w:val="0"/>
          <w:numId w:val="8"/>
        </w:numPr>
        <w:rPr/>
      </w:pPr>
      <w:r>
        <w:rPr>
          <w:b/>
          <w:bCs/>
        </w:rPr>
        <w:t>Angola</w:t>
      </w:r>
      <w:r>
        <w:rPr/>
        <w:t xml:space="preserve"> has public instruments with national reach (FGC credit guarantees, PRODESI credit lines, BDA, KixiCrédito microfinance) but the KAZA area (the new Cuando and Cubango provinces) is remote, landmine-affected and at an early stage of tourism development. A readiness-first approach (grants, technical assistance, small asset finance and guarantee windows modelled on FGC’s regional ‘Diversifica Mais’ line) is most appropriate.</w:t>
      </w:r>
    </w:p>
    <w:p>
      <w:pPr>
        <w:pStyle w:val="Normal"/>
        <w:jc w:val="both"/>
        <w:rPr/>
      </w:pPr>
      <w:r>
        <w:rPr>
          <w:b/>
          <w:bCs/>
        </w:rPr>
        <w:t>Most promising pilot pathways.</w:t>
      </w:r>
      <w:r>
        <w:rPr/>
        <w:t xml:space="preserve"> Four mechanisms emerge as replicable across the corridor and aligned with partner appetite: (1) </w:t>
      </w:r>
      <w:r>
        <w:rPr>
          <w:b/>
          <w:bCs/>
        </w:rPr>
        <w:t>contract-backed supplier and receivables finance</w:t>
      </w:r>
      <w:r>
        <w:rPr/>
        <w:t xml:space="preserve"> anchored by large lodge operators and DMCs; (2) </w:t>
      </w:r>
      <w:r>
        <w:rPr>
          <w:b/>
          <w:bCs/>
        </w:rPr>
        <w:t>tourism or KAZA windows within existing national credit guarantee schemes</w:t>
      </w:r>
      <w:r>
        <w:rPr/>
        <w:t xml:space="preserve"> (CGS Namibia, ZCGS Zambia, ECGC Zimbabwe, FGC Angola, and a to-be-designed facility in Botswana), potentially backstopped by a regional guarantor such as the African Guarantee Fund; (3) </w:t>
      </w:r>
      <w:r>
        <w:rPr>
          <w:b/>
          <w:bCs/>
        </w:rPr>
        <w:t>community revolving funds</w:t>
      </w:r>
      <w:r>
        <w:rPr/>
        <w:t xml:space="preserve"> capitalised from conservancy, CBO and CAMPFIRE revenue streams and linked to savings groups and microfinance institutions; and (4) </w:t>
      </w:r>
      <w:r>
        <w:rPr>
          <w:b/>
          <w:bCs/>
        </w:rPr>
        <w:t>green asset finance and leasing</w:t>
      </w:r>
      <w:r>
        <w:rPr/>
        <w:t xml:space="preserve"> for solar, water, electric game-drive vehicles and boats, combining bank asset-finance capacity with green credit lines and technical assistance.</w:t>
      </w:r>
    </w:p>
    <w:p>
      <w:pPr>
        <w:pStyle w:val="Normal"/>
        <w:jc w:val="both"/>
        <w:rPr/>
      </w:pPr>
      <w:r>
        <w:rPr>
          <w:b/>
          <w:bCs/>
        </w:rPr>
        <w:t>Harmonisation.</w:t>
      </w:r>
      <w:r>
        <w:rPr/>
        <w:t xml:space="preserve"> While national regulation governs lending, KAZA-level harmonisation can add value through a common R-NBT eligibility and ‘regenerative’ screening framework, a shared MSME pipeline and data platform, alignment of guarantee scheme terms for transboundary value chains, extension of the KAZA Univisa to all Partner States, and smoother cross-border payments for tourism services.</w:t>
      </w:r>
    </w:p>
    <w:p>
      <w:pPr>
        <w:pStyle w:val="Normal"/>
        <w:pBdr>
          <w:left w:val="single" w:sz="24" w:space="8" w:color="C8A951"/>
        </w:pBdr>
        <w:shd w:val="clear" w:color="auto" w:fill="E8F0EA"/>
        <w:spacing w:before="160" w:after="200"/>
        <w:ind w:left="200" w:right="200"/>
        <w:rPr/>
      </w:pPr>
      <w:r>
        <w:rPr>
          <w:i/>
          <w:iCs/>
          <w:sz w:val="21"/>
          <w:szCs w:val="21"/>
        </w:rPr>
        <w:t>All findings are based on a desk review completed in October 2026 and indicative institutional assessments. Ratings of capacity, interest and risk appetite are preliminary and must be validated through key informant interviews, partner consultations and term-sheet discussions before pilot selection.</w:t>
      </w:r>
      <w:r>
        <w:br w:type="page"/>
      </w:r>
    </w:p>
    <w:p>
      <w:pPr>
        <w:pStyle w:val="Heading1"/>
        <w:spacing w:before="0" w:after="240"/>
        <w:rPr/>
      </w:pPr>
      <w:bookmarkStart w:id="1" w:name="__RefHeading___Toc4685_309009763"/>
      <w:bookmarkEnd w:id="1"/>
      <w:r>
        <w:rPr/>
        <w:t>1. Introduction and Methodology</w:t>
      </w:r>
    </w:p>
    <w:p>
      <w:pPr>
        <w:pStyle w:val="Heading2"/>
        <w:rPr/>
      </w:pPr>
      <w:bookmarkStart w:id="2" w:name="__RefHeading___Toc4687_309009763"/>
      <w:bookmarkEnd w:id="2"/>
      <w:r>
        <w:rPr/>
        <w:t>1.1 Background and Purpose</w:t>
      </w:r>
    </w:p>
    <w:p>
      <w:pPr>
        <w:pStyle w:val="Normal"/>
        <w:jc w:val="both"/>
        <w:rPr/>
      </w:pPr>
      <w:r>
        <w:rPr/>
        <w:t>The Kavango Zambezi Transfrontier Conservation Area was established by treaty in 2011 by the governments of Angola, Botswana, Namibia, Zambia and Zimbabwe. Covering roughly 520,000 km², it is the world’s largest terrestrial transfrontier conservation area and includes the Okavango Delta, the Victoria Falls (Mosi-oa-Tunya), Chobe, Hwange, Kafue, Bwabwata and Luengue-Luiana landscapes. Tourism is one of the principal economic justifications for KAZA and a key mechanism for converting wildlife and landscapes into livelihoods for the roughly 2.5–3 million people living in the area.</w:t>
      </w:r>
    </w:p>
    <w:p>
      <w:pPr>
        <w:pStyle w:val="Normal"/>
        <w:jc w:val="both"/>
        <w:rPr/>
      </w:pPr>
      <w:r>
        <w:rPr/>
        <w:t>Nature-based tourism in KAZA is dominated by a relatively small number of high-value lodge operators, DMCs and hotel groups. MSMEs — guesthouses, community campsites, guiding and mokoro enterprises, transport operators, craft and cultural producers, food suppliers, laundry and maintenance service providers — make up most enterprises by number but capture a minor share of value. Inadequate access to appropriately structured finance is consistently cited as a key barrier to their growth and to deepening local ownership of the tourism economy.</w:t>
      </w:r>
    </w:p>
    <w:p>
      <w:pPr>
        <w:pStyle w:val="Normal"/>
        <w:jc w:val="both"/>
        <w:rPr/>
      </w:pPr>
      <w:r>
        <w:rPr/>
        <w:t xml:space="preserve">This analysis supports the design of MSME-tailored financial mechanisms for </w:t>
      </w:r>
      <w:r>
        <w:rPr>
          <w:b/>
          <w:bCs/>
        </w:rPr>
        <w:t>regenerative nature-based tourism (R-NBT)</w:t>
      </w:r>
      <w:r>
        <w:rPr/>
        <w:t>, defined here as tourism enterprises and supply-chain businesses that not only minimise negative impacts but actively contribute to the restoration of ecosystems, the well-being of host communities and the resilience of local economies.</w:t>
      </w:r>
    </w:p>
    <w:p>
      <w:pPr>
        <w:pStyle w:val="Heading2"/>
        <w:rPr/>
      </w:pPr>
      <w:bookmarkStart w:id="3" w:name="__RefHeading___Toc4689_309009763"/>
      <w:bookmarkEnd w:id="3"/>
      <w:r>
        <w:rPr/>
        <w:t>1.2 Scope</w:t>
      </w:r>
    </w:p>
    <w:p>
      <w:pPr>
        <w:pStyle w:val="Normal"/>
        <w:jc w:val="both"/>
        <w:rPr/>
      </w:pPr>
      <w:r>
        <w:rPr/>
        <w:t>Each country chapter follows the same eight-part structure:</w:t>
      </w:r>
    </w:p>
    <w:p>
      <w:pPr>
        <w:pStyle w:val="ListParagraph"/>
        <w:numPr>
          <w:ilvl w:val="0"/>
          <w:numId w:val="9"/>
        </w:numPr>
        <w:rPr/>
      </w:pPr>
      <w:r>
        <w:rPr/>
        <w:t>Mapping of financial actors (commercial banks, MFIs, development banks, blended finance facilities, savings groups, fintech, community-based mechanisms) and products adaptable for R-NBT MSMEs.</w:t>
      </w:r>
    </w:p>
    <w:p>
      <w:pPr>
        <w:pStyle w:val="ListParagraph"/>
        <w:numPr>
          <w:ilvl w:val="0"/>
          <w:numId w:val="10"/>
        </w:numPr>
        <w:rPr/>
      </w:pPr>
      <w:r>
        <w:rPr/>
        <w:t>Business Support Organisations (BSOs) and stakeholders for nature-based tourism in the country’s KAZA corridor.</w:t>
      </w:r>
    </w:p>
    <w:p>
      <w:pPr>
        <w:pStyle w:val="ListParagraph"/>
        <w:numPr>
          <w:ilvl w:val="0"/>
          <w:numId w:val="11"/>
        </w:numPr>
        <w:rPr/>
      </w:pPr>
      <w:r>
        <w:rPr/>
        <w:t>Analysis of available financial products (loans, grants, guarantees, revolving funds, leasing, equity, working capital, green finance) for accessibility and relevance to the tourism value chain.</w:t>
      </w:r>
    </w:p>
    <w:p>
      <w:pPr>
        <w:pStyle w:val="ListParagraph"/>
        <w:numPr>
          <w:ilvl w:val="0"/>
          <w:numId w:val="12"/>
        </w:numPr>
        <w:rPr/>
      </w:pPr>
      <w:r>
        <w:rPr/>
        <w:t>Regulatory and policy environment: barriers, enablers and harmonisation opportunities.</w:t>
      </w:r>
    </w:p>
    <w:p>
      <w:pPr>
        <w:pStyle w:val="ListParagraph"/>
        <w:numPr>
          <w:ilvl w:val="0"/>
          <w:numId w:val="13"/>
        </w:numPr>
        <w:rPr/>
      </w:pPr>
      <w:r>
        <w:rPr/>
        <w:t>Large tourism companies, investors, DMCs and lodge chains as potential partners for MSME access to finance.</w:t>
      </w:r>
    </w:p>
    <w:p>
      <w:pPr>
        <w:pStyle w:val="ListParagraph"/>
        <w:numPr>
          <w:ilvl w:val="0"/>
          <w:numId w:val="14"/>
        </w:numPr>
        <w:rPr/>
      </w:pPr>
      <w:r>
        <w:rPr/>
        <w:t>Institutional capacity, strategic interest and risk appetite of potential partner financial institutions.</w:t>
      </w:r>
    </w:p>
    <w:p>
      <w:pPr>
        <w:pStyle w:val="ListParagraph"/>
        <w:numPr>
          <w:ilvl w:val="0"/>
          <w:numId w:val="15"/>
        </w:numPr>
        <w:rPr/>
      </w:pPr>
      <w:r>
        <w:rPr/>
        <w:t>Development banks, foundations and impact investors with aligned mandates.</w:t>
      </w:r>
    </w:p>
    <w:p>
      <w:pPr>
        <w:pStyle w:val="ListParagraph"/>
        <w:numPr>
          <w:ilvl w:val="0"/>
          <w:numId w:val="16"/>
        </w:numPr>
        <w:rPr/>
      </w:pPr>
      <w:r>
        <w:rPr/>
        <w:t>Existing guarantee schemes, revolving funds and other mechanisms that could be strengthened or replicated.</w:t>
      </w:r>
    </w:p>
    <w:p>
      <w:pPr>
        <w:pStyle w:val="Heading2"/>
        <w:rPr/>
      </w:pPr>
      <w:bookmarkStart w:id="4" w:name="__RefHeading___Toc4691_309009763"/>
      <w:bookmarkEnd w:id="4"/>
      <w:r>
        <w:rPr/>
        <w:t>1.3 The R-NBT MSME Value Chain</w:t>
      </w:r>
    </w:p>
    <w:p>
      <w:pPr>
        <w:pStyle w:val="Normal"/>
        <w:jc w:val="both"/>
        <w:rPr/>
      </w:pPr>
      <w:r>
        <w:rPr/>
        <w:t>The analysis considers the full R-NBT value chain rather than accommodation alone. Table 1 summarises the main MSME segments and their typical financing needs, which are used throughout the report to judge the relevance of financial products.</w:t>
      </w:r>
    </w:p>
    <w:p>
      <w:pPr>
        <w:pStyle w:val="Normal"/>
        <w:keepNext w:val="true"/>
        <w:spacing w:before="160" w:after="80"/>
        <w:rPr/>
      </w:pPr>
      <w:r>
        <w:rPr>
          <w:b/>
          <w:bCs/>
          <w:color w:val="1F5135"/>
          <w:sz w:val="20"/>
          <w:szCs w:val="20"/>
        </w:rPr>
        <w:t xml:space="preserve">Table 1: </w:t>
      </w:r>
      <w:r>
        <w:rPr>
          <w:i/>
          <w:iCs/>
          <w:sz w:val="20"/>
          <w:szCs w:val="20"/>
        </w:rPr>
        <w:t>R-NBT MSME segments and typical financing needs</w:t>
      </w:r>
    </w:p>
    <w:tbl>
      <w:tblPr>
        <w:tblW w:w="9026" w:type="dxa"/>
        <w:jc w:val="left"/>
        <w:tblInd w:w="0" w:type="dxa"/>
        <w:tblLayout w:type="fixed"/>
        <w:tblCellMar>
          <w:top w:w="60" w:type="dxa"/>
          <w:left w:w="100" w:type="dxa"/>
          <w:bottom w:w="60" w:type="dxa"/>
          <w:right w:w="100" w:type="dxa"/>
        </w:tblCellMar>
      </w:tblPr>
      <w:tblGrid>
        <w:gridCol w:w="2198"/>
        <w:gridCol w:w="3602"/>
        <w:gridCol w:w="3226"/>
      </w:tblGrid>
      <w:tr>
        <w:trPr>
          <w:tblHeader w:val="true"/>
        </w:trPr>
        <w:tc>
          <w:tcPr>
            <w:tcW w:w="21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Segment</w:t>
            </w:r>
          </w:p>
        </w:tc>
        <w:tc>
          <w:tcPr>
            <w:tcW w:w="36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Typical enterprises in KAZA</w:t>
            </w:r>
          </w:p>
        </w:tc>
        <w:tc>
          <w:tcPr>
            <w:tcW w:w="32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Typical financing needs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Accommodation</w:t>
            </w:r>
          </w:p>
        </w:tc>
        <w:tc>
          <w:tcPr>
            <w:tcW w:w="36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Guesthouses, B&amp;Bs, community campsites, small lodges, homestays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Construction/refurbishment capex (USD 20k–500k), solar and water systems, furnishing, pre-season working capital</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Guiding and activities</w:t>
            </w:r>
          </w:p>
        </w:tc>
        <w:tc>
          <w:tcPr>
            <w:tcW w:w="36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Mokoro polers, walking/fishing guides, boat cruises, cultural tours, cycling</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Equipment, boats and engines, vehicles, licensing and certification fees, insurance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Transport and transfers</w:t>
            </w:r>
          </w:p>
        </w:tc>
        <w:tc>
          <w:tcPr>
            <w:tcW w:w="36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Shuttle/transfer operators, 4x4 self-drive rental, boat transfers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Vehicle and boat asset finance, leasing, maintenance working capital</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Food and agri-supply</w:t>
            </w:r>
          </w:p>
        </w:tc>
        <w:tc>
          <w:tcPr>
            <w:tcW w:w="36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Market gardens, poultry, fish, bakeries supplying lodges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Input finance, irrigation, cold chain; receivables/contract finance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Crafts and culture</w:t>
            </w:r>
          </w:p>
        </w:tc>
        <w:tc>
          <w:tcPr>
            <w:tcW w:w="36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Basketry, carving, cultural villages, performing groups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Small working capital, market access, digital payments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Support services</w:t>
            </w:r>
          </w:p>
        </w:tc>
        <w:tc>
          <w:tcPr>
            <w:tcW w:w="36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Laundry, maintenance, construction, waste/recycling, security, IT</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Equipment finance, contract finance, working capital</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Conservation services</w:t>
            </w:r>
          </w:p>
        </w:tc>
        <w:tc>
          <w:tcPr>
            <w:tcW w:w="36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game guards, monitoring, restoration, HWC mitigation enterprises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Performance-based payments, grants, blended finance</w:t>
            </w:r>
          </w:p>
        </w:tc>
      </w:tr>
    </w:tbl>
    <w:p>
      <w:pPr>
        <w:pStyle w:val="Normal"/>
        <w:spacing w:before="0" w:after="120"/>
        <w:rPr/>
      </w:pPr>
      <w:r>
        <w:rPr/>
      </w:r>
    </w:p>
    <w:p>
      <w:pPr>
        <w:pStyle w:val="Heading2"/>
        <w:rPr/>
      </w:pPr>
      <w:bookmarkStart w:id="5" w:name="__RefHeading___Toc4693_309009763"/>
      <w:bookmarkEnd w:id="5"/>
      <w:r>
        <w:rPr/>
        <w:t>1.4 Methodology and Limitations</w:t>
      </w:r>
    </w:p>
    <w:p>
      <w:pPr>
        <w:pStyle w:val="Normal"/>
        <w:jc w:val="both"/>
        <w:rPr/>
      </w:pPr>
      <w:r>
        <w:rPr/>
        <w:t>The analysis is based on a structured desk review of national policies and legislation, central bank and regulator publications, development finance institution and foundation portfolios, KAZA Secretariat documentation, academic and grey literature, and recent press reporting (to October 2026). Institutional assessments of financial institutions use three dimensions rated High/Medium/Low:</w:t>
      </w:r>
    </w:p>
    <w:p>
      <w:pPr>
        <w:pStyle w:val="ListParagraph"/>
        <w:numPr>
          <w:ilvl w:val="0"/>
          <w:numId w:val="17"/>
        </w:numPr>
        <w:rPr/>
      </w:pPr>
      <w:r>
        <w:rPr>
          <w:b/>
          <w:bCs/>
        </w:rPr>
        <w:t>Institutional capacity</w:t>
      </w:r>
      <w:r>
        <w:rPr/>
        <w:t xml:space="preserve"> – balance-sheet strength, branch and digital reach in the KAZA corridor, SME lending systems, ESG/E&amp;S management capability.</w:t>
      </w:r>
    </w:p>
    <w:p>
      <w:pPr>
        <w:pStyle w:val="ListParagraph"/>
        <w:numPr>
          <w:ilvl w:val="0"/>
          <w:numId w:val="18"/>
        </w:numPr>
        <w:rPr/>
      </w:pPr>
      <w:r>
        <w:rPr>
          <w:b/>
          <w:bCs/>
        </w:rPr>
        <w:t>Strategic interest</w:t>
      </w:r>
      <w:r>
        <w:rPr/>
        <w:t xml:space="preserve"> – stated priority for SMEs, tourism, rural or green finance; existing partnerships or products in the sector.</w:t>
      </w:r>
    </w:p>
    <w:p>
      <w:pPr>
        <w:pStyle w:val="ListParagraph"/>
        <w:numPr>
          <w:ilvl w:val="0"/>
          <w:numId w:val="19"/>
        </w:numPr>
        <w:rPr/>
      </w:pPr>
      <w:r>
        <w:rPr>
          <w:b/>
          <w:bCs/>
        </w:rPr>
        <w:t>Risk appetite</w:t>
      </w:r>
      <w:r>
        <w:rPr/>
        <w:t xml:space="preserve"> – observed willingness to lend to collateral-light, seasonal or rural borrowers; use of guarantees and alternative credit scoring.</w:t>
      </w:r>
    </w:p>
    <w:p>
      <w:pPr>
        <w:pStyle w:val="Normal"/>
        <w:jc w:val="both"/>
        <w:rPr/>
      </w:pPr>
      <w:r>
        <w:rPr/>
        <w:t>Limitations: data on MSME lending by sector and district are generally unavailable; several mechanisms (in particular tourism revolving funds) have limited public reporting on status; and macroeconomic conditions in several states have changed rapidly. All ratings are indicative and should be validated through key informant interviews with banks, DFIs, BSOs, operators and community institutions.</w:t>
      </w:r>
      <w:r>
        <w:br w:type="page"/>
      </w:r>
    </w:p>
    <w:p>
      <w:pPr>
        <w:pStyle w:val="Heading1"/>
        <w:spacing w:before="0" w:after="240"/>
        <w:rPr/>
      </w:pPr>
      <w:bookmarkStart w:id="6" w:name="__RefHeading___Toc4695_309009763"/>
      <w:bookmarkEnd w:id="6"/>
      <w:r>
        <w:rPr/>
        <w:t>2. Regional Context: KAZA and Cross-Cutting Finance Issues</w:t>
      </w:r>
    </w:p>
    <w:p>
      <w:pPr>
        <w:pStyle w:val="Heading2"/>
        <w:rPr/>
      </w:pPr>
      <w:bookmarkStart w:id="7" w:name="__RefHeading___Toc4697_309009763"/>
      <w:bookmarkEnd w:id="7"/>
      <w:r>
        <w:rPr/>
        <w:t>2.1 KAZA Institutional Framework</w:t>
      </w:r>
    </w:p>
    <w:p>
      <w:pPr>
        <w:pStyle w:val="Normal"/>
        <w:jc w:val="both"/>
        <w:rPr/>
      </w:pPr>
      <w:r>
        <w:rPr/>
        <w:t>KAZA is governed by a Ministerial Committee, a Committee of Senior Officials and a Secretariat based in Kasane, Botswana, with National Coordination Units in each Partner State. The KAZA Master Integrated Development Plan and country Integrated Development Plans identify tourism as a core pillar, and Wildlife Dispersal Areas are prioritised for connectivity. Germany (through KfW Financial Cooperation and GIZ Technical Cooperation) has been one of the longest-standing supporters of KAZA, alongside WWF, Peace Parks Foundation, Conservation International, the EU and others.</w:t>
      </w:r>
    </w:p>
    <w:p>
      <w:pPr>
        <w:pStyle w:val="Normal"/>
        <w:jc w:val="both"/>
        <w:rPr/>
      </w:pPr>
      <w:r>
        <w:rPr/>
        <w:t xml:space="preserve">The </w:t>
      </w:r>
      <w:r>
        <w:rPr>
          <w:b/>
          <w:bCs/>
        </w:rPr>
        <w:t>KAZA Univisa</w:t>
      </w:r>
      <w:r>
        <w:rPr/>
        <w:t xml:space="preserve"> — piloted between Zambia and Zimbabwe from 2014 and allowing day trips into Botswana via Kazungula — remains the most visible tourism harmonisation instrument. At the 2024 KAZA summit in Livingstone, Partner States pledged in principle to extend it, and Botswana indicated full adoption; full implementation by Angola, Botswana and Namibia had not been confirmed at the time of writing.</w:t>
      </w:r>
    </w:p>
    <w:p>
      <w:pPr>
        <w:pStyle w:val="Heading2"/>
        <w:rPr/>
      </w:pPr>
      <w:bookmarkStart w:id="8" w:name="__RefHeading___Toc4699_309009763"/>
      <w:bookmarkEnd w:id="8"/>
      <w:r>
        <w:rPr/>
        <w:t>2.2 Regional Financial Actors</w:t>
      </w:r>
    </w:p>
    <w:p>
      <w:pPr>
        <w:pStyle w:val="Normal"/>
        <w:jc w:val="both"/>
        <w:rPr/>
      </w:pPr>
      <w:r>
        <w:rPr/>
        <w:t>A number of regional institutions operate across several KAZA states and can support national pilots or provide a common backstop:</w:t>
      </w:r>
    </w:p>
    <w:p>
      <w:pPr>
        <w:pStyle w:val="Normal"/>
        <w:keepNext w:val="true"/>
        <w:spacing w:before="160" w:after="80"/>
        <w:rPr/>
      </w:pPr>
      <w:r>
        <w:rPr>
          <w:b/>
          <w:bCs/>
          <w:color w:val="1F5135"/>
          <w:sz w:val="20"/>
          <w:szCs w:val="20"/>
        </w:rPr>
        <w:t xml:space="preserve">Table 2: </w:t>
      </w:r>
      <w:r>
        <w:rPr>
          <w:i/>
          <w:iCs/>
          <w:sz w:val="20"/>
          <w:szCs w:val="20"/>
        </w:rPr>
        <w:t>Regional financial actors relevant to KAZA R-NBT MSME finance</w:t>
      </w:r>
    </w:p>
    <w:tbl>
      <w:tblPr>
        <w:tblW w:w="9026" w:type="dxa"/>
        <w:jc w:val="left"/>
        <w:tblInd w:w="0" w:type="dxa"/>
        <w:tblLayout w:type="fixed"/>
        <w:tblCellMar>
          <w:top w:w="60" w:type="dxa"/>
          <w:left w:w="100" w:type="dxa"/>
          <w:bottom w:w="60" w:type="dxa"/>
          <w:right w:w="100" w:type="dxa"/>
        </w:tblCellMar>
      </w:tblPr>
      <w:tblGrid>
        <w:gridCol w:w="2400"/>
        <w:gridCol w:w="3299"/>
        <w:gridCol w:w="3327"/>
      </w:tblGrid>
      <w:tr>
        <w:trPr>
          <w:tblHeader w:val="true"/>
        </w:trPr>
        <w:tc>
          <w:tcPr>
            <w:tcW w:w="24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Institution</w:t>
            </w:r>
          </w:p>
        </w:tc>
        <w:tc>
          <w:tcPr>
            <w:tcW w:w="32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Instruments</w:t>
            </w:r>
          </w:p>
        </w:tc>
        <w:tc>
          <w:tcPr>
            <w:tcW w:w="3327"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Relevance to R-NBT MSMEs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African Development Bank (AfDB)</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Lines of credit, risk-sharing, AFAWA (women’s finance), technical assistance</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Lines of credit to national DFIs and banks; AFAWA guarantees for women-led MSMEs; limited in Zimbabwe due to arrears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World Bank Group (IDA/IFC/MIGA)</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Sovereign projects, matching grants, IFC risk-sharing and SME credit lines</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 tourism project (USD 100m); IFC risk-sharing facilities with banks; IFC tourism advisory</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African Guarantee Fund (AGF)</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Portfolio and individual partial credit guarantees, green guarantees, capacity development</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Natural regional backstop for tourism windows in national banks; operates across SADC</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Bank of Southern Africa (DBSA)</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SADC-wide project finance and project preparation</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Enabling infrastructure (roads, energy, water) in KAZA hubs; limited direct MSME reach</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Afreximbank</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Trade finance, tourism and creative economy initiatives, Fund for Export Development in Africa</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Lines to banks for tourism (as an export); creative and cultural industries facility</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Trade and Development Bank (TDB Group)</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Trade finance, lines of credit</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Lines to Zambian and Zimbabwean banks; potential for tourism SME on-lending</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European DFIs (KfW/DEG, FMO, Proparco, Norfund, BII, Swedfund, EIB)</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Credit lines, equity in banks/MFIs, guarantee co-funding, green credit lines</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and SME lines through partner banks; equity in regional MFI groups (e.g. Letshego, Access)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SADC TFCA Financing Facility</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 to TFCA-level projects (German Financial Cooperation support)</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and enterprise projects in TFCAs; complementary grant layer</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Legacy Landscapes Fund</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Long-term (15+ year) protected-area co-financing</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Park-level stability that underpins tourism; indirect MSME benefit</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Conservation NGOs (WWF, Peace Parks, CI, AWF, TNC)</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 enterprise development, results-based payments, debt-conversion design</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enterprise incubation, Wildlife Credits, conservation-linked payments</w:t>
            </w:r>
          </w:p>
        </w:tc>
      </w:tr>
    </w:tbl>
    <w:p>
      <w:pPr>
        <w:pStyle w:val="Normal"/>
        <w:spacing w:before="0" w:after="120"/>
        <w:rPr/>
      </w:pPr>
      <w:r>
        <w:rPr/>
      </w:r>
    </w:p>
    <w:p>
      <w:pPr>
        <w:pStyle w:val="Heading2"/>
        <w:rPr/>
      </w:pPr>
      <w:bookmarkStart w:id="9" w:name="__RefHeading___Toc4701_309009763"/>
      <w:bookmarkEnd w:id="9"/>
      <w:r>
        <w:rPr/>
        <w:t>2.3 Cross-Cutting Constraints</w:t>
      </w:r>
    </w:p>
    <w:p>
      <w:pPr>
        <w:pStyle w:val="ListParagraph"/>
        <w:numPr>
          <w:ilvl w:val="0"/>
          <w:numId w:val="20"/>
        </w:numPr>
        <w:rPr/>
      </w:pPr>
      <w:r>
        <w:rPr>
          <w:b/>
          <w:bCs/>
        </w:rPr>
        <w:t>Collateral and land tenure:</w:t>
      </w:r>
      <w:r>
        <w:rPr/>
        <w:t xml:space="preserve"> most KAZA MSMEs operate on communal, customary or state land (concessions, conservancies, GMAs, CAMPFIRE wards) that cannot be mortgaged; movable-collateral registries exist in several states but are under-used by banks.</w:t>
      </w:r>
    </w:p>
    <w:p>
      <w:pPr>
        <w:pStyle w:val="ListParagraph"/>
        <w:numPr>
          <w:ilvl w:val="0"/>
          <w:numId w:val="21"/>
        </w:numPr>
        <w:rPr/>
      </w:pPr>
      <w:r>
        <w:rPr>
          <w:b/>
          <w:bCs/>
        </w:rPr>
        <w:t>Seasonality and shocks:</w:t>
      </w:r>
      <w:r>
        <w:rPr/>
        <w:t xml:space="preserve"> tourism cash flows are concentrated in the dry season (June–October); COVID-19 (2020–2022) and the 2024 El Niño drought demonstrated vulnerability to shocks. Standard monthly amortisation schedules are poorly suited.</w:t>
      </w:r>
    </w:p>
    <w:p>
      <w:pPr>
        <w:pStyle w:val="ListParagraph"/>
        <w:numPr>
          <w:ilvl w:val="0"/>
          <w:numId w:val="22"/>
        </w:numPr>
        <w:rPr/>
      </w:pPr>
      <w:r>
        <w:rPr>
          <w:b/>
          <w:bCs/>
        </w:rPr>
        <w:t>Currency:</w:t>
      </w:r>
      <w:r>
        <w:rPr/>
        <w:t xml:space="preserve"> high-end tourism earns hard currency, but most MSMEs earn local currency; currency volatility in Angola, Zambia and Zimbabwe complicates USD lending.</w:t>
      </w:r>
    </w:p>
    <w:p>
      <w:pPr>
        <w:pStyle w:val="ListParagraph"/>
        <w:numPr>
          <w:ilvl w:val="0"/>
          <w:numId w:val="23"/>
        </w:numPr>
        <w:rPr/>
      </w:pPr>
      <w:r>
        <w:rPr>
          <w:b/>
          <w:bCs/>
        </w:rPr>
        <w:t>Information asymmetry:</w:t>
      </w:r>
      <w:r>
        <w:rPr/>
        <w:t xml:space="preserve"> limited financial records, informality and weak credit histories restrict risk assessment; digital payment trails are a promising alternative data source.</w:t>
      </w:r>
    </w:p>
    <w:p>
      <w:pPr>
        <w:pStyle w:val="ListParagraph"/>
        <w:numPr>
          <w:ilvl w:val="0"/>
          <w:numId w:val="24"/>
        </w:numPr>
        <w:rPr/>
      </w:pPr>
      <w:r>
        <w:rPr>
          <w:b/>
          <w:bCs/>
        </w:rPr>
        <w:t>Distance and transaction costs:</w:t>
      </w:r>
      <w:r>
        <w:rPr/>
        <w:t xml:space="preserve"> small loan sizes, long distances to branches and specialised sector knowledge raise the unit cost of lending.</w:t>
      </w:r>
    </w:p>
    <w:p>
      <w:pPr>
        <w:pStyle w:val="ListParagraph"/>
        <w:numPr>
          <w:ilvl w:val="0"/>
          <w:numId w:val="25"/>
        </w:numPr>
        <w:rPr/>
      </w:pPr>
      <w:r>
        <w:rPr>
          <w:b/>
          <w:bCs/>
        </w:rPr>
        <w:t>Withdrawal of grant funding:</w:t>
      </w:r>
      <w:r>
        <w:rPr/>
        <w:t xml:space="preserve"> the wind-down of USAID programmes in 2025 removed significant grant and technical assistance funding for community conservation and enterprise development in the region, increasing the importance of blended and market-based mechanisms.</w:t>
      </w:r>
      <w:r>
        <w:br w:type="page"/>
      </w:r>
    </w:p>
    <w:p>
      <w:pPr>
        <w:pStyle w:val="Heading1"/>
        <w:spacing w:before="0" w:after="240"/>
        <w:rPr/>
      </w:pPr>
      <w:bookmarkStart w:id="10" w:name="__RefHeading___Toc4703_309009763"/>
      <w:bookmarkEnd w:id="10"/>
      <w:r>
        <w:rPr/>
        <w:t>3. Angola</w:t>
      </w:r>
    </w:p>
    <w:p>
      <w:pPr>
        <w:pStyle w:val="Heading2"/>
        <w:rPr/>
      </w:pPr>
      <w:bookmarkStart w:id="11" w:name="__RefHeading___Toc4705_309009763"/>
      <w:bookmarkEnd w:id="11"/>
      <w:r>
        <w:rPr/>
        <w:t>3.1 Country Context: The Angolan KAZA Component</w:t>
      </w:r>
    </w:p>
    <w:p>
      <w:pPr>
        <w:pStyle w:val="Normal"/>
        <w:jc w:val="both"/>
        <w:rPr/>
      </w:pPr>
      <w:r>
        <w:rPr/>
        <w:t xml:space="preserve">Angola’s KAZA component lies in the south-east of the country in the former Cuando Cubango Province, which under the political-administrative reform approved in December 2023 and implemented from late 2024 has been divided into </w:t>
      </w:r>
      <w:r>
        <w:rPr>
          <w:b/>
          <w:bCs/>
        </w:rPr>
        <w:t>Cuando</w:t>
      </w:r>
      <w:r>
        <w:rPr/>
        <w:t xml:space="preserve"> (capital Mavinga) and </w:t>
      </w:r>
      <w:r>
        <w:rPr>
          <w:b/>
          <w:bCs/>
        </w:rPr>
        <w:t>Cubango</w:t>
      </w:r>
      <w:r>
        <w:rPr/>
        <w:t xml:space="preserve"> (capital Menongue). The area includes Luengue-Luiana and Mavinga National Parks and the Cuito and Cubango river systems — the ‘water tower’ that supplies most of the flow to the Okavango Delta. The Government designated an Okavango Tourism Development Pole (Pólo de Desenvolvimento Turístico do Okavango) as one of the national tourism development poles.</w:t>
      </w:r>
    </w:p>
    <w:p>
      <w:pPr>
        <w:pStyle w:val="Normal"/>
        <w:jc w:val="both"/>
        <w:rPr/>
      </w:pPr>
      <w:r>
        <w:rPr/>
        <w:t xml:space="preserve">Tourism is nascent. Constraints include very limited road and air connectivity (road travel from Menongue to Cuito Cuanavale and beyond is slow on sandy tracks; Mavinga as a provincial capital is at an early stage of construction), the legacy of landmine contamination (with major clearance by The HALO Trust and partners), sparse settlement, and limited service infrastructure. Existing tourism MSMEs are concentrated in Menongue and Cuito Cuanavale (guesthouses, restaurants, transport), with emerging interest in river expeditions, birding, fishing and cultural and heritage tourism. The Angolan component therefore requires a </w:t>
      </w:r>
      <w:r>
        <w:rPr>
          <w:b/>
          <w:bCs/>
        </w:rPr>
        <w:t>readiness-oriented</w:t>
      </w:r>
      <w:r>
        <w:rPr/>
        <w:t xml:space="preserve"> approach to finance.</w:t>
      </w:r>
    </w:p>
    <w:p>
      <w:pPr>
        <w:pStyle w:val="Normal"/>
        <w:jc w:val="both"/>
        <w:rPr/>
      </w:pPr>
      <w:r>
        <w:rPr/>
        <w:t>Macroeconomic conditions shape finance supply: monetary policy rates near 19–20%, inflation that peaked above 30% in 2024 before easing, and repeated kwanza depreciation have kept bank lending rates high and credit to the private sector low relative to GDP. Banks hold large volumes of government securities and lend predominantly to large corporates.</w:t>
      </w:r>
    </w:p>
    <w:p>
      <w:pPr>
        <w:pStyle w:val="Heading2"/>
        <w:rPr/>
      </w:pPr>
      <w:bookmarkStart w:id="12" w:name="__RefHeading___Toc4707_309009763"/>
      <w:bookmarkEnd w:id="12"/>
      <w:r>
        <w:rPr/>
        <w:t>3.2 Mapping of Financial Actors and Adaptable Products</w:t>
      </w:r>
    </w:p>
    <w:p>
      <w:pPr>
        <w:pStyle w:val="Normal"/>
        <w:jc w:val="both"/>
        <w:rPr/>
      </w:pPr>
      <w:r>
        <w:rPr/>
        <w:t>Angola’s financial sector is bank-dominated, with around 20 licensed banks, a public development finance architecture created to support economic diversification, a small microfinance segment and fast-growing mobile money. Presence in the KAZA area is limited to Menongue and a few municipal seats.</w:t>
      </w:r>
    </w:p>
    <w:p>
      <w:pPr>
        <w:pStyle w:val="Normal"/>
        <w:keepNext w:val="true"/>
        <w:spacing w:before="160" w:after="80"/>
        <w:rPr/>
      </w:pPr>
      <w:r>
        <w:rPr>
          <w:b/>
          <w:bCs/>
          <w:color w:val="1F5135"/>
          <w:sz w:val="20"/>
          <w:szCs w:val="20"/>
        </w:rPr>
        <w:t xml:space="preserve">Table 3: </w:t>
      </w:r>
      <w:r>
        <w:rPr>
          <w:i/>
          <w:iCs/>
          <w:sz w:val="20"/>
          <w:szCs w:val="20"/>
        </w:rPr>
        <w:t>Financial actors in Angola and products adaptable for R-NBT MSMEs</w:t>
      </w:r>
    </w:p>
    <w:tbl>
      <w:tblPr>
        <w:tblW w:w="9026" w:type="dxa"/>
        <w:jc w:val="left"/>
        <w:tblInd w:w="0" w:type="dxa"/>
        <w:tblLayout w:type="fixed"/>
        <w:tblCellMar>
          <w:top w:w="60" w:type="dxa"/>
          <w:left w:w="100" w:type="dxa"/>
          <w:bottom w:w="60" w:type="dxa"/>
          <w:right w:w="100" w:type="dxa"/>
        </w:tblCellMar>
      </w:tblPr>
      <w:tblGrid>
        <w:gridCol w:w="1698"/>
        <w:gridCol w:w="3302"/>
        <w:gridCol w:w="4026"/>
      </w:tblGrid>
      <w:tr>
        <w:trPr>
          <w:tblHeader w:val="true"/>
        </w:trPr>
        <w:tc>
          <w:tcPr>
            <w:tcW w:w="16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Category</w:t>
            </w:r>
          </w:p>
        </w:tc>
        <w:tc>
          <w:tcPr>
            <w:tcW w:w="3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Key actors</w:t>
            </w:r>
          </w:p>
        </w:tc>
        <w:tc>
          <w:tcPr>
            <w:tcW w:w="40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Products adaptable for R-NBT MSMEs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Commercial banks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Banco Angolano de Investimentos (BAI), Banco de Fomento Angola (BFA), Banco BIC, Banco Millennium Atlântico, Banco Sol, Standard Bank Angola, Banco de Poupança e Crédito (BPC, state-owned), Banco de Comércio e Indústria (BCI), Banco Keve</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 term loans and overdrafts (often under PRODESI/Aviso 10/2022 lines); vehicle and equipment finance; payroll and merchant (Multicaixa) services. BPC, BCI and Banco Sol have the widest provincial footprint.</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banks and public funds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Banco de Desenvolvimento de Angola (BDA); Fundo de Garantia de Crédito (FGC); Fundo Activo de Capital de Risco Angolano (FACRA); Fundo de Apoio ao Desenvolvimento Agrário (FADA); Fundo Soberano de Angola (FSDEA)</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BDA on-lending lines; FGC partial credit guarantees on bank loans to MSMEs; FACRA venture capital; FADA agricultural credit relevant for lodge food supply; FSDEA hospitality/infrastructure funds (historically Luanda-focused).</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Microfinance</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KixiCrédito; Banco Sol micro-credit; licensed microcredit companies and credit cooperatives supervised by the Banco Nacional de Angola (BNA)</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Group and individual micro-loans for traders, artisans and small service providers; potential for guesthouse refurbishment and craft working capital.</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 groups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Kixikila (traditional ROSCAs); VSLAs promoted by NGOs and church networks</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 mobilisation and small loans; entry point for linkage banking and financial education.</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Fintech and digital finance</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Multicaixa Express (EMIS); Unitel Money; Afrimoney; e-Kwanza; bank wallets; BNA innovation and regulatory sandbox initiatives</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Digital collection of tourism payments; transaction histories for credit scoring; low-cost transfers to community enterprises.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Blended and donor facilities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EU, AFD, AfDB and World Bank programmes (primarily outside the KAZA area, e.g. Lobito Corridor, southern agriculture); KfW support to KAZA; GIZ</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 and technical assistance; FGC ‘Diversifica Mais’ USD 80m guarantee line (Lobito Corridor) as a replicable model for a KAZA window.</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Community-based mechanisms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associations, cooperatives and traditional authorities in Cuando and Cubango; conservation NGOs (ACADIR, National Geographic Okavango Wilderness Project partners)</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enterprise grants; potential community revolving funds once tourism revenues and benefit-sharing arrangements are established.</w:t>
            </w:r>
          </w:p>
        </w:tc>
      </w:tr>
    </w:tbl>
    <w:p>
      <w:pPr>
        <w:pStyle w:val="Normal"/>
        <w:spacing w:before="0" w:after="120"/>
        <w:rPr/>
      </w:pPr>
      <w:r>
        <w:rPr/>
      </w:r>
    </w:p>
    <w:p>
      <w:pPr>
        <w:pStyle w:val="Heading2"/>
        <w:rPr/>
      </w:pPr>
      <w:bookmarkStart w:id="13" w:name="__RefHeading___Toc4709_309009763"/>
      <w:bookmarkEnd w:id="13"/>
      <w:r>
        <w:rPr/>
        <w:t>3.3 Business Support Organisations and Stakeholders</w:t>
      </w:r>
    </w:p>
    <w:p>
      <w:pPr>
        <w:pStyle w:val="Normal"/>
        <w:keepNext w:val="true"/>
        <w:spacing w:before="160" w:after="80"/>
        <w:rPr/>
      </w:pPr>
      <w:r>
        <w:rPr>
          <w:b/>
          <w:bCs/>
          <w:color w:val="1F5135"/>
          <w:sz w:val="20"/>
          <w:szCs w:val="20"/>
        </w:rPr>
        <w:t xml:space="preserve">Table 4: </w:t>
      </w:r>
      <w:r>
        <w:rPr>
          <w:i/>
          <w:iCs/>
          <w:sz w:val="20"/>
          <w:szCs w:val="20"/>
        </w:rPr>
        <w:t>BSOs and stakeholders for nature-based tourism in Angola’s KAZA corridor</w:t>
      </w:r>
    </w:p>
    <w:tbl>
      <w:tblPr>
        <w:tblW w:w="9026" w:type="dxa"/>
        <w:jc w:val="left"/>
        <w:tblInd w:w="0" w:type="dxa"/>
        <w:tblLayout w:type="fixed"/>
        <w:tblCellMar>
          <w:top w:w="60" w:type="dxa"/>
          <w:left w:w="100" w:type="dxa"/>
          <w:bottom w:w="60" w:type="dxa"/>
          <w:right w:w="100" w:type="dxa"/>
        </w:tblCellMar>
      </w:tblPr>
      <w:tblGrid>
        <w:gridCol w:w="2600"/>
        <w:gridCol w:w="2998"/>
        <w:gridCol w:w="3428"/>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Organisation</w:t>
            </w:r>
          </w:p>
        </w:tc>
        <w:tc>
          <w:tcPr>
            <w:tcW w:w="29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Type</w:t>
            </w:r>
          </w:p>
        </w:tc>
        <w:tc>
          <w:tcPr>
            <w:tcW w:w="34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Role and relevance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Ministério do Turismo (MINTUR)</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Government</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policy, licensing and classification of establishments; tourism development poles including Okavango</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Ministry of Environment / Instituto Nacional da Biodiversidade e Áreas de Conservação (INBAC)</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Government</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Management of Luengue-Luiana and Mavinga NPs; conservation area concessions; KAZA National Coordination Unit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Provincial Governments of Cuando and Cubango</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Sub-national government</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economic development, land allocation, infrastructure; provincial PRODESI focal points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Instituto Nacional de Apoio às Micro, Pequenas e Médias Empresas (INAPEM)</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Public BSO</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MSME certification (a prerequisite for several public finance lines), training, business plans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AIPEX (Agency for Private Investment and Export Promotion)</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Public BSO</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Investment facilitation, incentive applications under the Private Investment Law</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Balcão Único do Empreendedor (BUE)</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Public service</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One-stop business registration, reducing informality</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Câmara de Comércio e Indústria de Angola (CCIA)</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association</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Advocacy and linkages; provincial representation</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Hospitality and travel associations (e.g. AHORESIA, AAVOTA)</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Industry associations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Hotel, restaurant and travel agency representation; mostly Luanda-based</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The HALO Trust</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International NGO</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Landmine clearance in Cuando and Cubango, enabling access and tourism development; local employment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National Geographic Okavango Wilderness Project / Wild Bird Trust</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Conservation and research</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Okavango headwaters research and expedition tourism; community engagement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ACADIR and local NGOs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NGO</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development and natural resource management in Cuando and Cubango</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Universidade Cuito Cuanavale (Menongue)</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Academic</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Skills development and research; potential tourism and hospitality training partner</w:t>
            </w:r>
          </w:p>
        </w:tc>
      </w:tr>
    </w:tbl>
    <w:p>
      <w:pPr>
        <w:pStyle w:val="Normal"/>
        <w:spacing w:before="0" w:after="120"/>
        <w:rPr/>
      </w:pPr>
      <w:r>
        <w:rPr/>
      </w:r>
    </w:p>
    <w:p>
      <w:pPr>
        <w:pStyle w:val="Heading2"/>
        <w:rPr/>
      </w:pPr>
      <w:bookmarkStart w:id="14" w:name="__RefHeading___Toc4711_309009763"/>
      <w:bookmarkEnd w:id="14"/>
      <w:r>
        <w:rPr/>
        <w:t>3.4 Analysis of Available Financial Products</w:t>
      </w:r>
    </w:p>
    <w:p>
      <w:pPr>
        <w:pStyle w:val="Normal"/>
        <w:jc w:val="both"/>
        <w:rPr/>
      </w:pPr>
      <w:r>
        <w:rPr/>
        <w:t>Formal financial products exist but are poorly matched to R-NBT MSMEs in the KAZA area. Accessibility is constrained by distance, collateral requirements, documentation (formal registration, INAPEM certification, tax compliance) and high interest rates. Public lines (PRODESI, Aviso 10/2022) prioritise agriculture, manufacturing and import substitution; tourism eligibility is limited, although supply-chain enterprises (food production for lodges) may qualify. A 2021 provincial report recorded around Kz 900 million disbursed in Cuando Cubango under PRODESI lines to 34 companies and cooperatives, mostly in agriculture and trade.</w:t>
      </w:r>
    </w:p>
    <w:p>
      <w:pPr>
        <w:pStyle w:val="Normal"/>
        <w:keepNext w:val="true"/>
        <w:spacing w:before="160" w:after="80"/>
        <w:rPr/>
      </w:pPr>
      <w:r>
        <w:rPr>
          <w:b/>
          <w:bCs/>
          <w:color w:val="1F5135"/>
          <w:sz w:val="20"/>
          <w:szCs w:val="20"/>
        </w:rPr>
        <w:t xml:space="preserve">Table 5: </w:t>
      </w:r>
      <w:r>
        <w:rPr>
          <w:i/>
          <w:iCs/>
          <w:sz w:val="20"/>
          <w:szCs w:val="20"/>
        </w:rPr>
        <w:t>Accessibility and relevance of financial products — Angola</w:t>
      </w:r>
    </w:p>
    <w:tbl>
      <w:tblPr>
        <w:tblW w:w="9026" w:type="dxa"/>
        <w:jc w:val="left"/>
        <w:tblInd w:w="0" w:type="dxa"/>
        <w:tblLayout w:type="fixed"/>
        <w:tblCellMar>
          <w:top w:w="60" w:type="dxa"/>
          <w:left w:w="100" w:type="dxa"/>
          <w:bottom w:w="60" w:type="dxa"/>
          <w:right w:w="100" w:type="dxa"/>
        </w:tblCellMar>
      </w:tblPr>
      <w:tblGrid>
        <w:gridCol w:w="1698"/>
        <w:gridCol w:w="2601"/>
        <w:gridCol w:w="1299"/>
        <w:gridCol w:w="1302"/>
        <w:gridCol w:w="2126"/>
      </w:tblGrid>
      <w:tr>
        <w:trPr>
          <w:tblHeader w:val="true"/>
        </w:trPr>
        <w:tc>
          <w:tcPr>
            <w:tcW w:w="16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Product</w:t>
            </w:r>
          </w:p>
        </w:tc>
        <w:tc>
          <w:tcPr>
            <w:tcW w:w="26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Main providers</w:t>
            </w:r>
          </w:p>
        </w:tc>
        <w:tc>
          <w:tcPr>
            <w:tcW w:w="12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Access</w:t>
            </w:r>
          </w:p>
        </w:tc>
        <w:tc>
          <w:tcPr>
            <w:tcW w:w="1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Relevance</w:t>
            </w:r>
          </w:p>
        </w:tc>
        <w:tc>
          <w:tcPr>
            <w:tcW w:w="21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Comment</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Term loans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Banks (BAI, BFA, BPC, Banco Sol), BDA lines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rates, real-estate collateral; little tourism appetite outside Luanda/Benguela</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Working capital</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Banks (overdrafts), MFIs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Short-term and costly; seasonal profiles not accommodated</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Micro-loans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KixiCrédito, Banco Sol</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Suited to crafts, food stalls, small guesthouse upgrades; limited presence in Cuando</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Guarantees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FGC</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Exists nationally; tourism and KAZA provinces not yet targeted; model exists in ‘Diversifica Mais’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Donors, NGOs, KAZA programmes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Fragmented; key for readiness and community enterprises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Revolving funds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None tourism-specific</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Opportunity to design with provincial government and NGOs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Leasing / asset finance</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 leasing units, vehicle dealers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Vehicles, boats and generators are key assets; mostly available in Luanda</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Equity</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FACRA, private investors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Relevant only for larger lodge projects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finance</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Limited; donor-funded solar programmes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Off-grid solar is critical in Cuando; no dedicated green SME line identified</w:t>
            </w:r>
          </w:p>
        </w:tc>
      </w:tr>
    </w:tbl>
    <w:p>
      <w:pPr>
        <w:pStyle w:val="Normal"/>
        <w:spacing w:before="0" w:after="120"/>
        <w:rPr/>
      </w:pPr>
      <w:r>
        <w:rPr/>
      </w:r>
    </w:p>
    <w:p>
      <w:pPr>
        <w:pStyle w:val="Heading2"/>
        <w:rPr/>
      </w:pPr>
      <w:bookmarkStart w:id="15" w:name="__RefHeading___Toc4713_309009763"/>
      <w:bookmarkEnd w:id="15"/>
      <w:r>
        <w:rPr/>
        <w:t>3.5 Regulatory and Policy Environment</w:t>
      </w:r>
    </w:p>
    <w:p>
      <w:pPr>
        <w:pStyle w:val="Heading3"/>
        <w:rPr/>
      </w:pPr>
      <w:r>
        <w:rPr/>
        <w:t>Key Frameworks</w:t>
      </w:r>
    </w:p>
    <w:p>
      <w:pPr>
        <w:pStyle w:val="ListParagraph"/>
        <w:numPr>
          <w:ilvl w:val="0"/>
          <w:numId w:val="26"/>
        </w:numPr>
        <w:rPr/>
      </w:pPr>
      <w:r>
        <w:rPr/>
        <w:t>Financial sector: Law 14/21 (General Regime of Financial Institutions), BNA prudential regulation, BNA Aviso 10/2022 on credit to the real economy, Central de Informação e Risco de Crédito (CIRC) credit registry.</w:t>
      </w:r>
    </w:p>
    <w:p>
      <w:pPr>
        <w:pStyle w:val="ListParagraph"/>
        <w:numPr>
          <w:ilvl w:val="0"/>
          <w:numId w:val="27"/>
        </w:numPr>
        <w:rPr/>
      </w:pPr>
      <w:r>
        <w:rPr/>
        <w:t>Investment and enterprise: Private Investment Law (Law 10/18, as amended), MSME law and INAPEM certification regime, PRODESI, National Development Plan 2023–2027.</w:t>
      </w:r>
    </w:p>
    <w:p>
      <w:pPr>
        <w:pStyle w:val="ListParagraph"/>
        <w:numPr>
          <w:ilvl w:val="0"/>
          <w:numId w:val="28"/>
        </w:numPr>
        <w:rPr/>
      </w:pPr>
      <w:r>
        <w:rPr/>
        <w:t>Tourism: Tourism framework law and licensing regulations; tourism development poles; visa exemption for citizens of a large number of countries introduced in 2023 for short tourist stays.</w:t>
      </w:r>
    </w:p>
    <w:p>
      <w:pPr>
        <w:pStyle w:val="ListParagraph"/>
        <w:numPr>
          <w:ilvl w:val="0"/>
          <w:numId w:val="29"/>
        </w:numPr>
        <w:rPr/>
      </w:pPr>
      <w:r>
        <w:rPr/>
        <w:t>Environment and conservation: Lei de Bases do Ambiente; Law 8/20 on Conservation Areas; Biodiversity Strategy; KAZA Treaty commitments.</w:t>
      </w:r>
    </w:p>
    <w:p>
      <w:pPr>
        <w:pStyle w:val="Heading3"/>
        <w:rPr/>
      </w:pPr>
      <w:r>
        <w:rPr/>
        <w:t>Barriers</w:t>
      </w:r>
    </w:p>
    <w:p>
      <w:pPr>
        <w:pStyle w:val="ListParagraph"/>
        <w:numPr>
          <w:ilvl w:val="0"/>
          <w:numId w:val="30"/>
        </w:numPr>
        <w:rPr/>
      </w:pPr>
      <w:r>
        <w:rPr/>
        <w:t>High policy and lending rates and currency depreciation make long-term local-currency loans expensive and USD loans risky.</w:t>
      </w:r>
    </w:p>
    <w:p>
      <w:pPr>
        <w:pStyle w:val="ListParagraph"/>
        <w:numPr>
          <w:ilvl w:val="0"/>
          <w:numId w:val="31"/>
        </w:numPr>
        <w:rPr/>
      </w:pPr>
      <w:r>
        <w:rPr/>
        <w:t>Formal registration, tax compliance and INAPEM certification are prerequisites for public lines but costly to obtain in remote provinces.</w:t>
      </w:r>
    </w:p>
    <w:p>
      <w:pPr>
        <w:pStyle w:val="ListParagraph"/>
        <w:numPr>
          <w:ilvl w:val="0"/>
          <w:numId w:val="32"/>
        </w:numPr>
        <w:rPr/>
      </w:pPr>
      <w:r>
        <w:rPr/>
        <w:t>Land rights in rural areas are largely customary or state-held; titles (direitos de superfície) are slow to obtain.</w:t>
      </w:r>
    </w:p>
    <w:p>
      <w:pPr>
        <w:pStyle w:val="ListParagraph"/>
        <w:numPr>
          <w:ilvl w:val="0"/>
          <w:numId w:val="33"/>
        </w:numPr>
        <w:rPr/>
      </w:pPr>
      <w:r>
        <w:rPr/>
        <w:t>Administrative transition to the new Cuando and Cubango provinces creates temporary institutional uncertainty.</w:t>
      </w:r>
    </w:p>
    <w:p>
      <w:pPr>
        <w:pStyle w:val="ListParagraph"/>
        <w:numPr>
          <w:ilvl w:val="0"/>
          <w:numId w:val="34"/>
        </w:numPr>
        <w:rPr/>
      </w:pPr>
      <w:r>
        <w:rPr/>
        <w:t>Limited connectivity, landmine contamination and seasonal access restrict market development.</w:t>
      </w:r>
    </w:p>
    <w:p>
      <w:pPr>
        <w:pStyle w:val="ListParagraph"/>
        <w:numPr>
          <w:ilvl w:val="0"/>
          <w:numId w:val="35"/>
        </w:numPr>
        <w:rPr/>
      </w:pPr>
      <w:r>
        <w:rPr/>
        <w:t>Language: KAZA tourism, finance and marketing materials are largely in English.</w:t>
      </w:r>
    </w:p>
    <w:p>
      <w:pPr>
        <w:pStyle w:val="Heading3"/>
        <w:rPr/>
      </w:pPr>
      <w:r>
        <w:rPr/>
        <w:t>Enablers</w:t>
      </w:r>
    </w:p>
    <w:p>
      <w:pPr>
        <w:pStyle w:val="ListParagraph"/>
        <w:numPr>
          <w:ilvl w:val="0"/>
          <w:numId w:val="36"/>
        </w:numPr>
        <w:rPr/>
      </w:pPr>
      <w:r>
        <w:rPr/>
        <w:t>Strong political focus on economic diversification and MSMEs (PRODESI, FGC, BDA).</w:t>
      </w:r>
    </w:p>
    <w:p>
      <w:pPr>
        <w:pStyle w:val="ListParagraph"/>
        <w:numPr>
          <w:ilvl w:val="0"/>
          <w:numId w:val="37"/>
        </w:numPr>
        <w:rPr/>
      </w:pPr>
      <w:r>
        <w:rPr/>
        <w:t>Visa liberalisation and the Okavango Tourism Development Pole.</w:t>
      </w:r>
    </w:p>
    <w:p>
      <w:pPr>
        <w:pStyle w:val="ListParagraph"/>
        <w:numPr>
          <w:ilvl w:val="0"/>
          <w:numId w:val="38"/>
        </w:numPr>
        <w:rPr/>
      </w:pPr>
      <w:r>
        <w:rPr/>
        <w:t>Growth of digital payments (Multicaixa Express, mobile money).</w:t>
      </w:r>
    </w:p>
    <w:p>
      <w:pPr>
        <w:pStyle w:val="ListParagraph"/>
        <w:numPr>
          <w:ilvl w:val="0"/>
          <w:numId w:val="39"/>
        </w:numPr>
        <w:rPr/>
      </w:pPr>
      <w:r>
        <w:rPr/>
        <w:t>Demining progress and new provincial administration opening space for investment planning.</w:t>
      </w:r>
    </w:p>
    <w:p>
      <w:pPr>
        <w:pStyle w:val="Heading3"/>
        <w:rPr/>
      </w:pPr>
      <w:r>
        <w:rPr/>
        <w:t>Harmonisation Opportunities</w:t>
      </w:r>
    </w:p>
    <w:p>
      <w:pPr>
        <w:pStyle w:val="ListParagraph"/>
        <w:numPr>
          <w:ilvl w:val="0"/>
          <w:numId w:val="40"/>
        </w:numPr>
        <w:rPr/>
      </w:pPr>
      <w:r>
        <w:rPr/>
        <w:t>Joining the KAZA Univisa and harmonising tourist entry procedures with Namibia (Rundu/Calai, Katwitwi) and Zambia.</w:t>
      </w:r>
    </w:p>
    <w:p>
      <w:pPr>
        <w:pStyle w:val="ListParagraph"/>
        <w:numPr>
          <w:ilvl w:val="0"/>
          <w:numId w:val="41"/>
        </w:numPr>
        <w:rPr/>
      </w:pPr>
      <w:r>
        <w:rPr/>
        <w:t>Aligning tourism classification and guide certification standards with KAZA neighbours.</w:t>
      </w:r>
    </w:p>
    <w:p>
      <w:pPr>
        <w:pStyle w:val="ListParagraph"/>
        <w:numPr>
          <w:ilvl w:val="0"/>
          <w:numId w:val="42"/>
        </w:numPr>
        <w:rPr/>
      </w:pPr>
      <w:r>
        <w:rPr/>
        <w:t>Using SADC payment integration to simplify cross-border tourism payments with Namibia.</w:t>
      </w:r>
    </w:p>
    <w:p>
      <w:pPr>
        <w:pStyle w:val="ListParagraph"/>
        <w:numPr>
          <w:ilvl w:val="0"/>
          <w:numId w:val="43"/>
        </w:numPr>
        <w:rPr/>
      </w:pPr>
      <w:r>
        <w:rPr/>
        <w:t>Portuguese-language versions of KAZA tourism and enterprise tools.</w:t>
      </w:r>
    </w:p>
    <w:p>
      <w:pPr>
        <w:pStyle w:val="Heading2"/>
        <w:rPr/>
      </w:pPr>
      <w:bookmarkStart w:id="16" w:name="__RefHeading___Toc4715_309009763"/>
      <w:bookmarkEnd w:id="16"/>
      <w:r>
        <w:rPr/>
        <w:t>3.6 Large Tourism Companies, Investors, DMCs and Lodge Chains</w:t>
      </w:r>
    </w:p>
    <w:p>
      <w:pPr>
        <w:pStyle w:val="Normal"/>
        <w:jc w:val="both"/>
        <w:rPr/>
      </w:pPr>
      <w:r>
        <w:rPr/>
        <w:t>The Angolan KAZA component has very few established tourism companies. Potential anchor partners are therefore a mix of national hospitality groups, cross-border operators from Namibia and Botswana, conservation organisations operating expedition tourism, and transport providers.</w:t>
      </w:r>
    </w:p>
    <w:p>
      <w:pPr>
        <w:pStyle w:val="Normal"/>
        <w:keepNext w:val="true"/>
        <w:spacing w:before="160" w:after="80"/>
        <w:rPr/>
      </w:pPr>
      <w:r>
        <w:rPr>
          <w:b/>
          <w:bCs/>
          <w:color w:val="1F5135"/>
          <w:sz w:val="20"/>
          <w:szCs w:val="20"/>
        </w:rPr>
        <w:t xml:space="preserve">Table 6: </w:t>
      </w:r>
      <w:r>
        <w:rPr>
          <w:i/>
          <w:iCs/>
          <w:sz w:val="20"/>
          <w:szCs w:val="20"/>
        </w:rPr>
        <w:t>Potential private-sector partners — Angola</w:t>
      </w:r>
    </w:p>
    <w:tbl>
      <w:tblPr>
        <w:tblW w:w="9026" w:type="dxa"/>
        <w:jc w:val="left"/>
        <w:tblInd w:w="0" w:type="dxa"/>
        <w:tblLayout w:type="fixed"/>
        <w:tblCellMar>
          <w:top w:w="60" w:type="dxa"/>
          <w:left w:w="100" w:type="dxa"/>
          <w:bottom w:w="60" w:type="dxa"/>
          <w:right w:w="100" w:type="dxa"/>
        </w:tblCellMar>
      </w:tblPr>
      <w:tblGrid>
        <w:gridCol w:w="2600"/>
        <w:gridCol w:w="2998"/>
        <w:gridCol w:w="3428"/>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Company / investor</w:t>
            </w:r>
          </w:p>
        </w:tc>
        <w:tc>
          <w:tcPr>
            <w:tcW w:w="29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Footprint</w:t>
            </w:r>
          </w:p>
        </w:tc>
        <w:tc>
          <w:tcPr>
            <w:tcW w:w="34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Partnership potential for MSME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Namibian lodge operators on the Okavango (Kavango East/West)</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Lodges and river activities on the Namibian bank opposite Angola</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Cross-border excursions using Angolan guides and boat operators; procurement from Angolan suppliers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National Geographic Okavango Wilderness Project partners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Research expeditions in headwaters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Anchor demand for expedition logistics, guiding and catering MSMEs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Eco Tur Angola and Luanda-based DMCs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Specialist inbound and eco-tour operators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Packaging Okavango headwaters products; forward contracts with local MSMEs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Angolan hotel groups (Luanda-based) and privatised state hotels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Urban hotels; provincial hotels under privatisation programme (PROPRIV)</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Potential operators for Menongue hotel stock; supplier development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TAAG Angola Airlines and domestic charter operators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Air connectivity to Menongue</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Route development and packaging; low direct finance role</w:t>
            </w:r>
          </w:p>
        </w:tc>
      </w:tr>
    </w:tbl>
    <w:p>
      <w:pPr>
        <w:pStyle w:val="Normal"/>
        <w:spacing w:before="0" w:after="120"/>
        <w:rPr/>
      </w:pPr>
      <w:r>
        <w:rPr/>
      </w:r>
    </w:p>
    <w:p>
      <w:pPr>
        <w:pStyle w:val="Heading2"/>
        <w:rPr/>
      </w:pPr>
      <w:bookmarkStart w:id="17" w:name="__RefHeading___Toc4717_309009763"/>
      <w:bookmarkEnd w:id="17"/>
      <w:r>
        <w:rPr/>
        <w:t>3.7 Assessment of Potential Partner Financial Institutions</w:t>
      </w:r>
    </w:p>
    <w:p>
      <w:pPr>
        <w:pStyle w:val="Normal"/>
        <w:keepNext w:val="true"/>
        <w:spacing w:before="160" w:after="80"/>
        <w:rPr/>
      </w:pPr>
      <w:r>
        <w:rPr>
          <w:b/>
          <w:bCs/>
          <w:color w:val="1F5135"/>
          <w:sz w:val="20"/>
          <w:szCs w:val="20"/>
        </w:rPr>
        <w:t xml:space="preserve">Table 7: </w:t>
      </w:r>
      <w:r>
        <w:rPr>
          <w:i/>
          <w:iCs/>
          <w:sz w:val="20"/>
          <w:szCs w:val="20"/>
        </w:rPr>
        <w:t>Indicative assessment of partner financial institutions — Angola</w:t>
      </w:r>
    </w:p>
    <w:tbl>
      <w:tblPr>
        <w:tblW w:w="9026" w:type="dxa"/>
        <w:jc w:val="left"/>
        <w:tblInd w:w="0" w:type="dxa"/>
        <w:tblLayout w:type="fixed"/>
        <w:tblCellMar>
          <w:top w:w="60" w:type="dxa"/>
          <w:left w:w="100" w:type="dxa"/>
          <w:bottom w:w="60" w:type="dxa"/>
          <w:right w:w="100" w:type="dxa"/>
        </w:tblCellMar>
      </w:tblPr>
      <w:tblGrid>
        <w:gridCol w:w="2198"/>
        <w:gridCol w:w="1302"/>
        <w:gridCol w:w="1300"/>
        <w:gridCol w:w="1298"/>
        <w:gridCol w:w="2928"/>
      </w:tblGrid>
      <w:tr>
        <w:trPr>
          <w:tblHeader w:val="true"/>
        </w:trPr>
        <w:tc>
          <w:tcPr>
            <w:tcW w:w="21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Institution</w:t>
            </w:r>
          </w:p>
        </w:tc>
        <w:tc>
          <w:tcPr>
            <w:tcW w:w="1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Capacity</w:t>
            </w:r>
          </w:p>
        </w:tc>
        <w:tc>
          <w:tcPr>
            <w:tcW w:w="13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Strategic interest</w:t>
            </w:r>
          </w:p>
        </w:tc>
        <w:tc>
          <w:tcPr>
            <w:tcW w:w="12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Risk appetite</w:t>
            </w:r>
          </w:p>
        </w:tc>
        <w:tc>
          <w:tcPr>
            <w:tcW w:w="29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Pilot suitability</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Fundo de Garantia de Crédito (FGC)</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Lead candidate: create a KAZA/tourism guarantee window modelled on ‘Diversifica Mais’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Banco Sol</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(MSME/micro)</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 and small loans in Menongue; partner for guarantee-backed lending</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Banco de Poupança e Crédito (BPC)</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Wide provincial presence but balance-sheet restructuring limits appetite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BAI / BFA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Strong systems; interest conditional on guarantees and corporate anchors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Standard Bank Angola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(ESG)</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Group experience with conservation finance in Botswana; corporate-anchored structures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Banco de Desenvolvimento de Angola (BDA)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Wholesale funding to partner banks for a tourism/KAZA line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KixiCrédito</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(micro)</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Group lending to craft, food and small service MSMEs; requires presence expansion</w:t>
            </w:r>
          </w:p>
        </w:tc>
      </w:tr>
    </w:tbl>
    <w:p>
      <w:pPr>
        <w:pStyle w:val="Normal"/>
        <w:spacing w:before="0" w:after="120"/>
        <w:rPr/>
      </w:pPr>
      <w:r>
        <w:rPr/>
      </w:r>
    </w:p>
    <w:p>
      <w:pPr>
        <w:pStyle w:val="Heading2"/>
        <w:rPr/>
      </w:pPr>
      <w:bookmarkStart w:id="18" w:name="__RefHeading___Toc4719_309009763"/>
      <w:bookmarkEnd w:id="18"/>
      <w:r>
        <w:rPr/>
        <w:t>3.8 Development Banks, Foundations and Impact Investors</w:t>
      </w:r>
    </w:p>
    <w:p>
      <w:pPr>
        <w:pStyle w:val="Normal"/>
        <w:keepNext w:val="true"/>
        <w:spacing w:before="160" w:after="80"/>
        <w:rPr/>
      </w:pPr>
      <w:r>
        <w:rPr>
          <w:b/>
          <w:bCs/>
          <w:color w:val="1F5135"/>
          <w:sz w:val="20"/>
          <w:szCs w:val="20"/>
        </w:rPr>
        <w:t xml:space="preserve">Table 8: </w:t>
      </w:r>
      <w:r>
        <w:rPr>
          <w:i/>
          <w:iCs/>
          <w:sz w:val="20"/>
          <w:szCs w:val="20"/>
        </w:rPr>
        <w:t>DFIs, foundations and impact investors with aligned mandates — Angola</w:t>
      </w:r>
    </w:p>
    <w:tbl>
      <w:tblPr>
        <w:tblW w:w="9026" w:type="dxa"/>
        <w:jc w:val="left"/>
        <w:tblInd w:w="0" w:type="dxa"/>
        <w:tblLayout w:type="fixed"/>
        <w:tblCellMar>
          <w:top w:w="60" w:type="dxa"/>
          <w:left w:w="100" w:type="dxa"/>
          <w:bottom w:w="60" w:type="dxa"/>
          <w:right w:w="100" w:type="dxa"/>
        </w:tblCellMar>
      </w:tblPr>
      <w:tblGrid>
        <w:gridCol w:w="2600"/>
        <w:gridCol w:w="3200"/>
        <w:gridCol w:w="3226"/>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Organisation</w:t>
            </w:r>
          </w:p>
        </w:tc>
        <w:tc>
          <w:tcPr>
            <w:tcW w:w="32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Mandate / activity</w:t>
            </w:r>
          </w:p>
        </w:tc>
        <w:tc>
          <w:tcPr>
            <w:tcW w:w="32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Alignment with R-NBT MSME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African Development Bank</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Diversification, agriculture, women’s finance</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Lines of credit to BDA/banks; AFAWA for women-led MSMEs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World Bank / IFC</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Economic diversification, financial inclusion; IFC bank partnerships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Financial inclusion and MSME access-to-finance operations; IFC risk-sharing</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European Union / EIB</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Global Gateway (Lobito Corridor), green transition</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Blended finance and guarantees; replicable for the south-east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AFD / Proparco</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Agriculture, SME finance</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Credit lines and guarantees through banks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KfW / GIZ (BMZ)</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KAZA support, biodiversity, private-sector development</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 and TA for MSME readiness, blended pilots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The HALO Trust; National Geographic Society; Wild Bird Trust</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Demining; conservation research; community engagement</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Grant-funded community enterprise and expedition tourism linkages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Afreximbank; DBSA</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Trade, export and infrastructure finance</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Indirect; enabling infrastructure and lines to banks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FACRA; FSDEA</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Domestic venture capital and sovereign wealth fund</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Potential co-investment in larger lodge or hub projects</w:t>
            </w:r>
          </w:p>
        </w:tc>
      </w:tr>
    </w:tbl>
    <w:p>
      <w:pPr>
        <w:pStyle w:val="Normal"/>
        <w:spacing w:before="0" w:after="120"/>
        <w:rPr/>
      </w:pPr>
      <w:r>
        <w:rPr/>
      </w:r>
    </w:p>
    <w:p>
      <w:pPr>
        <w:pStyle w:val="Heading2"/>
        <w:rPr/>
      </w:pPr>
      <w:bookmarkStart w:id="19" w:name="__RefHeading___Toc4721_309009763"/>
      <w:bookmarkEnd w:id="19"/>
      <w:r>
        <w:rPr/>
        <w:t>3.9 Existing Guarantee Schemes, Revolving Funds and Other Mechanisms</w:t>
      </w:r>
    </w:p>
    <w:p>
      <w:pPr>
        <w:pStyle w:val="Normal"/>
        <w:keepNext w:val="true"/>
        <w:spacing w:before="160" w:after="80"/>
        <w:rPr/>
      </w:pPr>
      <w:r>
        <w:rPr>
          <w:b/>
          <w:bCs/>
          <w:color w:val="1F5135"/>
          <w:sz w:val="20"/>
          <w:szCs w:val="20"/>
        </w:rPr>
        <w:t xml:space="preserve">Table 9: </w:t>
      </w:r>
      <w:r>
        <w:rPr>
          <w:i/>
          <w:iCs/>
          <w:sz w:val="20"/>
          <w:szCs w:val="20"/>
        </w:rPr>
        <w:t>Mechanisms to strengthen or replicate — Angola</w:t>
      </w:r>
    </w:p>
    <w:tbl>
      <w:tblPr>
        <w:tblW w:w="9026" w:type="dxa"/>
        <w:jc w:val="left"/>
        <w:tblInd w:w="0" w:type="dxa"/>
        <w:tblLayout w:type="fixed"/>
        <w:tblCellMar>
          <w:top w:w="60" w:type="dxa"/>
          <w:left w:w="100" w:type="dxa"/>
          <w:bottom w:w="60" w:type="dxa"/>
          <w:right w:w="100" w:type="dxa"/>
        </w:tblCellMar>
      </w:tblPr>
      <w:tblGrid>
        <w:gridCol w:w="2400"/>
        <w:gridCol w:w="3299"/>
        <w:gridCol w:w="3327"/>
      </w:tblGrid>
      <w:tr>
        <w:trPr>
          <w:tblHeader w:val="true"/>
        </w:trPr>
        <w:tc>
          <w:tcPr>
            <w:tcW w:w="24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Mechanism</w:t>
            </w:r>
          </w:p>
        </w:tc>
        <w:tc>
          <w:tcPr>
            <w:tcW w:w="32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Status</w:t>
            </w:r>
          </w:p>
        </w:tc>
        <w:tc>
          <w:tcPr>
            <w:tcW w:w="3327"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Strengthen / replicate</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Fundo de Garantia de Crédito (FGC)</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since 2012; reported 495 guarantees worth Kz 139.8bn; planned expansion of more than Kz 300bn over five years; regional ‘Diversifica Mais’ USD 80m line for the Lobito Corridor</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Create a KAZA/tourism window for Cuando and Cubango with simplified eligibility and seasonal repayment</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PRODESI credit lines (with Aviso 10/2022)</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agriculture and trade dominate in the province</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Clarify eligibility for tourism supply-chain MSMEs (food, transport, crafts)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KixiCrédito group lending</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nationally</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Extend to Menongue/Cuito Cuanavale with tourism-oriented products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Kixikila and VSLAs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Widespread informal practice</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Formalise and link to MFIs/banks; use as savings base for community tourism</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benefit-sharing from conservation areas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Not yet established at scale</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Design community funds (lessons from Namibia CBNRM) to later capitalise revolving funds</w:t>
            </w:r>
          </w:p>
        </w:tc>
      </w:tr>
    </w:tbl>
    <w:p>
      <w:pPr>
        <w:pStyle w:val="Normal"/>
        <w:spacing w:before="0" w:after="120"/>
        <w:rPr/>
      </w:pPr>
      <w:r>
        <w:rPr/>
      </w:r>
    </w:p>
    <w:p>
      <w:pPr>
        <w:pStyle w:val="Normal"/>
        <w:pBdr>
          <w:left w:val="single" w:sz="24" w:space="8" w:color="C8A951"/>
        </w:pBdr>
        <w:shd w:val="clear" w:color="auto" w:fill="E8F0EA"/>
        <w:spacing w:before="160" w:after="200"/>
        <w:ind w:left="200" w:right="200"/>
        <w:rPr/>
      </w:pPr>
      <w:r>
        <w:rPr>
          <w:i/>
          <w:iCs/>
          <w:sz w:val="21"/>
          <w:szCs w:val="21"/>
        </w:rPr>
        <w:t>Angola priority: readiness first — grants and technical assistance for business formalisation and product development, coupled with a FGC-backed guarantee window and micro/asset finance for transport, boats and solar.</w:t>
      </w:r>
      <w:r>
        <w:br w:type="page"/>
      </w:r>
    </w:p>
    <w:p>
      <w:pPr>
        <w:pStyle w:val="Heading1"/>
        <w:spacing w:before="0" w:after="240"/>
        <w:rPr/>
      </w:pPr>
      <w:bookmarkStart w:id="20" w:name="__RefHeading___Toc4723_309009763"/>
      <w:bookmarkEnd w:id="20"/>
      <w:r>
        <w:rPr/>
        <w:t>4. Botswana</w:t>
      </w:r>
    </w:p>
    <w:p>
      <w:pPr>
        <w:pStyle w:val="Heading2"/>
        <w:rPr/>
      </w:pPr>
      <w:bookmarkStart w:id="21" w:name="__RefHeading___Toc4725_309009763"/>
      <w:bookmarkEnd w:id="21"/>
      <w:r>
        <w:rPr/>
        <w:t>4.1 Country Context: The Botswana KAZA Component</w:t>
      </w:r>
    </w:p>
    <w:p>
      <w:pPr>
        <w:pStyle w:val="Normal"/>
        <w:jc w:val="both"/>
        <w:rPr/>
      </w:pPr>
      <w:r>
        <w:rPr/>
        <w:t>Botswana’s KAZA component covers the Chobe District and much of Ngamiland (North-West District): Chobe National Park, Moremi Game Reserve, the Okavango Delta World Heritage Site, the Linyanti–Kwando–Selinda system and the Makgadikgadi and Nxai Pans. Kasane (home of the KAZA Secretariat) and Maun are the principal tourism hubs. Botswana pursues a ‘high-value, low-volume’ tourism policy, under which state and community land is allocated as tourism concessions in Wildlife Management Areas (WMAs) and Controlled Hunting Areas.</w:t>
      </w:r>
    </w:p>
    <w:p>
      <w:pPr>
        <w:pStyle w:val="Normal"/>
        <w:jc w:val="both"/>
        <w:rPr/>
      </w:pPr>
      <w:r>
        <w:rPr/>
        <w:t>The sector is dominated by internationally connected high-end operators, while citizen ownership remains comparatively low — a long-standing policy concern addressed through citizen-reserved tourism activities, CEDA finance and supplier-development initiatives. Community Trusts formed under the CBNRM Policy hold head leases over community concessions and sub-lease them to private operators. Since 2024, the slump in diamond revenues has placed severe pressure on public finances, affecting the liquidity of public financiers, and has sharpened the policy focus on tourism as a diversification pillar.</w:t>
      </w:r>
    </w:p>
    <w:p>
      <w:pPr>
        <w:pStyle w:val="Heading2"/>
        <w:rPr/>
      </w:pPr>
      <w:bookmarkStart w:id="22" w:name="__RefHeading___Toc4727_309009763"/>
      <w:bookmarkEnd w:id="22"/>
      <w:r>
        <w:rPr/>
        <w:t>4.2 Mapping of Financial Actors and Adaptable Products</w:t>
      </w:r>
    </w:p>
    <w:p>
      <w:pPr>
        <w:pStyle w:val="Normal"/>
        <w:keepNext w:val="true"/>
        <w:spacing w:before="160" w:after="80"/>
        <w:rPr/>
      </w:pPr>
      <w:r>
        <w:rPr>
          <w:b/>
          <w:bCs/>
          <w:color w:val="1F5135"/>
          <w:sz w:val="20"/>
          <w:szCs w:val="20"/>
        </w:rPr>
        <w:t xml:space="preserve">Table 10: </w:t>
      </w:r>
      <w:r>
        <w:rPr>
          <w:i/>
          <w:iCs/>
          <w:sz w:val="20"/>
          <w:szCs w:val="20"/>
        </w:rPr>
        <w:t>Financial actors in Botswana and products adaptable for R-NBT MSMEs</w:t>
      </w:r>
    </w:p>
    <w:tbl>
      <w:tblPr>
        <w:tblW w:w="9026" w:type="dxa"/>
        <w:jc w:val="left"/>
        <w:tblInd w:w="0" w:type="dxa"/>
        <w:tblLayout w:type="fixed"/>
        <w:tblCellMar>
          <w:top w:w="60" w:type="dxa"/>
          <w:left w:w="100" w:type="dxa"/>
          <w:bottom w:w="60" w:type="dxa"/>
          <w:right w:w="100" w:type="dxa"/>
        </w:tblCellMar>
      </w:tblPr>
      <w:tblGrid>
        <w:gridCol w:w="1698"/>
        <w:gridCol w:w="3302"/>
        <w:gridCol w:w="4026"/>
      </w:tblGrid>
      <w:tr>
        <w:trPr>
          <w:tblHeader w:val="true"/>
        </w:trPr>
        <w:tc>
          <w:tcPr>
            <w:tcW w:w="16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Category</w:t>
            </w:r>
          </w:p>
        </w:tc>
        <w:tc>
          <w:tcPr>
            <w:tcW w:w="3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Key actors</w:t>
            </w:r>
          </w:p>
        </w:tc>
        <w:tc>
          <w:tcPr>
            <w:tcW w:w="40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Products adaptable for R-NBT MSMEs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Commercial banks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First National Bank Botswana, Absa Bank Botswana, Stanbic Bank Botswana, Standard Chartered Botswana, Access Bank Botswana, Bank Gaborone, BBS Bank, First Capital Bank, BancABC; Botswana Savings Bank (state)</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 term loans, overdrafts, vehicle and asset finance (strong in Maun and Kasane), contract-backed supplier finance (Stanbic), sustainability-linked loans, merchant and digital payments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finance institutions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Citizen Entrepreneurial Development Agency (CEDA); National Development Bank (NDB); Botswana Development Corporation (BDC); Youth Development Fund (YDF)</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CEDA term loans and Mabogo Dinku micro-finance for citizens; CEDA Venture Capital for JVs; NDB commercial and tourism loans; BDC equity; YDF grant-loan packages for youth</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Microfinance and NBFIs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Letshego, Bayport, Women’s Finance House Botswana and numerous microlenders (regulated by NBFIRA)</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Small business loans; however much microlending is payroll-based consumer credit</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 groups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Motshelo (rotating savings), burial societies, NGO-promoted VSLAs</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 mobilisation; group guarantee and linkage potential, especially for women</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Fintech and digital finance</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Orange Money, MyZaka (Mascom), Smega (BTC), bank wallets; Bank of Botswana regulatory sandbox; Virtual Assets Act 2022</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Digital payments for guides and crafters; transaction data for scoring</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Blended finance / conservation finance</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Stanbic-led conservation and sustainability-linked financing with Wilderness (2023–2024); Wilderness–Stanbic supplier finance MoU (2025); National Environmental Fund (NEF); UNDP-GEF and BIOFIN</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Contract-backed MSME finance; grants to community-based organisations; green finance precedents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Community-based mechanisms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CBNRM Community Trusts (e.g. Okavango Community Trust, Khwai Development Trust, Mababe Zokotsama, Sankuyo Tshwaragano, Chobe Enclave Conservation Trust, Okavango Kopano Mokoro Community Trust)</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Lease and JV revenues that can capitalise community enterprise or revolving funds</w:t>
            </w:r>
          </w:p>
        </w:tc>
      </w:tr>
    </w:tbl>
    <w:p>
      <w:pPr>
        <w:pStyle w:val="Normal"/>
        <w:spacing w:before="0" w:after="120"/>
        <w:rPr/>
      </w:pPr>
      <w:r>
        <w:rPr/>
      </w:r>
    </w:p>
    <w:p>
      <w:pPr>
        <w:pStyle w:val="Heading2"/>
        <w:rPr/>
      </w:pPr>
      <w:bookmarkStart w:id="23" w:name="__RefHeading___Toc4729_309009763"/>
      <w:bookmarkEnd w:id="23"/>
      <w:r>
        <w:rPr/>
        <w:t>4.3 Business Support Organisations and Stakeholders</w:t>
      </w:r>
    </w:p>
    <w:p>
      <w:pPr>
        <w:pStyle w:val="Normal"/>
        <w:keepNext w:val="true"/>
        <w:spacing w:before="160" w:after="80"/>
        <w:rPr/>
      </w:pPr>
      <w:r>
        <w:rPr>
          <w:b/>
          <w:bCs/>
          <w:color w:val="1F5135"/>
          <w:sz w:val="20"/>
          <w:szCs w:val="20"/>
        </w:rPr>
        <w:t xml:space="preserve">Table 11: </w:t>
      </w:r>
      <w:r>
        <w:rPr>
          <w:i/>
          <w:iCs/>
          <w:sz w:val="20"/>
          <w:szCs w:val="20"/>
        </w:rPr>
        <w:t>BSOs and stakeholders for nature-based tourism in Botswana’s KAZA corridor</w:t>
      </w:r>
    </w:p>
    <w:tbl>
      <w:tblPr>
        <w:tblW w:w="9026" w:type="dxa"/>
        <w:jc w:val="left"/>
        <w:tblInd w:w="0" w:type="dxa"/>
        <w:tblLayout w:type="fixed"/>
        <w:tblCellMar>
          <w:top w:w="60" w:type="dxa"/>
          <w:left w:w="100" w:type="dxa"/>
          <w:bottom w:w="60" w:type="dxa"/>
          <w:right w:w="100" w:type="dxa"/>
        </w:tblCellMar>
      </w:tblPr>
      <w:tblGrid>
        <w:gridCol w:w="2600"/>
        <w:gridCol w:w="2598"/>
        <w:gridCol w:w="3828"/>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Organisation</w:t>
            </w:r>
          </w:p>
        </w:tc>
        <w:tc>
          <w:tcPr>
            <w:tcW w:w="25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Type</w:t>
            </w:r>
          </w:p>
        </w:tc>
        <w:tc>
          <w:tcPr>
            <w:tcW w:w="38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Role and relevance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Ministry of Environment and Tourism; Department of Tourism; Department of Wildlife and National Parks (DWNP)</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Government</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policy, licensing, concessions, parks management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 Tourism Organisation (BTO)</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Parastatal</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Grading and licensing support, product development, marketing, citizen tourism development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Enterprise Authority (LEA)</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Public BSO (Small Business Act)</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development, mentoring, supplier-readiness; MoU with Wilderness (July 2026) to bring citizen businesses into supply chains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CEDA mentoring and BITC</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Public finance / investment promotion</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Post-loan mentoring; investor facilitation for tourism JVs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Hospitality and Tourism Association of Botswana (HATAB)</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Industry association</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Sector advocacy; partnership with Stanbic Bank Botswana to advance tourism</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 Guides Association and mokoro polers’ trusts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Professional associations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Guide training and certification; mokoro enterprise representation</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 Community Based Organisations Network (BOCOBONET)</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CBO network</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Representation and capacity building of Community Trusts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Women in Business Association (WIBA)</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association</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Women entrepreneurs; supplier-development engagement with lodge operators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Kasane and Maun land boards, district councils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government</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Land allocation, trading licences, local economic development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KAZA Secretariat (Kasane)</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Regional</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Transboundary tourism coordination; Univisa</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Okavango Research Institute (University of Botswana, Maun); BUAN</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Academic</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Research, monitoring, skills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NGOs: Kalahari Conservation Society, Elephants Without Borders, BirdLife Botswana, Conservation International, TNC, WWF, Wilderness Trust / Children in the Wilderness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Conservation and community NGOs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enterprise, human–wildlife conflict mitigation, conservation-linked finance</w:t>
            </w:r>
          </w:p>
        </w:tc>
      </w:tr>
    </w:tbl>
    <w:p>
      <w:pPr>
        <w:pStyle w:val="Normal"/>
        <w:spacing w:before="0" w:after="120"/>
        <w:rPr/>
      </w:pPr>
      <w:r>
        <w:rPr/>
      </w:r>
    </w:p>
    <w:p>
      <w:pPr>
        <w:pStyle w:val="Heading2"/>
        <w:rPr/>
      </w:pPr>
      <w:bookmarkStart w:id="24" w:name="__RefHeading___Toc4731_309009763"/>
      <w:bookmarkEnd w:id="24"/>
      <w:r>
        <w:rPr/>
        <w:t>4.4 Analysis of Available Financial Products</w:t>
      </w:r>
    </w:p>
    <w:p>
      <w:pPr>
        <w:pStyle w:val="Normal"/>
        <w:jc w:val="both"/>
        <w:rPr/>
      </w:pPr>
      <w:r>
        <w:rPr/>
        <w:t>Botswana has the widest range of financial products of the five states and the strongest public commitment to citizen enterprise finance. CEDA is the most important source of term finance for citizen tourism MSMEs; reported cases include hotels started with CEDA loans and supported by LEA in record keeping. However, CEDA and LEA requirements, processing times and liquidity constraints during the current fiscal squeeze, together with commercial bank collateral requirements, limit effective access for rural MSMEs in Ngamiland and Chobe. The 2025 Wilderness–Stanbic arrangement, giving nominated local suppliers access to commercial funding on the strength of their procurement contracts, is an important innovation that directly addresses collateral constraints.</w:t>
      </w:r>
    </w:p>
    <w:p>
      <w:pPr>
        <w:pStyle w:val="Normal"/>
        <w:keepNext w:val="true"/>
        <w:spacing w:before="160" w:after="80"/>
        <w:rPr/>
      </w:pPr>
      <w:r>
        <w:rPr>
          <w:b/>
          <w:bCs/>
          <w:color w:val="1F5135"/>
          <w:sz w:val="20"/>
          <w:szCs w:val="20"/>
        </w:rPr>
        <w:t xml:space="preserve">Table 12: </w:t>
      </w:r>
      <w:r>
        <w:rPr>
          <w:i/>
          <w:iCs/>
          <w:sz w:val="20"/>
          <w:szCs w:val="20"/>
        </w:rPr>
        <w:t>Accessibility and relevance of financial products — Botswana</w:t>
      </w:r>
    </w:p>
    <w:tbl>
      <w:tblPr>
        <w:tblW w:w="9026" w:type="dxa"/>
        <w:jc w:val="left"/>
        <w:tblInd w:w="0" w:type="dxa"/>
        <w:tblLayout w:type="fixed"/>
        <w:tblCellMar>
          <w:top w:w="60" w:type="dxa"/>
          <w:left w:w="100" w:type="dxa"/>
          <w:bottom w:w="60" w:type="dxa"/>
          <w:right w:w="100" w:type="dxa"/>
        </w:tblCellMar>
      </w:tblPr>
      <w:tblGrid>
        <w:gridCol w:w="1698"/>
        <w:gridCol w:w="2601"/>
        <w:gridCol w:w="1299"/>
        <w:gridCol w:w="1302"/>
        <w:gridCol w:w="2126"/>
      </w:tblGrid>
      <w:tr>
        <w:trPr>
          <w:tblHeader w:val="true"/>
        </w:trPr>
        <w:tc>
          <w:tcPr>
            <w:tcW w:w="16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Product</w:t>
            </w:r>
          </w:p>
        </w:tc>
        <w:tc>
          <w:tcPr>
            <w:tcW w:w="26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Main providers</w:t>
            </w:r>
          </w:p>
        </w:tc>
        <w:tc>
          <w:tcPr>
            <w:tcW w:w="12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Access</w:t>
            </w:r>
          </w:p>
        </w:tc>
        <w:tc>
          <w:tcPr>
            <w:tcW w:w="1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Relevance</w:t>
            </w:r>
          </w:p>
        </w:tc>
        <w:tc>
          <w:tcPr>
            <w:tcW w:w="21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Comment</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Term loans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CEDA, NDB, banks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Citizen-only public finance; banks require collateral; concession land not mortgageable</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Working capital</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Banks, CEDA, microlenders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Overdrafts available to established firms; seasonal repayment rarely offered</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Contract / supplier finance</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Stanbic (Wilderness model)</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(nominated suppliers)</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Replicable with other operators and banks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Micro-loans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CEDA Mabogo Dinku, Letshego, WFHB</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Suited to crafts, small services and food supply</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Guarantees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No operational national SME guarantee scheme identified</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Key gap; regional guarantors (AGF) could fill</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NEF, YDF, donor and NGO programmes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NEF supports CBO projects; YDF for youth</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Revolving funds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Trust funds; NGO funds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Governance variable; potential for structured community funds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Leasing / asset finance</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 vehicle and asset finance units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Vehicles, boats and solar widely financed for formal businesses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Equity</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BDC, CEDA Venture Capital, private investors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JV equity for citizen participation in larger lodges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finance</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Stanbic sustainability-linked/conservation loans; BSE sustainable bond framework</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 (MSMEs)</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Precedents at corporate level; MSME green lines not yet established</w:t>
            </w:r>
          </w:p>
        </w:tc>
      </w:tr>
    </w:tbl>
    <w:p>
      <w:pPr>
        <w:pStyle w:val="Normal"/>
        <w:spacing w:before="0" w:after="120"/>
        <w:rPr/>
      </w:pPr>
      <w:r>
        <w:rPr/>
      </w:r>
    </w:p>
    <w:p>
      <w:pPr>
        <w:pStyle w:val="Heading2"/>
        <w:rPr/>
      </w:pPr>
      <w:bookmarkStart w:id="25" w:name="__RefHeading___Toc4733_309009763"/>
      <w:bookmarkEnd w:id="25"/>
      <w:r>
        <w:rPr/>
        <w:t>4.5 Regulatory and Policy Environment</w:t>
      </w:r>
    </w:p>
    <w:p>
      <w:pPr>
        <w:pStyle w:val="Heading3"/>
        <w:rPr/>
      </w:pPr>
      <w:r>
        <w:rPr/>
        <w:t>Key Frameworks</w:t>
      </w:r>
    </w:p>
    <w:p>
      <w:pPr>
        <w:pStyle w:val="ListParagraph"/>
        <w:numPr>
          <w:ilvl w:val="0"/>
          <w:numId w:val="44"/>
        </w:numPr>
        <w:rPr/>
      </w:pPr>
      <w:r>
        <w:rPr/>
        <w:t>Tourism: Tourism Act (2009) and Tourism Regulations (licensing, categories reserved for citizens), National Tourism Policy, Tourism Development Levy on visitors (introduced 2017).</w:t>
      </w:r>
    </w:p>
    <w:p>
      <w:pPr>
        <w:pStyle w:val="ListParagraph"/>
        <w:numPr>
          <w:ilvl w:val="0"/>
          <w:numId w:val="45"/>
        </w:numPr>
        <w:rPr/>
      </w:pPr>
      <w:r>
        <w:rPr/>
        <w:t>Conservation and land: Wildlife Conservation and National Parks Act, Wildlife Conservation Policy (2013), CBNRM Policy (2007), Tribal Land Act and Land Policy (2015); concession allocation through land boards and DWNP.</w:t>
      </w:r>
    </w:p>
    <w:p>
      <w:pPr>
        <w:pStyle w:val="ListParagraph"/>
        <w:numPr>
          <w:ilvl w:val="0"/>
          <w:numId w:val="46"/>
        </w:numPr>
        <w:rPr/>
      </w:pPr>
      <w:r>
        <w:rPr/>
        <w:t>Economic empowerment: Citizen Economic Empowerment Policy and related legislation; Small Business Act establishing LEA; CEDA mandate.</w:t>
      </w:r>
    </w:p>
    <w:p>
      <w:pPr>
        <w:pStyle w:val="ListParagraph"/>
        <w:numPr>
          <w:ilvl w:val="0"/>
          <w:numId w:val="47"/>
        </w:numPr>
        <w:rPr/>
      </w:pPr>
      <w:r>
        <w:rPr/>
        <w:t>Finance: Banking Act, NBFIRA Act (2016), Payment Systems Act, Virtual Assets Act (2022); movable property security interest reforms and collateral registry; Bank of Botswana sandbox.</w:t>
      </w:r>
    </w:p>
    <w:p>
      <w:pPr>
        <w:pStyle w:val="Heading3"/>
        <w:rPr/>
      </w:pPr>
      <w:r>
        <w:rPr/>
        <w:t>Barriers</w:t>
      </w:r>
    </w:p>
    <w:p>
      <w:pPr>
        <w:pStyle w:val="ListParagraph"/>
        <w:numPr>
          <w:ilvl w:val="0"/>
          <w:numId w:val="48"/>
        </w:numPr>
        <w:rPr/>
      </w:pPr>
      <w:r>
        <w:rPr/>
        <w:t>Concessions and tribal land leases are not readily bankable collateral; lease tenures may be shorter than loan horizons.</w:t>
      </w:r>
    </w:p>
    <w:p>
      <w:pPr>
        <w:pStyle w:val="ListParagraph"/>
        <w:numPr>
          <w:ilvl w:val="0"/>
          <w:numId w:val="49"/>
        </w:numPr>
        <w:rPr/>
      </w:pPr>
      <w:r>
        <w:rPr/>
        <w:t>High capital requirements for upmarket products crowd out citizen entrants; small citizen operators face high licensing and compliance costs.</w:t>
      </w:r>
    </w:p>
    <w:p>
      <w:pPr>
        <w:pStyle w:val="ListParagraph"/>
        <w:numPr>
          <w:ilvl w:val="0"/>
          <w:numId w:val="50"/>
        </w:numPr>
        <w:rPr/>
      </w:pPr>
      <w:r>
        <w:rPr/>
        <w:t>No operational national credit guarantee scheme for MSMEs.</w:t>
      </w:r>
    </w:p>
    <w:p>
      <w:pPr>
        <w:pStyle w:val="ListParagraph"/>
        <w:numPr>
          <w:ilvl w:val="0"/>
          <w:numId w:val="51"/>
        </w:numPr>
        <w:rPr/>
      </w:pPr>
      <w:r>
        <w:rPr/>
        <w:t>Public financier liquidity constraints and delays in a period of fiscal stress.</w:t>
      </w:r>
    </w:p>
    <w:p>
      <w:pPr>
        <w:pStyle w:val="ListParagraph"/>
        <w:numPr>
          <w:ilvl w:val="0"/>
          <w:numId w:val="52"/>
        </w:numPr>
        <w:rPr/>
      </w:pPr>
      <w:r>
        <w:rPr/>
        <w:t>Concentration of procurement in Gaborone- or South Africa-based suppliers limits local MSME linkages.</w:t>
      </w:r>
    </w:p>
    <w:p>
      <w:pPr>
        <w:pStyle w:val="ListParagraph"/>
        <w:numPr>
          <w:ilvl w:val="0"/>
          <w:numId w:val="53"/>
        </w:numPr>
        <w:rPr/>
      </w:pPr>
      <w:r>
        <w:rPr/>
        <w:t>Human–wildlife conflict and drought affect rural livelihoods and enterprise viability.</w:t>
      </w:r>
    </w:p>
    <w:p>
      <w:pPr>
        <w:pStyle w:val="Heading3"/>
        <w:rPr/>
      </w:pPr>
      <w:r>
        <w:rPr/>
        <w:t>Enablers</w:t>
      </w:r>
    </w:p>
    <w:p>
      <w:pPr>
        <w:pStyle w:val="ListParagraph"/>
        <w:numPr>
          <w:ilvl w:val="0"/>
          <w:numId w:val="54"/>
        </w:numPr>
        <w:rPr/>
      </w:pPr>
      <w:r>
        <w:rPr/>
        <w:t>Macroeconomic and banking-sector stability relative to the region; Pula peg basket.</w:t>
      </w:r>
    </w:p>
    <w:p>
      <w:pPr>
        <w:pStyle w:val="ListParagraph"/>
        <w:numPr>
          <w:ilvl w:val="0"/>
          <w:numId w:val="55"/>
        </w:numPr>
        <w:rPr/>
      </w:pPr>
      <w:r>
        <w:rPr/>
        <w:t>Strong citizen-empowerment policy mandate and dedicated institutions (CEDA, LEA, YDF).</w:t>
      </w:r>
    </w:p>
    <w:p>
      <w:pPr>
        <w:pStyle w:val="ListParagraph"/>
        <w:numPr>
          <w:ilvl w:val="0"/>
          <w:numId w:val="56"/>
        </w:numPr>
        <w:rPr/>
      </w:pPr>
      <w:r>
        <w:rPr/>
        <w:t>Mature CBNRM structures with revenue-generating Community Trusts.</w:t>
      </w:r>
    </w:p>
    <w:p>
      <w:pPr>
        <w:pStyle w:val="ListParagraph"/>
        <w:numPr>
          <w:ilvl w:val="0"/>
          <w:numId w:val="57"/>
        </w:numPr>
        <w:rPr/>
      </w:pPr>
      <w:r>
        <w:rPr/>
        <w:t>Private-sector leadership on supplier development (Wilderness–Stanbic, Wilderness–LEA) and conservation finance.</w:t>
      </w:r>
    </w:p>
    <w:p>
      <w:pPr>
        <w:pStyle w:val="ListParagraph"/>
        <w:numPr>
          <w:ilvl w:val="0"/>
          <w:numId w:val="58"/>
        </w:numPr>
        <w:rPr/>
      </w:pPr>
      <w:r>
        <w:rPr/>
        <w:t>Hosting of the KAZA Secretariat and commitment to adopt the Univisa.</w:t>
      </w:r>
    </w:p>
    <w:p>
      <w:pPr>
        <w:pStyle w:val="Heading3"/>
        <w:rPr/>
      </w:pPr>
      <w:r>
        <w:rPr/>
        <w:t>Harmonisation Opportunities</w:t>
      </w:r>
    </w:p>
    <w:p>
      <w:pPr>
        <w:pStyle w:val="ListParagraph"/>
        <w:numPr>
          <w:ilvl w:val="0"/>
          <w:numId w:val="59"/>
        </w:numPr>
        <w:rPr/>
      </w:pPr>
      <w:r>
        <w:rPr/>
        <w:t>Full adoption of the KAZA Univisa and simplified Kazungula/Ngoma crossings for multi-country itineraries.</w:t>
      </w:r>
    </w:p>
    <w:p>
      <w:pPr>
        <w:pStyle w:val="ListParagraph"/>
        <w:numPr>
          <w:ilvl w:val="0"/>
          <w:numId w:val="60"/>
        </w:numPr>
        <w:rPr/>
      </w:pPr>
      <w:r>
        <w:rPr/>
        <w:t>Mutual recognition of guide qualifications and grading standards with Namibia, Zambia and Zimbabwe.</w:t>
      </w:r>
    </w:p>
    <w:p>
      <w:pPr>
        <w:pStyle w:val="ListParagraph"/>
        <w:numPr>
          <w:ilvl w:val="0"/>
          <w:numId w:val="61"/>
        </w:numPr>
        <w:rPr/>
      </w:pPr>
      <w:r>
        <w:rPr/>
        <w:t>A KAZA-wide model contract and data standard for supplier finance, enabling banks across states to use the same approach.</w:t>
      </w:r>
    </w:p>
    <w:p>
      <w:pPr>
        <w:pStyle w:val="ListParagraph"/>
        <w:numPr>
          <w:ilvl w:val="0"/>
          <w:numId w:val="62"/>
        </w:numPr>
        <w:rPr/>
      </w:pPr>
      <w:r>
        <w:rPr/>
        <w:t>Alignment of community benefit-sharing and Community Trust governance standards with Namibia’s conservancy framework.</w:t>
      </w:r>
    </w:p>
    <w:p>
      <w:pPr>
        <w:pStyle w:val="Heading2"/>
        <w:rPr/>
      </w:pPr>
      <w:bookmarkStart w:id="26" w:name="__RefHeading___Toc4735_309009763"/>
      <w:bookmarkEnd w:id="26"/>
      <w:r>
        <w:rPr/>
        <w:t>4.6 Large Tourism Companies, Investors, DMCs and Lodge Chains</w:t>
      </w:r>
    </w:p>
    <w:p>
      <w:pPr>
        <w:pStyle w:val="Normal"/>
        <w:keepNext w:val="true"/>
        <w:spacing w:before="160" w:after="80"/>
        <w:rPr/>
      </w:pPr>
      <w:r>
        <w:rPr>
          <w:b/>
          <w:bCs/>
          <w:color w:val="1F5135"/>
          <w:sz w:val="20"/>
          <w:szCs w:val="20"/>
        </w:rPr>
        <w:t xml:space="preserve">Table 13: </w:t>
      </w:r>
      <w:r>
        <w:rPr>
          <w:i/>
          <w:iCs/>
          <w:sz w:val="20"/>
          <w:szCs w:val="20"/>
        </w:rPr>
        <w:t>Potential private-sector partners — Botswana</w:t>
      </w:r>
    </w:p>
    <w:tbl>
      <w:tblPr>
        <w:tblW w:w="9026" w:type="dxa"/>
        <w:jc w:val="left"/>
        <w:tblInd w:w="0" w:type="dxa"/>
        <w:tblLayout w:type="fixed"/>
        <w:tblCellMar>
          <w:top w:w="60" w:type="dxa"/>
          <w:left w:w="100" w:type="dxa"/>
          <w:bottom w:w="60" w:type="dxa"/>
          <w:right w:w="100" w:type="dxa"/>
        </w:tblCellMar>
      </w:tblPr>
      <w:tblGrid>
        <w:gridCol w:w="2600"/>
        <w:gridCol w:w="2998"/>
        <w:gridCol w:w="3428"/>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Company / investor</w:t>
            </w:r>
          </w:p>
        </w:tc>
        <w:tc>
          <w:tcPr>
            <w:tcW w:w="29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Footprint in KAZA corridor</w:t>
            </w:r>
          </w:p>
        </w:tc>
        <w:tc>
          <w:tcPr>
            <w:tcW w:w="34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Partnership potential for MSME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Wilderness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Camps in the Okavango Delta and Linyanti; Wilderness Air</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Proven supplier finance model with Stanbic and supplier-readiness MoU with LEA; strongest anchor candidate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Chobe Holdings / Desert &amp; Delta Safaris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Chobe Game Lodge, Okavango and Moremi camps; BSE-listed</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procurement and citizen supplier programmes; listed-company ESG reporting</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&amp;Beyond; Natural Selection; Great Plains Conservation; Belmond; Sanctuary Retreats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High-end lodges in Okavango, Linyanti, Chobe and Makgadikgadi</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Offtake contracts with local suppliers; community JV partnerships; foundation co-funding</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Kwando Safaris; Machaba Camps; African Bush Camps; Ker &amp; Downey Botswana; Okavango Wilderness Safaris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Delta, Kwando and Moremi camps; ground handling</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Supplier and service contracts (transport, maintenance, laundry, food)</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Cresta Hospitality; Chobe Safari Lodge and Kasane hotels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Hotels in Kasane and Maun</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Food and services procurement; hosting enterprise training</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Air charter operators (e.g. Mack Air, Moremi Air, Wilderness Air)</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Maun-based light aircraft operations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Procurement of ground services; potential supply-chain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Investors: BDC, Botswana pension fund managers and local private equity</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Domestic capital pools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Co-investment in citizen JV lodges; anchor for a tourism SME fund</w:t>
            </w:r>
          </w:p>
        </w:tc>
      </w:tr>
    </w:tbl>
    <w:p>
      <w:pPr>
        <w:pStyle w:val="Normal"/>
        <w:spacing w:before="0" w:after="120"/>
        <w:rPr/>
      </w:pPr>
      <w:r>
        <w:rPr/>
      </w:r>
    </w:p>
    <w:p>
      <w:pPr>
        <w:pStyle w:val="Heading2"/>
        <w:rPr/>
      </w:pPr>
      <w:bookmarkStart w:id="27" w:name="__RefHeading___Toc4737_309009763"/>
      <w:bookmarkEnd w:id="27"/>
      <w:r>
        <w:rPr/>
        <w:t>4.7 Assessment of Potential Partner Financial Institutions</w:t>
      </w:r>
    </w:p>
    <w:p>
      <w:pPr>
        <w:pStyle w:val="Normal"/>
        <w:keepNext w:val="true"/>
        <w:spacing w:before="160" w:after="80"/>
        <w:rPr/>
      </w:pPr>
      <w:r>
        <w:rPr>
          <w:b/>
          <w:bCs/>
          <w:color w:val="1F5135"/>
          <w:sz w:val="20"/>
          <w:szCs w:val="20"/>
        </w:rPr>
        <w:t xml:space="preserve">Table 14: </w:t>
      </w:r>
      <w:r>
        <w:rPr>
          <w:i/>
          <w:iCs/>
          <w:sz w:val="20"/>
          <w:szCs w:val="20"/>
        </w:rPr>
        <w:t>Indicative assessment of partner financial institutions — Botswana</w:t>
      </w:r>
    </w:p>
    <w:tbl>
      <w:tblPr>
        <w:tblW w:w="9026" w:type="dxa"/>
        <w:jc w:val="left"/>
        <w:tblInd w:w="0" w:type="dxa"/>
        <w:tblLayout w:type="fixed"/>
        <w:tblCellMar>
          <w:top w:w="60" w:type="dxa"/>
          <w:left w:w="100" w:type="dxa"/>
          <w:bottom w:w="60" w:type="dxa"/>
          <w:right w:w="100" w:type="dxa"/>
        </w:tblCellMar>
      </w:tblPr>
      <w:tblGrid>
        <w:gridCol w:w="2198"/>
        <w:gridCol w:w="1302"/>
        <w:gridCol w:w="1300"/>
        <w:gridCol w:w="1298"/>
        <w:gridCol w:w="2928"/>
      </w:tblGrid>
      <w:tr>
        <w:trPr>
          <w:tblHeader w:val="true"/>
        </w:trPr>
        <w:tc>
          <w:tcPr>
            <w:tcW w:w="21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Institution</w:t>
            </w:r>
          </w:p>
        </w:tc>
        <w:tc>
          <w:tcPr>
            <w:tcW w:w="1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Capacity</w:t>
            </w:r>
          </w:p>
        </w:tc>
        <w:tc>
          <w:tcPr>
            <w:tcW w:w="13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Strategic interest</w:t>
            </w:r>
          </w:p>
        </w:tc>
        <w:tc>
          <w:tcPr>
            <w:tcW w:w="12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Risk appetite</w:t>
            </w:r>
          </w:p>
        </w:tc>
        <w:tc>
          <w:tcPr>
            <w:tcW w:w="29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Pilot suitability</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Stanbic Bank Botswana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Lead candidate: scale contract-backed supplier finance to further operators; green/sustainability-linked lines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First National Bank Botswana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Digital SME products, asset finance; candidate for guarantee-backed tourism window</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Absa Bank Botswana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 and ESG frameworks; potential co-lender</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BBS Bank / Botswana Savings Bank</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(citizen/retail)</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Small-ticket citizen lending; rural reach</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CEDA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(mandate)</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Concessional term finance for citizens; partner for blended first-loss and mentoring; liquidity risk</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National Development Bank</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Historical tourism lending; restructuring needs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 Development Corporation</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Equity in larger JV assets anchoring MSME clusters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Letshego / Women’s Finance House Botswana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 and women-led enterprise loans; digital channels</w:t>
            </w:r>
          </w:p>
        </w:tc>
      </w:tr>
    </w:tbl>
    <w:p>
      <w:pPr>
        <w:pStyle w:val="Normal"/>
        <w:spacing w:before="0" w:after="120"/>
        <w:rPr/>
      </w:pPr>
      <w:r>
        <w:rPr/>
      </w:r>
    </w:p>
    <w:p>
      <w:pPr>
        <w:pStyle w:val="Heading2"/>
        <w:rPr/>
      </w:pPr>
      <w:bookmarkStart w:id="28" w:name="__RefHeading___Toc4739_309009763"/>
      <w:bookmarkEnd w:id="28"/>
      <w:r>
        <w:rPr/>
        <w:t>4.8 Development Banks, Foundations and Impact Investors</w:t>
      </w:r>
    </w:p>
    <w:p>
      <w:pPr>
        <w:pStyle w:val="Normal"/>
        <w:keepNext w:val="true"/>
        <w:spacing w:before="160" w:after="80"/>
        <w:rPr/>
      </w:pPr>
      <w:r>
        <w:rPr>
          <w:b/>
          <w:bCs/>
          <w:color w:val="1F5135"/>
          <w:sz w:val="20"/>
          <w:szCs w:val="20"/>
        </w:rPr>
        <w:t xml:space="preserve">Table 15: </w:t>
      </w:r>
      <w:r>
        <w:rPr>
          <w:i/>
          <w:iCs/>
          <w:sz w:val="20"/>
          <w:szCs w:val="20"/>
        </w:rPr>
        <w:t>DFIs, foundations and impact investors with aligned mandates — Botswana</w:t>
      </w:r>
    </w:p>
    <w:tbl>
      <w:tblPr>
        <w:tblW w:w="9026" w:type="dxa"/>
        <w:jc w:val="left"/>
        <w:tblInd w:w="0" w:type="dxa"/>
        <w:tblLayout w:type="fixed"/>
        <w:tblCellMar>
          <w:top w:w="60" w:type="dxa"/>
          <w:left w:w="100" w:type="dxa"/>
          <w:bottom w:w="60" w:type="dxa"/>
          <w:right w:w="100" w:type="dxa"/>
        </w:tblCellMar>
      </w:tblPr>
      <w:tblGrid>
        <w:gridCol w:w="2600"/>
        <w:gridCol w:w="3200"/>
        <w:gridCol w:w="3226"/>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Organisation</w:t>
            </w:r>
          </w:p>
        </w:tc>
        <w:tc>
          <w:tcPr>
            <w:tcW w:w="32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Mandate / activity</w:t>
            </w:r>
          </w:p>
        </w:tc>
        <w:tc>
          <w:tcPr>
            <w:tcW w:w="32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Alignment with R-NBT MSME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AfDB; World Bank / IFC</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Economic diversification, private-sector development</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Credit lines to CEDA/NDB; IFC risk-sharing with banks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EU; KfW / GIZ</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KAZA, biodiversity, private-sector development</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Grant/TA for pilots; blended first-loss capital</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UNDP / GEF; BIOFIN</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Biodiversity finance plans, Ngamiland human–wildlife interface projects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Identifies fiscal and financial mechanisms; community enterprise support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The Nature Conservancy; Conservation International</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Conservation finance including sovereign debt-conversion design</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Potential long-term conservation funding flows to communities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Wilderness Trust; Natural Selection Foundation; &amp;Beyond Foundation; Great Plains Foundation</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Operator-linked foundations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enterprise grants; co-funding of supplier development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African Guarantee Fund</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Partial credit guarantees across Africa</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Backstop for a Botswana tourism MSME guarantee window</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Proparco, FMO, BII, Norfund</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Equity and lines in regional banking groups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Green/SME credit lines through Botswana subsidiaries</w:t>
            </w:r>
          </w:p>
        </w:tc>
      </w:tr>
    </w:tbl>
    <w:p>
      <w:pPr>
        <w:pStyle w:val="Normal"/>
        <w:spacing w:before="0" w:after="120"/>
        <w:rPr/>
      </w:pPr>
      <w:r>
        <w:rPr/>
      </w:r>
    </w:p>
    <w:p>
      <w:pPr>
        <w:pStyle w:val="Heading2"/>
        <w:rPr/>
      </w:pPr>
      <w:bookmarkStart w:id="29" w:name="__RefHeading___Toc4741_309009763"/>
      <w:bookmarkEnd w:id="29"/>
      <w:r>
        <w:rPr/>
        <w:t>4.9 Existing Guarantee Schemes, Revolving Funds and Other Mechanisms</w:t>
      </w:r>
    </w:p>
    <w:p>
      <w:pPr>
        <w:pStyle w:val="Normal"/>
        <w:keepNext w:val="true"/>
        <w:spacing w:before="160" w:after="80"/>
        <w:rPr/>
      </w:pPr>
      <w:r>
        <w:rPr>
          <w:b/>
          <w:bCs/>
          <w:color w:val="1F5135"/>
          <w:sz w:val="20"/>
          <w:szCs w:val="20"/>
        </w:rPr>
        <w:t xml:space="preserve">Table 16: </w:t>
      </w:r>
      <w:r>
        <w:rPr>
          <w:i/>
          <w:iCs/>
          <w:sz w:val="20"/>
          <w:szCs w:val="20"/>
        </w:rPr>
        <w:t>Mechanisms to strengthen or replicate — Botswana</w:t>
      </w:r>
    </w:p>
    <w:tbl>
      <w:tblPr>
        <w:tblW w:w="9026" w:type="dxa"/>
        <w:jc w:val="left"/>
        <w:tblInd w:w="0" w:type="dxa"/>
        <w:tblLayout w:type="fixed"/>
        <w:tblCellMar>
          <w:top w:w="60" w:type="dxa"/>
          <w:left w:w="100" w:type="dxa"/>
          <w:bottom w:w="60" w:type="dxa"/>
          <w:right w:w="100" w:type="dxa"/>
        </w:tblCellMar>
      </w:tblPr>
      <w:tblGrid>
        <w:gridCol w:w="2400"/>
        <w:gridCol w:w="3299"/>
        <w:gridCol w:w="3327"/>
      </w:tblGrid>
      <w:tr>
        <w:trPr>
          <w:tblHeader w:val="true"/>
        </w:trPr>
        <w:tc>
          <w:tcPr>
            <w:tcW w:w="24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Mechanism</w:t>
            </w:r>
          </w:p>
        </w:tc>
        <w:tc>
          <w:tcPr>
            <w:tcW w:w="32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Status</w:t>
            </w:r>
          </w:p>
        </w:tc>
        <w:tc>
          <w:tcPr>
            <w:tcW w:w="3327"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Strengthen / replicate</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Wilderness–Stanbic contract-backed supplier finance</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MoU signed 2025; nominated local suppliers access commercial funding against contracts</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Replicate with other operators and banks; add partial guarantee and TA via LEA</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CEDA lending and Mabogo Dinku</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liquidity pressure</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Create a tourism/KAZA window with seasonal repayment and first-loss support from development partners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National Environmental Fund</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 to CBOs and environmental projects</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Pilot a revolving component for community enterprises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Trust revenue funds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Lease and JV income to CBNRM Trusts</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Ring-fence part of revenue as community revolving fund with transparent governance</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Youth Development Fund</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Grant–loan packages for youth</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Target guiding, transport and craft enterprises in Chobe and Ngamiland</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Motshelo and VSLAs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Widespread informal savings</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Link to banks/MFIs; use as base for small asset loans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National credit guarantee scheme</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Not operational for MSMEs (to be verified)</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Design a scheme or portfolio guarantee with AGF and banks, drawing on Namibia CGS and ZCGS lessons</w:t>
            </w:r>
          </w:p>
        </w:tc>
      </w:tr>
    </w:tbl>
    <w:p>
      <w:pPr>
        <w:pStyle w:val="Normal"/>
        <w:spacing w:before="0" w:after="120"/>
        <w:rPr/>
      </w:pPr>
      <w:r>
        <w:rPr/>
      </w:r>
    </w:p>
    <w:p>
      <w:pPr>
        <w:pStyle w:val="Normal"/>
        <w:pBdr>
          <w:left w:val="single" w:sz="24" w:space="8" w:color="C8A951"/>
        </w:pBdr>
        <w:shd w:val="clear" w:color="auto" w:fill="E8F0EA"/>
        <w:spacing w:before="160" w:after="200"/>
        <w:ind w:left="200" w:right="200"/>
        <w:rPr/>
      </w:pPr>
      <w:r>
        <w:rPr>
          <w:i/>
          <w:iCs/>
          <w:sz w:val="21"/>
          <w:szCs w:val="21"/>
        </w:rPr>
        <w:t>Botswana priority: scale contract-backed supplier finance across the high-end lodge sector, coupled with a guarantee facility and a CEDA tourism window for citizen MSMEs in Chobe and Ngamiland.</w:t>
      </w:r>
      <w:r>
        <w:br w:type="page"/>
      </w:r>
    </w:p>
    <w:p>
      <w:pPr>
        <w:pStyle w:val="Heading1"/>
        <w:spacing w:before="0" w:after="240"/>
        <w:rPr/>
      </w:pPr>
      <w:bookmarkStart w:id="30" w:name="__RefHeading___Toc4743_309009763"/>
      <w:bookmarkEnd w:id="30"/>
      <w:r>
        <w:rPr/>
        <w:t>5. Namibia</w:t>
      </w:r>
    </w:p>
    <w:p>
      <w:pPr>
        <w:pStyle w:val="Heading2"/>
        <w:rPr/>
      </w:pPr>
      <w:bookmarkStart w:id="31" w:name="__RefHeading___Toc4745_309009763"/>
      <w:bookmarkEnd w:id="31"/>
      <w:r>
        <w:rPr/>
        <w:t>5.1 Country Context: The Namibian KAZA Component</w:t>
      </w:r>
    </w:p>
    <w:p>
      <w:pPr>
        <w:pStyle w:val="Normal"/>
        <w:jc w:val="both"/>
        <w:rPr/>
      </w:pPr>
      <w:r>
        <w:rPr/>
        <w:t>Namibia’s KAZA component spans the Zambezi Region and Kavango East (with linkages to Kavango West), including Bwabwata, Mudumu, Nkasa Rupara and Khaudum National Parks, a dense network of communal conservancies and community forests, and the Okavango, Kwando–Linyanti–Chobe and Zambezi river systems. Katima Mulilo, Rundu, Divundu and Kongola are the principal hubs, and the Trans-Caprivi (Walvis Bay–Ndola–Lubumbashi) corridor provides road access.</w:t>
      </w:r>
    </w:p>
    <w:p>
      <w:pPr>
        <w:pStyle w:val="Normal"/>
        <w:jc w:val="both"/>
        <w:rPr/>
      </w:pPr>
      <w:r>
        <w:rPr/>
        <w:t>Namibia’s community-based natural resource management (CBNRM) programme is among the most developed in Africa: conservancies hold rights over wildlife and tourism on communal land and enter into joint-venture (JV) agreements with private lodge operators, earning lease fees, employment and in-kind benefits. The Zambezi Region alone hosts more than a dozen conservancies with tourism JVs. The Namibian dollar’s peg to the South African rand within the Common Monetary Area provides relative macroeconomic stability; the 2024 drought, slow growth and high youth unemployment remain challenges.</w:t>
      </w:r>
    </w:p>
    <w:p>
      <w:pPr>
        <w:pStyle w:val="Heading2"/>
        <w:rPr/>
      </w:pPr>
      <w:bookmarkStart w:id="32" w:name="__RefHeading___Toc4747_309009763"/>
      <w:bookmarkEnd w:id="32"/>
      <w:r>
        <w:rPr/>
        <w:t>5.2 Mapping of Financial Actors and Adaptable Products</w:t>
      </w:r>
    </w:p>
    <w:p>
      <w:pPr>
        <w:pStyle w:val="Normal"/>
        <w:keepNext w:val="true"/>
        <w:spacing w:before="160" w:after="80"/>
        <w:rPr/>
      </w:pPr>
      <w:r>
        <w:rPr>
          <w:b/>
          <w:bCs/>
          <w:color w:val="1F5135"/>
          <w:sz w:val="20"/>
          <w:szCs w:val="20"/>
        </w:rPr>
        <w:t xml:space="preserve">Table 17: </w:t>
      </w:r>
      <w:r>
        <w:rPr>
          <w:i/>
          <w:iCs/>
          <w:sz w:val="20"/>
          <w:szCs w:val="20"/>
        </w:rPr>
        <w:t>Financial actors in Namibia and products adaptable for R-NBT MSMEs</w:t>
      </w:r>
    </w:p>
    <w:tbl>
      <w:tblPr>
        <w:tblW w:w="9026" w:type="dxa"/>
        <w:jc w:val="left"/>
        <w:tblInd w:w="0" w:type="dxa"/>
        <w:tblLayout w:type="fixed"/>
        <w:tblCellMar>
          <w:top w:w="60" w:type="dxa"/>
          <w:left w:w="100" w:type="dxa"/>
          <w:bottom w:w="60" w:type="dxa"/>
          <w:right w:w="100" w:type="dxa"/>
        </w:tblCellMar>
      </w:tblPr>
      <w:tblGrid>
        <w:gridCol w:w="1698"/>
        <w:gridCol w:w="3302"/>
        <w:gridCol w:w="4026"/>
      </w:tblGrid>
      <w:tr>
        <w:trPr>
          <w:tblHeader w:val="true"/>
        </w:trPr>
        <w:tc>
          <w:tcPr>
            <w:tcW w:w="16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Category</w:t>
            </w:r>
          </w:p>
        </w:tc>
        <w:tc>
          <w:tcPr>
            <w:tcW w:w="3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Key actors</w:t>
            </w:r>
          </w:p>
        </w:tc>
        <w:tc>
          <w:tcPr>
            <w:tcW w:w="40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Products adaptable for R-NBT MSMEs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Commercial banks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 Windhoek (Capricorn Group), First National Bank Namibia, Standard Bank Namibia, Nedbank Namibia, Letshego Bank Namibia, Bank BIC Namibia</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 loans and overdrafts, CGS-backed loans, vehicle/asset finance, green and sustainability-linked finance; branches in Katima Mulilo and Rundu</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finance institutions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Bank of Namibia (DBN); Agribank; Environmental Investment Fund of Namibia (EIF)</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DBN tourism and hospitality finance (lodges incl. conservancy partnerships, solar installations, local activity operators); Agribank rural/agri lending for lodge supply; EIF green loans and grants (GCF-accredited)</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Microfinance and NBFIs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NAMFISA-regulated microlenders; Konga Financial Services; Bellatrix; FIDES Bank Namibia</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Small business loans; Konga and Bellatrix participate in the CGS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 groups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VSLAs and savings groups promoted by NGOs, churches and conservancy programmes</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 and small credit for crafters and women’s groups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Fintech and digital finance</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 e-wallets (e.g. FNB eWallet, Bank Windhoek EasyWallet), MTC mobile money, instant payment initiatives; Bank of Namibia fintech/sandbox framework</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Low-cost payments to community enterprises and casual labour; transaction data</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Blended finance / guarantee facilities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Credit Guarantee Scheme (DBN, NASRIA, banks); EIF blended green finance; Wildlife Credits (performance-based payments)</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60% collateral cover for bankable SMEs lacking collateral; conservation performance payments to communities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Community-based mechanisms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Communal conservancies and community forests; Community Conservation Fund of Namibia (CCFN); Game Products Trust Fund (GPTF)</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Conservancy income and JV fees; CCFN support to conservancies; GPTF grants and human–wildlife conflict support</w:t>
            </w:r>
          </w:p>
        </w:tc>
      </w:tr>
    </w:tbl>
    <w:p>
      <w:pPr>
        <w:pStyle w:val="Normal"/>
        <w:spacing w:before="0" w:after="120"/>
        <w:rPr/>
      </w:pPr>
      <w:r>
        <w:rPr/>
      </w:r>
    </w:p>
    <w:p>
      <w:pPr>
        <w:pStyle w:val="Heading2"/>
        <w:rPr/>
      </w:pPr>
      <w:bookmarkStart w:id="33" w:name="__RefHeading___Toc4749_309009763"/>
      <w:bookmarkEnd w:id="33"/>
      <w:r>
        <w:rPr/>
        <w:t>5.3 Business Support Organisations and Stakeholders</w:t>
      </w:r>
    </w:p>
    <w:p>
      <w:pPr>
        <w:pStyle w:val="Normal"/>
        <w:keepNext w:val="true"/>
        <w:spacing w:before="160" w:after="80"/>
        <w:rPr/>
      </w:pPr>
      <w:r>
        <w:rPr>
          <w:b/>
          <w:bCs/>
          <w:color w:val="1F5135"/>
          <w:sz w:val="20"/>
          <w:szCs w:val="20"/>
        </w:rPr>
        <w:t xml:space="preserve">Table 18: </w:t>
      </w:r>
      <w:r>
        <w:rPr>
          <w:i/>
          <w:iCs/>
          <w:sz w:val="20"/>
          <w:szCs w:val="20"/>
        </w:rPr>
        <w:t>BSOs and stakeholders for nature-based tourism in Namibia’s KAZA corridor</w:t>
      </w:r>
    </w:p>
    <w:tbl>
      <w:tblPr>
        <w:tblW w:w="9026" w:type="dxa"/>
        <w:jc w:val="left"/>
        <w:tblInd w:w="0" w:type="dxa"/>
        <w:tblLayout w:type="fixed"/>
        <w:tblCellMar>
          <w:top w:w="60" w:type="dxa"/>
          <w:left w:w="100" w:type="dxa"/>
          <w:bottom w:w="60" w:type="dxa"/>
          <w:right w:w="100" w:type="dxa"/>
        </w:tblCellMar>
      </w:tblPr>
      <w:tblGrid>
        <w:gridCol w:w="2600"/>
        <w:gridCol w:w="2598"/>
        <w:gridCol w:w="3828"/>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Organisation</w:t>
            </w:r>
          </w:p>
        </w:tc>
        <w:tc>
          <w:tcPr>
            <w:tcW w:w="25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Type</w:t>
            </w:r>
          </w:p>
        </w:tc>
        <w:tc>
          <w:tcPr>
            <w:tcW w:w="38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Role and relevance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Ministry of Environment, Forestry and Tourism (MEFT)</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Government</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policy, concessions, parks, CBNRM oversight, KAZA National Coordination Unit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 Tourism Board (NTB)</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Parastatal</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Registration and grading of tourism establishments, marketing, tourism levy</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 Investment Promotion and Development Board (NIPDB); Ministry of Industries, Mines and Energy / trade ministries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Government</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Investment promotion, SME development programmes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Federation of Namibian Tourism Associations (FENATA); Hospitality Association of Namibia (HAN); Tour and Safari Association (TASA)</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Industry associations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Advocacy, member services, sector intelligence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Namibian Association of CBNRM Support Organisations (NACSO)</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Network</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Conservancy support, monitoring, data on CBNRM returns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Integrated Rural Development and Nature Conservation (IRDNC)</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NGO</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Long-standing conservancy support in Zambezi and Kavango</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 Nature Foundation (NNF); WWF Namibia</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NGOs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 management, enterprise and conservancy support, Wildlife Credits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Conservation Fund of Namibia (CCFN)</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Conservation trust fund</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Financing conservancy operating costs and resilience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 Chamber of Commerce and Industry (Zambezi and Kavango branches)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association</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business networks and training</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Zambezi and Kavango East Regional Councils; Traditional Authorities; Communal Land Boards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Sub-national / traditional</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Land allocation, leasehold, local development planning</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UNAM Katima Mulilo campus; NUST hospitality school; Namibia Training Authority</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Academic / training</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Skills for guiding, hospitality and enterprise management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Conservancies (e.g. Salambala, Wuparo, Mashi, Mayuni, Kwandu, Sobbe, Dzoti, Bamunu, Sikunga, Impalila, Kasika; George Mukoya and Muduva Nyangana in Kavango East; Kyaramacan Association in Bwabwata)</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institutions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rights holders, JV partners, enterprise hosts</w:t>
            </w:r>
          </w:p>
        </w:tc>
      </w:tr>
    </w:tbl>
    <w:p>
      <w:pPr>
        <w:pStyle w:val="Normal"/>
        <w:spacing w:before="0" w:after="120"/>
        <w:rPr/>
      </w:pPr>
      <w:r>
        <w:rPr/>
      </w:r>
    </w:p>
    <w:p>
      <w:pPr>
        <w:pStyle w:val="Heading2"/>
        <w:rPr/>
      </w:pPr>
      <w:bookmarkStart w:id="34" w:name="__RefHeading___Toc4751_309009763"/>
      <w:bookmarkEnd w:id="34"/>
      <w:r>
        <w:rPr/>
        <w:t>5.4 Analysis of Available Financial Products</w:t>
      </w:r>
    </w:p>
    <w:p>
      <w:pPr>
        <w:pStyle w:val="Normal"/>
        <w:jc w:val="both"/>
        <w:rPr/>
      </w:pPr>
      <w:r>
        <w:rPr/>
        <w:t>Namibia offers the most directly relevant set of products for R-NBT MSMEs among the KAZA states. DBN explicitly targets tourism, including lodges operated in partnership with conservancies, privately owned lodges, solar installations and local activity operators. The national Credit Guarantee Scheme, launched in August 2020 with N$98 million seed capital from Government and the Bank of Namibia, provides 60% collateral cover to bankable SMEs that lack collateral, targeting youth-owned (≤40), women-owned (≤60) and small (turnover &lt; N$10 million) enterprises; it had disbursed approximately N$145 million to 153 SMEs by April 2026. Its sectoral use for tourism and its reach in Zambezi and Kavango East are not publicly reported and should be verified.</w:t>
      </w:r>
    </w:p>
    <w:p>
      <w:pPr>
        <w:pStyle w:val="Normal"/>
        <w:keepNext w:val="true"/>
        <w:spacing w:before="160" w:after="80"/>
        <w:rPr/>
      </w:pPr>
      <w:r>
        <w:rPr>
          <w:b/>
          <w:bCs/>
          <w:color w:val="1F5135"/>
          <w:sz w:val="20"/>
          <w:szCs w:val="20"/>
        </w:rPr>
        <w:t xml:space="preserve">Table 19: </w:t>
      </w:r>
      <w:r>
        <w:rPr>
          <w:i/>
          <w:iCs/>
          <w:sz w:val="20"/>
          <w:szCs w:val="20"/>
        </w:rPr>
        <w:t>Accessibility and relevance of financial products — Namibia</w:t>
      </w:r>
    </w:p>
    <w:tbl>
      <w:tblPr>
        <w:tblW w:w="9026" w:type="dxa"/>
        <w:jc w:val="left"/>
        <w:tblInd w:w="0" w:type="dxa"/>
        <w:tblLayout w:type="fixed"/>
        <w:tblCellMar>
          <w:top w:w="60" w:type="dxa"/>
          <w:left w:w="100" w:type="dxa"/>
          <w:bottom w:w="60" w:type="dxa"/>
          <w:right w:w="100" w:type="dxa"/>
        </w:tblCellMar>
      </w:tblPr>
      <w:tblGrid>
        <w:gridCol w:w="1698"/>
        <w:gridCol w:w="2601"/>
        <w:gridCol w:w="1299"/>
        <w:gridCol w:w="1302"/>
        <w:gridCol w:w="2126"/>
      </w:tblGrid>
      <w:tr>
        <w:trPr>
          <w:tblHeader w:val="true"/>
        </w:trPr>
        <w:tc>
          <w:tcPr>
            <w:tcW w:w="16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Product</w:t>
            </w:r>
          </w:p>
        </w:tc>
        <w:tc>
          <w:tcPr>
            <w:tcW w:w="26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Main providers</w:t>
            </w:r>
          </w:p>
        </w:tc>
        <w:tc>
          <w:tcPr>
            <w:tcW w:w="12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Access</w:t>
            </w:r>
          </w:p>
        </w:tc>
        <w:tc>
          <w:tcPr>
            <w:tcW w:w="1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Relevance</w:t>
            </w:r>
          </w:p>
        </w:tc>
        <w:tc>
          <w:tcPr>
            <w:tcW w:w="21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Comment</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Term loans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DBN, commercial banks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DBN tourism window; banks require collateral; communal land leasehold limits security</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Working capital</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Banks, microlenders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Overdrafts for established firms; microlender pricing high</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Guarantees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Credit Guarantee Scheme (DBN/NASRIA/banks)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60% cover; scale-up and regional outreach needed</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Micro-loans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Microlenders, Letshego, FIDES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Short tenor; much lending is consumer</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EIF, GPTF, CCFN, NGOs, donors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Important for conservancy enterprises and readiness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Revolving funds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Conservancy funds; NGO funds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Scope to structure conservancy income into revolving enterprise funds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Leasing / asset finance</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 vehicle and asset finance (e.g. WesBank)</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Vehicles, boats, solar</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Equity</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Unlisted investment managers (pension Regulation 29), private investors, JV partners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Pension-funded SME/unlisted vehicles; JV equity for conservancy lodges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finance</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EIF green loans, Bank Windhoek and others (green/sustainability bonds)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Solar, water and efficiency investments for lodges and MSMEs</w:t>
            </w:r>
          </w:p>
        </w:tc>
      </w:tr>
    </w:tbl>
    <w:p>
      <w:pPr>
        <w:pStyle w:val="Normal"/>
        <w:spacing w:before="0" w:after="120"/>
        <w:rPr/>
      </w:pPr>
      <w:r>
        <w:rPr/>
      </w:r>
    </w:p>
    <w:p>
      <w:pPr>
        <w:pStyle w:val="Heading2"/>
        <w:rPr/>
      </w:pPr>
      <w:bookmarkStart w:id="35" w:name="__RefHeading___Toc4753_309009763"/>
      <w:bookmarkEnd w:id="35"/>
      <w:r>
        <w:rPr/>
        <w:t>5.5 Regulatory and Policy Environment</w:t>
      </w:r>
    </w:p>
    <w:p>
      <w:pPr>
        <w:pStyle w:val="Heading3"/>
        <w:rPr/>
      </w:pPr>
      <w:r>
        <w:rPr/>
        <w:t>Key Frameworks</w:t>
      </w:r>
    </w:p>
    <w:p>
      <w:pPr>
        <w:pStyle w:val="ListParagraph"/>
        <w:numPr>
          <w:ilvl w:val="0"/>
          <w:numId w:val="63"/>
        </w:numPr>
        <w:rPr/>
      </w:pPr>
      <w:r>
        <w:rPr/>
        <w:t>Conservation and tourism: Nature Conservation Amendment Act (1996) establishing conservancies; Forest Act (2001) community forests; Namibia Tourism Board Act (2000); National Policy on Tourism; Policy on Tourism and Wildlife Concessions on State Land; National Policy on Human–Wildlife Conflict Management.</w:t>
      </w:r>
    </w:p>
    <w:p>
      <w:pPr>
        <w:pStyle w:val="ListParagraph"/>
        <w:numPr>
          <w:ilvl w:val="0"/>
          <w:numId w:val="64"/>
        </w:numPr>
        <w:rPr/>
      </w:pPr>
      <w:r>
        <w:rPr/>
        <w:t>Land: Communal Land Reform Act and successor land legislation; leaseholds via Communal Land Boards.</w:t>
      </w:r>
    </w:p>
    <w:p>
      <w:pPr>
        <w:pStyle w:val="ListParagraph"/>
        <w:numPr>
          <w:ilvl w:val="0"/>
          <w:numId w:val="65"/>
        </w:numPr>
        <w:rPr/>
      </w:pPr>
      <w:r>
        <w:rPr/>
        <w:t>Finance: Banking Institutions Act (2023), Microlending Act (2018), Payment System Management Act, Bank of Namibia fintech framework, NAMFISA regulation; NSX sustainable bond listings.</w:t>
      </w:r>
    </w:p>
    <w:p>
      <w:pPr>
        <w:pStyle w:val="ListParagraph"/>
        <w:numPr>
          <w:ilvl w:val="0"/>
          <w:numId w:val="66"/>
        </w:numPr>
        <w:rPr/>
      </w:pPr>
      <w:r>
        <w:rPr/>
        <w:t>Empowerment and investment: SME policy and SME Financing Strategy; NEEEF (proposed); investment promotion legislation.</w:t>
      </w:r>
    </w:p>
    <w:p>
      <w:pPr>
        <w:pStyle w:val="Heading3"/>
        <w:rPr/>
      </w:pPr>
      <w:r>
        <w:rPr/>
        <w:t>Barriers</w:t>
      </w:r>
    </w:p>
    <w:p>
      <w:pPr>
        <w:pStyle w:val="ListParagraph"/>
        <w:numPr>
          <w:ilvl w:val="0"/>
          <w:numId w:val="67"/>
        </w:numPr>
        <w:rPr/>
      </w:pPr>
      <w:r>
        <w:rPr/>
        <w:t>Communal land cannot be held in freehold; leaseholds are slow to register and rarely accepted as collateral.</w:t>
      </w:r>
    </w:p>
    <w:p>
      <w:pPr>
        <w:pStyle w:val="ListParagraph"/>
        <w:numPr>
          <w:ilvl w:val="0"/>
          <w:numId w:val="68"/>
        </w:numPr>
        <w:rPr/>
      </w:pPr>
      <w:r>
        <w:rPr/>
        <w:t>Conservancy governance and benefit-distribution challenges in some areas; JV agreements vary in quality.</w:t>
      </w:r>
    </w:p>
    <w:p>
      <w:pPr>
        <w:pStyle w:val="ListParagraph"/>
        <w:numPr>
          <w:ilvl w:val="0"/>
          <w:numId w:val="69"/>
        </w:numPr>
        <w:rPr/>
      </w:pPr>
      <w:r>
        <w:rPr/>
        <w:t>Distance of Zambezi/Kavango from Windhoek decision centres; limited branch-level credit authority.</w:t>
      </w:r>
    </w:p>
    <w:p>
      <w:pPr>
        <w:pStyle w:val="ListParagraph"/>
        <w:numPr>
          <w:ilvl w:val="0"/>
          <w:numId w:val="70"/>
        </w:numPr>
        <w:rPr/>
      </w:pPr>
      <w:r>
        <w:rPr/>
        <w:t>High cost of microlending; low financial literacy among rural MSMEs.</w:t>
      </w:r>
    </w:p>
    <w:p>
      <w:pPr>
        <w:pStyle w:val="ListParagraph"/>
        <w:numPr>
          <w:ilvl w:val="0"/>
          <w:numId w:val="71"/>
        </w:numPr>
        <w:rPr/>
      </w:pPr>
      <w:r>
        <w:rPr/>
        <w:t>Policy uncertainty on empowerment legislation (NEEEF) affecting investor decisions.</w:t>
      </w:r>
    </w:p>
    <w:p>
      <w:pPr>
        <w:pStyle w:val="ListParagraph"/>
        <w:numPr>
          <w:ilvl w:val="0"/>
          <w:numId w:val="72"/>
        </w:numPr>
        <w:rPr/>
      </w:pPr>
      <w:r>
        <w:rPr/>
        <w:t>Human–wildlife conflict and climate shocks (2024 drought).</w:t>
      </w:r>
    </w:p>
    <w:p>
      <w:pPr>
        <w:pStyle w:val="Heading3"/>
        <w:rPr/>
      </w:pPr>
      <w:r>
        <w:rPr/>
        <w:t>Enablers</w:t>
      </w:r>
    </w:p>
    <w:p>
      <w:pPr>
        <w:pStyle w:val="ListParagraph"/>
        <w:numPr>
          <w:ilvl w:val="0"/>
          <w:numId w:val="73"/>
        </w:numPr>
        <w:rPr/>
      </w:pPr>
      <w:r>
        <w:rPr/>
        <w:t>Operational Credit Guarantee Scheme with seven participating lenders.</w:t>
      </w:r>
    </w:p>
    <w:p>
      <w:pPr>
        <w:pStyle w:val="ListParagraph"/>
        <w:numPr>
          <w:ilvl w:val="0"/>
          <w:numId w:val="74"/>
        </w:numPr>
        <w:rPr/>
      </w:pPr>
      <w:r>
        <w:rPr/>
        <w:t>DBN tourism window explicitly recognising conservancy partnerships and solar.</w:t>
      </w:r>
    </w:p>
    <w:p>
      <w:pPr>
        <w:pStyle w:val="ListParagraph"/>
        <w:numPr>
          <w:ilvl w:val="0"/>
          <w:numId w:val="75"/>
        </w:numPr>
        <w:rPr/>
      </w:pPr>
      <w:r>
        <w:rPr/>
        <w:t>GCF-accredited EIF and green bond market.</w:t>
      </w:r>
    </w:p>
    <w:p>
      <w:pPr>
        <w:pStyle w:val="ListParagraph"/>
        <w:numPr>
          <w:ilvl w:val="0"/>
          <w:numId w:val="76"/>
        </w:numPr>
        <w:rPr/>
      </w:pPr>
      <w:r>
        <w:rPr/>
        <w:t>Mature CBNRM system and data (NACSO) that support credit and impact assessment.</w:t>
      </w:r>
    </w:p>
    <w:p>
      <w:pPr>
        <w:pStyle w:val="ListParagraph"/>
        <w:numPr>
          <w:ilvl w:val="0"/>
          <w:numId w:val="77"/>
        </w:numPr>
        <w:rPr/>
      </w:pPr>
      <w:r>
        <w:rPr/>
        <w:t>Monetary stability within the Common Monetary Area.</w:t>
      </w:r>
    </w:p>
    <w:p>
      <w:pPr>
        <w:pStyle w:val="Heading3"/>
        <w:rPr/>
      </w:pPr>
      <w:r>
        <w:rPr/>
        <w:t>Harmonisation Opportunities</w:t>
      </w:r>
    </w:p>
    <w:p>
      <w:pPr>
        <w:pStyle w:val="ListParagraph"/>
        <w:numPr>
          <w:ilvl w:val="0"/>
          <w:numId w:val="78"/>
        </w:numPr>
        <w:rPr/>
      </w:pPr>
      <w:r>
        <w:rPr/>
        <w:t>KAZA Univisa adoption and improved Ngoma, Wenela/Sesheke, Mohembo and Katwitwi border procedures.</w:t>
      </w:r>
    </w:p>
    <w:p>
      <w:pPr>
        <w:pStyle w:val="ListParagraph"/>
        <w:numPr>
          <w:ilvl w:val="0"/>
          <w:numId w:val="79"/>
        </w:numPr>
        <w:rPr/>
      </w:pPr>
      <w:r>
        <w:rPr/>
        <w:t>Sharing CBNRM, JV contract and benefit-sharing standards with Botswana, Zambia and Zimbabwe.</w:t>
      </w:r>
    </w:p>
    <w:p>
      <w:pPr>
        <w:pStyle w:val="ListParagraph"/>
        <w:numPr>
          <w:ilvl w:val="0"/>
          <w:numId w:val="80"/>
        </w:numPr>
        <w:rPr/>
      </w:pPr>
      <w:r>
        <w:rPr/>
        <w:t>Exporting the CGS design (partner structure, eligibility and cover) as a template for Botswana and Angola.</w:t>
      </w:r>
    </w:p>
    <w:p>
      <w:pPr>
        <w:pStyle w:val="ListParagraph"/>
        <w:numPr>
          <w:ilvl w:val="0"/>
          <w:numId w:val="81"/>
        </w:numPr>
        <w:rPr/>
      </w:pPr>
      <w:r>
        <w:rPr/>
        <w:t>Joint KAZA river-based product development (Zambezi–Chobe) with common boat safety and licensing standards.</w:t>
      </w:r>
    </w:p>
    <w:p>
      <w:pPr>
        <w:pStyle w:val="Heading2"/>
        <w:rPr/>
      </w:pPr>
      <w:bookmarkStart w:id="36" w:name="__RefHeading___Toc4755_309009763"/>
      <w:bookmarkEnd w:id="36"/>
      <w:r>
        <w:rPr/>
        <w:t>5.6 Large Tourism Companies, Investors, DMCs and Lodge Chains</w:t>
      </w:r>
    </w:p>
    <w:p>
      <w:pPr>
        <w:pStyle w:val="Normal"/>
        <w:keepNext w:val="true"/>
        <w:spacing w:before="160" w:after="80"/>
        <w:rPr/>
      </w:pPr>
      <w:r>
        <w:rPr>
          <w:b/>
          <w:bCs/>
          <w:color w:val="1F5135"/>
          <w:sz w:val="20"/>
          <w:szCs w:val="20"/>
        </w:rPr>
        <w:t xml:space="preserve">Table 20: </w:t>
      </w:r>
      <w:r>
        <w:rPr>
          <w:i/>
          <w:iCs/>
          <w:sz w:val="20"/>
          <w:szCs w:val="20"/>
        </w:rPr>
        <w:t>Potential private-sector partners — Namibia</w:t>
      </w:r>
    </w:p>
    <w:tbl>
      <w:tblPr>
        <w:tblW w:w="9026" w:type="dxa"/>
        <w:jc w:val="left"/>
        <w:tblInd w:w="0" w:type="dxa"/>
        <w:tblLayout w:type="fixed"/>
        <w:tblCellMar>
          <w:top w:w="60" w:type="dxa"/>
          <w:left w:w="100" w:type="dxa"/>
          <w:bottom w:w="60" w:type="dxa"/>
          <w:right w:w="100" w:type="dxa"/>
        </w:tblCellMar>
      </w:tblPr>
      <w:tblGrid>
        <w:gridCol w:w="2600"/>
        <w:gridCol w:w="2998"/>
        <w:gridCol w:w="3428"/>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Company / investor</w:t>
            </w:r>
          </w:p>
        </w:tc>
        <w:tc>
          <w:tcPr>
            <w:tcW w:w="29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Footprint in KAZA corridor</w:t>
            </w:r>
          </w:p>
        </w:tc>
        <w:tc>
          <w:tcPr>
            <w:tcW w:w="34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Partnership potential for MSME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Gondwana Collection Namibia</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Namushasha River Lodge, Zambezi Mubala Lodge and Camp, Chobe River Camp, Hakusembe River Lodge</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Largest Namibian lodge group in the corridor; procurement and staff housing; supplier finance anchor</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African Monarch Lodges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Nambwa Tented Lodge and Kazile (Bwabwata, Mayuni Conservancy)</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Conservancy JV partner; community enterprise linkages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Zambezi Queen Collection (Mantis)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Houseboats on the Chobe (Kasika)</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Cross-border Chobe–Namibia supply chain</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Kavango river lodges (e.g. Divava, Ndhovu, Shametu, Nunda, Mahangu)</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Divundu/Popa Falls and Mahango area</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procurement; guiding and craft linkages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 Wildlife Resorts (state-owned)</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Popa Falls Resort and other state facilities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Public operator procurement; concessions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Nkasa Lupala, Camp Kwando, Jackalberry and other independent lodges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Nkasa Rupara and Kwando area</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Smaller anchors for local suppliers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DMCs and tour operators (e.g. Ultimate Safaris, Namibia Tracks &amp; Trails, Sense of Africa Namibia)</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Itineraries incorporating Zambezi/Kavango</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Forward contracts and product inclusion for community products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Investors: pension-funded unlisted investment managers, DBN co-investment</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Domestic capital</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Potential tourism SME fund or lodge JV refinancing</w:t>
            </w:r>
          </w:p>
        </w:tc>
      </w:tr>
    </w:tbl>
    <w:p>
      <w:pPr>
        <w:pStyle w:val="Normal"/>
        <w:spacing w:before="0" w:after="120"/>
        <w:rPr/>
      </w:pPr>
      <w:r>
        <w:rPr/>
      </w:r>
    </w:p>
    <w:p>
      <w:pPr>
        <w:pStyle w:val="Heading2"/>
        <w:rPr/>
      </w:pPr>
      <w:bookmarkStart w:id="37" w:name="__RefHeading___Toc4757_309009763"/>
      <w:bookmarkEnd w:id="37"/>
      <w:r>
        <w:rPr/>
        <w:t>5.7 Assessment of Potential Partner Financial Institutions</w:t>
      </w:r>
    </w:p>
    <w:p>
      <w:pPr>
        <w:pStyle w:val="Normal"/>
        <w:keepNext w:val="true"/>
        <w:spacing w:before="160" w:after="80"/>
        <w:rPr/>
      </w:pPr>
      <w:r>
        <w:rPr>
          <w:b/>
          <w:bCs/>
          <w:color w:val="1F5135"/>
          <w:sz w:val="20"/>
          <w:szCs w:val="20"/>
        </w:rPr>
        <w:t xml:space="preserve">Table 21: </w:t>
      </w:r>
      <w:r>
        <w:rPr>
          <w:i/>
          <w:iCs/>
          <w:sz w:val="20"/>
          <w:szCs w:val="20"/>
        </w:rPr>
        <w:t>Indicative assessment of partner financial institutions — Namibia</w:t>
      </w:r>
    </w:p>
    <w:tbl>
      <w:tblPr>
        <w:tblW w:w="9026" w:type="dxa"/>
        <w:jc w:val="left"/>
        <w:tblInd w:w="0" w:type="dxa"/>
        <w:tblLayout w:type="fixed"/>
        <w:tblCellMar>
          <w:top w:w="60" w:type="dxa"/>
          <w:left w:w="100" w:type="dxa"/>
          <w:bottom w:w="60" w:type="dxa"/>
          <w:right w:w="100" w:type="dxa"/>
        </w:tblCellMar>
      </w:tblPr>
      <w:tblGrid>
        <w:gridCol w:w="2198"/>
        <w:gridCol w:w="1302"/>
        <w:gridCol w:w="1300"/>
        <w:gridCol w:w="1298"/>
        <w:gridCol w:w="2928"/>
      </w:tblGrid>
      <w:tr>
        <w:trPr>
          <w:tblHeader w:val="true"/>
        </w:trPr>
        <w:tc>
          <w:tcPr>
            <w:tcW w:w="21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Institution</w:t>
            </w:r>
          </w:p>
        </w:tc>
        <w:tc>
          <w:tcPr>
            <w:tcW w:w="1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Capacity</w:t>
            </w:r>
          </w:p>
        </w:tc>
        <w:tc>
          <w:tcPr>
            <w:tcW w:w="13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Strategic interest</w:t>
            </w:r>
          </w:p>
        </w:tc>
        <w:tc>
          <w:tcPr>
            <w:tcW w:w="12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Risk appetite</w:t>
            </w:r>
          </w:p>
        </w:tc>
        <w:tc>
          <w:tcPr>
            <w:tcW w:w="29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Pilot suitability</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Bank of Namibia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(tourism priority)</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Lead candidate: tourism window, CGS partner, conservancy-linked lodge finance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 Windhoek (Capricorn)</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(sustainability)</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finance pioneer; CGS participant; strong SME franchise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First National Bank Namibia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CGS participant; digital channels; asset finance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Standard Bank Namibia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CGS participant; group conservation-finance experience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Nedbank Namibia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CGS participant; dedicated SME commitments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Environmental Investment Fund</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high (green)</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loans and grants for lodges and community enterprises; GCF channel</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Agribank</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Agricultural suppliers to lodges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Konga Financial Services / FIDES / Letshego</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 and small loans; CGS-backed lending</w:t>
            </w:r>
          </w:p>
        </w:tc>
      </w:tr>
    </w:tbl>
    <w:p>
      <w:pPr>
        <w:pStyle w:val="Normal"/>
        <w:spacing w:before="0" w:after="120"/>
        <w:rPr/>
      </w:pPr>
      <w:r>
        <w:rPr/>
      </w:r>
    </w:p>
    <w:p>
      <w:pPr>
        <w:pStyle w:val="Heading2"/>
        <w:rPr/>
      </w:pPr>
      <w:bookmarkStart w:id="38" w:name="__RefHeading___Toc4759_309009763"/>
      <w:bookmarkEnd w:id="38"/>
      <w:r>
        <w:rPr/>
        <w:t>5.8 Development Banks, Foundations and Impact Investors</w:t>
      </w:r>
    </w:p>
    <w:p>
      <w:pPr>
        <w:pStyle w:val="Normal"/>
        <w:keepNext w:val="true"/>
        <w:spacing w:before="160" w:after="80"/>
        <w:rPr/>
      </w:pPr>
      <w:r>
        <w:rPr>
          <w:b/>
          <w:bCs/>
          <w:color w:val="1F5135"/>
          <w:sz w:val="20"/>
          <w:szCs w:val="20"/>
        </w:rPr>
        <w:t xml:space="preserve">Table 22: </w:t>
      </w:r>
      <w:r>
        <w:rPr>
          <w:i/>
          <w:iCs/>
          <w:sz w:val="20"/>
          <w:szCs w:val="20"/>
        </w:rPr>
        <w:t>DFIs, foundations and impact investors with aligned mandates — Namibia</w:t>
      </w:r>
    </w:p>
    <w:tbl>
      <w:tblPr>
        <w:tblW w:w="9026" w:type="dxa"/>
        <w:jc w:val="left"/>
        <w:tblInd w:w="0" w:type="dxa"/>
        <w:tblLayout w:type="fixed"/>
        <w:tblCellMar>
          <w:top w:w="60" w:type="dxa"/>
          <w:left w:w="100" w:type="dxa"/>
          <w:bottom w:w="60" w:type="dxa"/>
          <w:right w:w="100" w:type="dxa"/>
        </w:tblCellMar>
      </w:tblPr>
      <w:tblGrid>
        <w:gridCol w:w="2600"/>
        <w:gridCol w:w="3200"/>
        <w:gridCol w:w="3226"/>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Organisation</w:t>
            </w:r>
          </w:p>
        </w:tc>
        <w:tc>
          <w:tcPr>
            <w:tcW w:w="32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Mandate / activity</w:t>
            </w:r>
          </w:p>
        </w:tc>
        <w:tc>
          <w:tcPr>
            <w:tcW w:w="32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Alignment with R-NBT MSME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KfW / GIZ (BMZ)</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KAZA, CBNRM, biodiversity finance</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Capitalisation of conservation funds, blended pilots, TA</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Climate Fund (via EIF)</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Climate adaptation and mitigation</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SME and community resilience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EU; UNDP / GEF</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Biodiversity, landscapes, livelihoods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 and landscape programmes in Zambezi/Kavango</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World Bank / IFC; AfDB</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Private-sector development, SME finance</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Credit lines and risk-sharing to DBN and banks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WWF; Namibia Nature Foundation; Tourism Supporting Conservation Trust</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CBNRM, Wildlife Credits, tourism–conservation linkages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Performance-based payments; community enterprise grants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Conservation Fund of Namibia</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Conservation trust fund</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Long-term funding to conservancies; possible enterprise window</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African Guarantee Fund</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Partial credit guarantees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Counter-guarantee to the CGS or bank portfolios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DBSA; Afreximbank</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Infrastructure and trade finance</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Enabling infrastructure; lines to DBN</w:t>
            </w:r>
          </w:p>
        </w:tc>
      </w:tr>
    </w:tbl>
    <w:p>
      <w:pPr>
        <w:pStyle w:val="Normal"/>
        <w:spacing w:before="0" w:after="120"/>
        <w:rPr/>
      </w:pPr>
      <w:r>
        <w:rPr/>
      </w:r>
    </w:p>
    <w:p>
      <w:pPr>
        <w:pStyle w:val="Heading2"/>
        <w:rPr/>
      </w:pPr>
      <w:bookmarkStart w:id="39" w:name="__RefHeading___Toc4761_309009763"/>
      <w:bookmarkEnd w:id="39"/>
      <w:r>
        <w:rPr/>
        <w:t>5.9 Existing Guarantee Schemes, Revolving Funds and Other Mechanisms</w:t>
      </w:r>
    </w:p>
    <w:p>
      <w:pPr>
        <w:pStyle w:val="Normal"/>
        <w:keepNext w:val="true"/>
        <w:spacing w:before="160" w:after="80"/>
        <w:rPr/>
      </w:pPr>
      <w:r>
        <w:rPr>
          <w:b/>
          <w:bCs/>
          <w:color w:val="1F5135"/>
          <w:sz w:val="20"/>
          <w:szCs w:val="20"/>
        </w:rPr>
        <w:t xml:space="preserve">Table 23: </w:t>
      </w:r>
      <w:r>
        <w:rPr>
          <w:i/>
          <w:iCs/>
          <w:sz w:val="20"/>
          <w:szCs w:val="20"/>
        </w:rPr>
        <w:t>Mechanisms to strengthen or replicate — Namibia</w:t>
      </w:r>
    </w:p>
    <w:tbl>
      <w:tblPr>
        <w:tblW w:w="9026" w:type="dxa"/>
        <w:jc w:val="left"/>
        <w:tblInd w:w="0" w:type="dxa"/>
        <w:tblLayout w:type="fixed"/>
        <w:tblCellMar>
          <w:top w:w="60" w:type="dxa"/>
          <w:left w:w="100" w:type="dxa"/>
          <w:bottom w:w="60" w:type="dxa"/>
          <w:right w:w="100" w:type="dxa"/>
        </w:tblCellMar>
      </w:tblPr>
      <w:tblGrid>
        <w:gridCol w:w="2400"/>
        <w:gridCol w:w="3299"/>
        <w:gridCol w:w="3327"/>
      </w:tblGrid>
      <w:tr>
        <w:trPr>
          <w:tblHeader w:val="true"/>
        </w:trPr>
        <w:tc>
          <w:tcPr>
            <w:tcW w:w="24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Mechanism</w:t>
            </w:r>
          </w:p>
        </w:tc>
        <w:tc>
          <w:tcPr>
            <w:tcW w:w="32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Status</w:t>
            </w:r>
          </w:p>
        </w:tc>
        <w:tc>
          <w:tcPr>
            <w:tcW w:w="3327"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Strengthen / replicate</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Credit Guarantee Scheme (DBN, NASRIA, banks)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since 2020; N$98m seed; 60% cover; ~N$145m to 153 SMEs by April 2026</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Add tourism/KAZA window and regional outreach; accept conservancy leasehold and JV contracts as alternative security; counter-guarantee from AGF/DFIs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DBN tourism and hospitality finance</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Sub-window for small community-linked enterprises and solar</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Environmental Investment Fund green loans and grants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Revolving green asset finance for lodges and MSMEs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Conservation Fund of Namibia</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since 2017</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Extend to enterprise finance or first-loss for conservancy enterprises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Game Products Trust Fund and HWC self-insurance</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Link insurance to MSME loans to reduce wildlife-related default risk</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Conservancy income funds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governance varies</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Structured revolving enterprise funds with transparent rules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Wildlife Credits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in selected conservancies</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Scale performance payments; use as cash-flow for debt service</w:t>
            </w:r>
          </w:p>
        </w:tc>
      </w:tr>
    </w:tbl>
    <w:p>
      <w:pPr>
        <w:pStyle w:val="Normal"/>
        <w:spacing w:before="0" w:after="120"/>
        <w:rPr/>
      </w:pPr>
      <w:r>
        <w:rPr/>
      </w:r>
    </w:p>
    <w:p>
      <w:pPr>
        <w:pStyle w:val="Normal"/>
        <w:pBdr>
          <w:left w:val="single" w:sz="24" w:space="8" w:color="C8A951"/>
        </w:pBdr>
        <w:shd w:val="clear" w:color="auto" w:fill="E8F0EA"/>
        <w:spacing w:before="160" w:after="200"/>
        <w:ind w:left="200" w:right="200"/>
        <w:rPr/>
      </w:pPr>
      <w:r>
        <w:rPr>
          <w:i/>
          <w:iCs/>
          <w:sz w:val="21"/>
          <w:szCs w:val="21"/>
        </w:rPr>
        <w:t>Namibia priority: use the CGS and DBN as the core channel for a KAZA tourism window, combined with EIF green asset finance and conservancy-based revolving funds.</w:t>
      </w:r>
      <w:r>
        <w:br w:type="page"/>
      </w:r>
    </w:p>
    <w:p>
      <w:pPr>
        <w:pStyle w:val="Heading1"/>
        <w:spacing w:before="0" w:after="240"/>
        <w:rPr/>
      </w:pPr>
      <w:bookmarkStart w:id="40" w:name="__RefHeading___Toc4763_309009763"/>
      <w:bookmarkEnd w:id="40"/>
      <w:r>
        <w:rPr/>
        <w:t>6. Zambia</w:t>
      </w:r>
    </w:p>
    <w:p>
      <w:pPr>
        <w:pStyle w:val="Heading2"/>
        <w:rPr/>
      </w:pPr>
      <w:bookmarkStart w:id="41" w:name="__RefHeading___Toc4765_309009763"/>
      <w:bookmarkEnd w:id="41"/>
      <w:r>
        <w:rPr/>
        <w:t>6.1 Country Context: The Zambian KAZA Component</w:t>
      </w:r>
    </w:p>
    <w:p>
      <w:pPr>
        <w:pStyle w:val="Normal"/>
        <w:jc w:val="both"/>
        <w:rPr/>
      </w:pPr>
      <w:r>
        <w:rPr/>
        <w:t>Zambia’s KAZA component extends across Southern, Western, Central and North-Western Provinces. It includes Mosi-oa-Tunya National Park and Livingstone (the country’s tourism capital), Kafue National Park and its surrounding Game Management Areas (GMAs), Sioma Ngwezi National Park, the West Zambezi GMA and the Simalaha Community Conservancy near Kazungula. The Kazungula Bridge and One-Stop Border Post (opened 2021) connect Zambia directly with Botswana.</w:t>
      </w:r>
    </w:p>
    <w:p>
      <w:pPr>
        <w:pStyle w:val="Normal"/>
        <w:jc w:val="both"/>
        <w:rPr/>
      </w:pPr>
      <w:r>
        <w:rPr/>
        <w:t>Zambia has completed most of its sovereign debt restructuring, and macroeconomic conditions improved in 2025 after the severe 2024 drought and power crisis. Nonetheless, policy rates in the mid-teens and commercial lending rates commonly above 25% constrain MSME borrowing. Most land in GMAs and around Simalaha is customary land administered by traditional authorities, including the Barotse Royal Establishment in Western Province, which complicates collateral. The Government has signalled increasing priority for tourism, including a reported allocation of around K1.5 billion to tourism in the 2026 budget, and a USD 100 million World Bank credit for green, resilient tourism development (focused on sites such as Liuwa Plain, the Source of the Zambezi and Kasaba Bay) that includes matching grants for communities.</w:t>
      </w:r>
    </w:p>
    <w:p>
      <w:pPr>
        <w:pStyle w:val="Heading2"/>
        <w:rPr/>
      </w:pPr>
      <w:bookmarkStart w:id="42" w:name="__RefHeading___Toc4767_309009763"/>
      <w:bookmarkEnd w:id="42"/>
      <w:r>
        <w:rPr/>
        <w:t>6.2 Mapping of Financial Actors and Adaptable Products</w:t>
      </w:r>
    </w:p>
    <w:p>
      <w:pPr>
        <w:pStyle w:val="Normal"/>
        <w:keepNext w:val="true"/>
        <w:spacing w:before="160" w:after="80"/>
        <w:rPr/>
      </w:pPr>
      <w:r>
        <w:rPr>
          <w:b/>
          <w:bCs/>
          <w:color w:val="1F5135"/>
          <w:sz w:val="20"/>
          <w:szCs w:val="20"/>
        </w:rPr>
        <w:t xml:space="preserve">Table 24: </w:t>
      </w:r>
      <w:r>
        <w:rPr>
          <w:i/>
          <w:iCs/>
          <w:sz w:val="20"/>
          <w:szCs w:val="20"/>
        </w:rPr>
        <w:t>Financial actors in Zambia and products adaptable for R-NBT MSMEs</w:t>
      </w:r>
    </w:p>
    <w:tbl>
      <w:tblPr>
        <w:tblW w:w="9026" w:type="dxa"/>
        <w:jc w:val="left"/>
        <w:tblInd w:w="0" w:type="dxa"/>
        <w:tblLayout w:type="fixed"/>
        <w:tblCellMar>
          <w:top w:w="60" w:type="dxa"/>
          <w:left w:w="100" w:type="dxa"/>
          <w:bottom w:w="60" w:type="dxa"/>
          <w:right w:w="100" w:type="dxa"/>
        </w:tblCellMar>
      </w:tblPr>
      <w:tblGrid>
        <w:gridCol w:w="1698"/>
        <w:gridCol w:w="3302"/>
        <w:gridCol w:w="4026"/>
      </w:tblGrid>
      <w:tr>
        <w:trPr>
          <w:tblHeader w:val="true"/>
        </w:trPr>
        <w:tc>
          <w:tcPr>
            <w:tcW w:w="16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Category</w:t>
            </w:r>
          </w:p>
        </w:tc>
        <w:tc>
          <w:tcPr>
            <w:tcW w:w="3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Key actors</w:t>
            </w:r>
          </w:p>
        </w:tc>
        <w:tc>
          <w:tcPr>
            <w:tcW w:w="40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Products adaptable for R-NBT MSMEs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Commercial banks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Zanaco, Stanbic Bank Zambia, Absa Bank Zambia, FNB Zambia, Standard Chartered Zambia, Indo-Zambia Bank, Access Bank Zambia, Ecobank, First Capital Bank, ZICB, AB Bank, First Alliance Bank, Zambia National Building Society</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 loans, overdrafts, asset finance; ZCGS-backed loans; CEEC co-financed facilities (e.g. Absa); digital SME lending; branches in Livingstone, Kazungula, Mongu, Sesheke, Mumbwa</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finance institutions and public funds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Bank of Zambia (DBZ); Citizens Economic Empowerment Commission (CEEC); Zambia Credit Guarantee Scheme (ZCGS); Industrial Development Corporation (IDC); National Savings and Credit Bank (Natsave)</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DBZ term loans; CEEC empowerment loans including vehicle/light truck loans used by tourism operators; ZCGS partial guarantees; Natsave rural savings and loans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Microfinance institutions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Agora, LOLC Finance Zambia, VisionFund Zambia, Bayport, CETZAM, Madison Finance, Entrepreneurs Financial Centre and others (Bank of Zambia–regulated)</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Group and individual business loans for crafts, food supply and small services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 groups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Extensive VSLA networks (CARE, World Vision, Plan and others); traditional chilimba</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coverage in rural Southern and Western Provinces; linkage banking entry point</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Fintech and digital finance</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MTN MoMo, Airtel Money, Zamtel Kwacha; digital lenders (e.g. Lupiya); Bank of Zambia regulatory sandbox; National Financial Inclusion Strategy II</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Mobile payments in tourism, digital working-capital loans, alternative credit scoring</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Blended and donor facilities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World Bank tourism credit (USD 100m) with community matching grants; Bank of Zambia Small Business Growth Initiative (pilot credit guarantee with NABII); AECF; Mastercard Foundation programmes</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Matching grants, guarantee pilots, enterprise challenge funds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Community-based mechanisms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Resource Boards (CRBs) receiving shares of wildlife revenues; Simalaha Community Conservancy; Mukuni and other chiefdom tourism initiatives</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revenues that can capitalise enterprise or revolving funds</w:t>
            </w:r>
          </w:p>
        </w:tc>
      </w:tr>
    </w:tbl>
    <w:p>
      <w:pPr>
        <w:pStyle w:val="Normal"/>
        <w:spacing w:before="0" w:after="120"/>
        <w:rPr/>
      </w:pPr>
      <w:r>
        <w:rPr/>
      </w:r>
    </w:p>
    <w:p>
      <w:pPr>
        <w:pStyle w:val="Heading2"/>
        <w:rPr/>
      </w:pPr>
      <w:bookmarkStart w:id="43" w:name="__RefHeading___Toc4769_309009763"/>
      <w:bookmarkEnd w:id="43"/>
      <w:r>
        <w:rPr/>
        <w:t>6.3 Business Support Organisations and Stakeholders</w:t>
      </w:r>
    </w:p>
    <w:p>
      <w:pPr>
        <w:pStyle w:val="Normal"/>
        <w:keepNext w:val="true"/>
        <w:spacing w:before="160" w:after="80"/>
        <w:rPr/>
      </w:pPr>
      <w:r>
        <w:rPr>
          <w:b/>
          <w:bCs/>
          <w:color w:val="1F5135"/>
          <w:sz w:val="20"/>
          <w:szCs w:val="20"/>
        </w:rPr>
        <w:t xml:space="preserve">Table 25: </w:t>
      </w:r>
      <w:r>
        <w:rPr>
          <w:i/>
          <w:iCs/>
          <w:sz w:val="20"/>
          <w:szCs w:val="20"/>
        </w:rPr>
        <w:t>BSOs and stakeholders for nature-based tourism in Zambia’s KAZA corridor</w:t>
      </w:r>
    </w:p>
    <w:tbl>
      <w:tblPr>
        <w:tblW w:w="9026" w:type="dxa"/>
        <w:jc w:val="left"/>
        <w:tblInd w:w="0" w:type="dxa"/>
        <w:tblLayout w:type="fixed"/>
        <w:tblCellMar>
          <w:top w:w="60" w:type="dxa"/>
          <w:left w:w="100" w:type="dxa"/>
          <w:bottom w:w="60" w:type="dxa"/>
          <w:right w:w="100" w:type="dxa"/>
        </w:tblCellMar>
      </w:tblPr>
      <w:tblGrid>
        <w:gridCol w:w="2600"/>
        <w:gridCol w:w="2598"/>
        <w:gridCol w:w="3828"/>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Organisation</w:t>
            </w:r>
          </w:p>
        </w:tc>
        <w:tc>
          <w:tcPr>
            <w:tcW w:w="25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Type</w:t>
            </w:r>
          </w:p>
        </w:tc>
        <w:tc>
          <w:tcPr>
            <w:tcW w:w="38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Role and relevance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Ministry of Tourism; Department of National Parks and Wildlife (DNPW)</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Government</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policy and licensing, parks and GMAs, CRBs, KAZA National Coordination Unit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 Tourism Agency (ZTA)</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Parastatal</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Destination marketing and promotion</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 Development Agency (ZDA); CEEC business development services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Public BSOs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MSME development and investment promotion; ZDA–CEEC partnership on BDS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Council of Zambia (TCZ)</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Apex association</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Sector advocacy and dialogue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Livingstone Tourism Association (LTA)</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association</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Livingstone operators; destination management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Hospitality Association of Zambia; tour operator and safari associations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Industry associations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Members’ interests; training</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 Chamber of Small and Medium Business Associations (ZCSMBA); Zambia Association of Chambers of Commerce and Industry</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Business associations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MSME representation; access-to-finance advocacy</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Barotse Royal Establishment; Chiefs Sekute, Mukuni, Musokotwane and others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Traditional authorities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Customary land allocation; community conservancy governance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Peace Parks Foundation</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NGO</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Simalaha Community Conservancy and Sioma Ngwezi development; KAZA connectivity</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Game Rangers International, Panthera, WWF Zambia and Kafue partners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Conservation NGOs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Kafue landscape conservation; community engagement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Livingstone International University of Tourism Excellence and Business Management; Hotel and Tourism Training Institute</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Training</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Hospitality and tourism skills</w:t>
            </w:r>
          </w:p>
        </w:tc>
      </w:tr>
    </w:tbl>
    <w:p>
      <w:pPr>
        <w:pStyle w:val="Normal"/>
        <w:spacing w:before="0" w:after="120"/>
        <w:rPr/>
      </w:pPr>
      <w:r>
        <w:rPr/>
      </w:r>
    </w:p>
    <w:p>
      <w:pPr>
        <w:pStyle w:val="Heading2"/>
        <w:rPr/>
      </w:pPr>
      <w:bookmarkStart w:id="44" w:name="__RefHeading___Toc4771_309009763"/>
      <w:bookmarkEnd w:id="44"/>
      <w:r>
        <w:rPr/>
        <w:t>6.4 Analysis of Available Financial Products</w:t>
      </w:r>
    </w:p>
    <w:p>
      <w:pPr>
        <w:pStyle w:val="Normal"/>
        <w:jc w:val="both"/>
        <w:rPr/>
      </w:pPr>
      <w:r>
        <w:rPr/>
        <w:t>Zambia’s product landscape is broad but expensive. CEEC loans are concessional and have reached tourism operators — for example, Livingstone travel companies acquiring vehicles through CEEC’s vehicle loan product — and CEEC and Absa have offered SMEs a facility of around K1 billion. ZCGS has expanded partnerships to 15 banks and lenders, including a K100 million partnership with FNB Zambia backed by a K50 million partial guarantee. Commercial bank lending remains short-term and collateral-heavy, and MFI pricing is high. Savings groups are widespread and represent a strong base for graduated finance.</w:t>
      </w:r>
    </w:p>
    <w:p>
      <w:pPr>
        <w:pStyle w:val="Normal"/>
        <w:keepNext w:val="true"/>
        <w:spacing w:before="160" w:after="80"/>
        <w:rPr/>
      </w:pPr>
      <w:r>
        <w:rPr>
          <w:b/>
          <w:bCs/>
          <w:color w:val="1F5135"/>
          <w:sz w:val="20"/>
          <w:szCs w:val="20"/>
        </w:rPr>
        <w:t xml:space="preserve">Table 26: </w:t>
      </w:r>
      <w:r>
        <w:rPr>
          <w:i/>
          <w:iCs/>
          <w:sz w:val="20"/>
          <w:szCs w:val="20"/>
        </w:rPr>
        <w:t>Accessibility and relevance of financial products — Zambia</w:t>
      </w:r>
    </w:p>
    <w:tbl>
      <w:tblPr>
        <w:tblW w:w="9026" w:type="dxa"/>
        <w:jc w:val="left"/>
        <w:tblInd w:w="0" w:type="dxa"/>
        <w:tblLayout w:type="fixed"/>
        <w:tblCellMar>
          <w:top w:w="60" w:type="dxa"/>
          <w:left w:w="100" w:type="dxa"/>
          <w:bottom w:w="60" w:type="dxa"/>
          <w:right w:w="100" w:type="dxa"/>
        </w:tblCellMar>
      </w:tblPr>
      <w:tblGrid>
        <w:gridCol w:w="1698"/>
        <w:gridCol w:w="2601"/>
        <w:gridCol w:w="1299"/>
        <w:gridCol w:w="1302"/>
        <w:gridCol w:w="2126"/>
      </w:tblGrid>
      <w:tr>
        <w:trPr>
          <w:tblHeader w:val="true"/>
        </w:trPr>
        <w:tc>
          <w:tcPr>
            <w:tcW w:w="16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Product</w:t>
            </w:r>
          </w:p>
        </w:tc>
        <w:tc>
          <w:tcPr>
            <w:tcW w:w="26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Main providers</w:t>
            </w:r>
          </w:p>
        </w:tc>
        <w:tc>
          <w:tcPr>
            <w:tcW w:w="12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Access</w:t>
            </w:r>
          </w:p>
        </w:tc>
        <w:tc>
          <w:tcPr>
            <w:tcW w:w="1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Relevance</w:t>
            </w:r>
          </w:p>
        </w:tc>
        <w:tc>
          <w:tcPr>
            <w:tcW w:w="21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Comment</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Term loans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Banks, DBZ, CEEC</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rates; CEEC more accessible but capacity- and repayment-constrained</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Working capital</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Banks, MFIs, digital lenders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Short tenors; digital loans fast but costly</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Guarantees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ZCGS; BoZ SBGI pilot</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Expanding; tourism window not yet established</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Micro-loans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MFIs, VisionFund, Agora</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Suited to crafts, food and small services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World Bank tourism project, AECF, NGOs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Matching grants for communities; competitive</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Revolving funds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CEEC (revolving in principle), CRB funds, NGO funds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Repayment discipline and governance key</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Leasing / asset finance</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 asset finance, CEEC vehicle loans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Vehicles and boats critical in Livingstone and Kafue</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Equity</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impact funds (e.g. Kukula Capital), private investors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Growth-stage MSMEs only</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finance</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bond framework (SEC 2019), bank green lines, solar PAYGo</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Power crisis made solar critical; PAYGo solar widely available</w:t>
            </w:r>
          </w:p>
        </w:tc>
      </w:tr>
    </w:tbl>
    <w:p>
      <w:pPr>
        <w:pStyle w:val="Normal"/>
        <w:spacing w:before="0" w:after="120"/>
        <w:rPr/>
      </w:pPr>
      <w:r>
        <w:rPr/>
      </w:r>
    </w:p>
    <w:p>
      <w:pPr>
        <w:pStyle w:val="Heading2"/>
        <w:rPr/>
      </w:pPr>
      <w:bookmarkStart w:id="45" w:name="__RefHeading___Toc4773_309009763"/>
      <w:bookmarkEnd w:id="45"/>
      <w:r>
        <w:rPr/>
        <w:t>6.5 Regulatory and Policy Environment</w:t>
      </w:r>
    </w:p>
    <w:p>
      <w:pPr>
        <w:pStyle w:val="Heading3"/>
        <w:rPr/>
      </w:pPr>
      <w:r>
        <w:rPr/>
        <w:t>Key Frameworks</w:t>
      </w:r>
    </w:p>
    <w:p>
      <w:pPr>
        <w:pStyle w:val="ListParagraph"/>
        <w:numPr>
          <w:ilvl w:val="0"/>
          <w:numId w:val="82"/>
        </w:numPr>
        <w:rPr/>
      </w:pPr>
      <w:r>
        <w:rPr/>
        <w:t>Tourism and wildlife: Tourism and Hospitality Act (2015) (licensing, tourism levy and Tourism Development Fund), Zambia Wildlife Act (2015) (GMAs, CRBs, community revenue sharing), National Tourism Policy.</w:t>
      </w:r>
    </w:p>
    <w:p>
      <w:pPr>
        <w:pStyle w:val="ListParagraph"/>
        <w:numPr>
          <w:ilvl w:val="0"/>
          <w:numId w:val="83"/>
        </w:numPr>
        <w:rPr/>
      </w:pPr>
      <w:r>
        <w:rPr/>
        <w:t>Development planning: Eighth National Development Plan (2022–2026) and successor plan; Green Growth Strategy; National Financial Inclusion Strategy II (2024–2028).</w:t>
      </w:r>
    </w:p>
    <w:p>
      <w:pPr>
        <w:pStyle w:val="ListParagraph"/>
        <w:numPr>
          <w:ilvl w:val="0"/>
          <w:numId w:val="84"/>
        </w:numPr>
        <w:rPr/>
      </w:pPr>
      <w:r>
        <w:rPr/>
        <w:t>Finance: Banking and Financial Services Act (2017), Movable Property (Security Interest) Act (2016) with PACRA collateral registry, Credit Reporting Act (2018), National Payment Systems legislation, SEC Green Bond Guidelines (2019).</w:t>
      </w:r>
    </w:p>
    <w:p>
      <w:pPr>
        <w:pStyle w:val="ListParagraph"/>
        <w:numPr>
          <w:ilvl w:val="0"/>
          <w:numId w:val="85"/>
        </w:numPr>
        <w:rPr/>
      </w:pPr>
      <w:r>
        <w:rPr/>
        <w:t>Empowerment: Citizens Economic Empowerment Act (2006), CEEC mandate and preferential procurement provisions.</w:t>
      </w:r>
    </w:p>
    <w:p>
      <w:pPr>
        <w:pStyle w:val="ListParagraph"/>
        <w:numPr>
          <w:ilvl w:val="0"/>
          <w:numId w:val="86"/>
        </w:numPr>
        <w:rPr/>
      </w:pPr>
      <w:r>
        <w:rPr/>
        <w:t>Land: Lands Act (1995) — customary land administered by traditional authorities.</w:t>
      </w:r>
    </w:p>
    <w:p>
      <w:pPr>
        <w:pStyle w:val="Heading3"/>
        <w:rPr/>
      </w:pPr>
      <w:r>
        <w:rPr/>
        <w:t>Barriers</w:t>
      </w:r>
    </w:p>
    <w:p>
      <w:pPr>
        <w:pStyle w:val="ListParagraph"/>
        <w:numPr>
          <w:ilvl w:val="0"/>
          <w:numId w:val="87"/>
        </w:numPr>
        <w:rPr/>
      </w:pPr>
      <w:r>
        <w:rPr/>
        <w:t>High interest rates and short tenors; kwacha volatility affects USD-denominated tourism revenues and costs.</w:t>
      </w:r>
    </w:p>
    <w:p>
      <w:pPr>
        <w:pStyle w:val="ListParagraph"/>
        <w:numPr>
          <w:ilvl w:val="0"/>
          <w:numId w:val="88"/>
        </w:numPr>
        <w:rPr/>
      </w:pPr>
      <w:r>
        <w:rPr/>
        <w:t>Customary land tenure and GMA arrangements limit collateral and investor security.</w:t>
      </w:r>
    </w:p>
    <w:p>
      <w:pPr>
        <w:pStyle w:val="ListParagraph"/>
        <w:numPr>
          <w:ilvl w:val="0"/>
          <w:numId w:val="89"/>
        </w:numPr>
        <w:rPr/>
      </w:pPr>
      <w:r>
        <w:rPr/>
        <w:t>Multiple licences and fees (tourism licences, DNPW concession fees, council levies) increase MSME compliance costs.</w:t>
      </w:r>
    </w:p>
    <w:p>
      <w:pPr>
        <w:pStyle w:val="ListParagraph"/>
        <w:numPr>
          <w:ilvl w:val="0"/>
          <w:numId w:val="90"/>
        </w:numPr>
        <w:rPr/>
      </w:pPr>
      <w:r>
        <w:rPr/>
        <w:t>Energy insecurity following the 2024 drought (load-shedding) raised operating costs.</w:t>
      </w:r>
    </w:p>
    <w:p>
      <w:pPr>
        <w:pStyle w:val="ListParagraph"/>
        <w:numPr>
          <w:ilvl w:val="0"/>
          <w:numId w:val="91"/>
        </w:numPr>
        <w:rPr/>
      </w:pPr>
      <w:r>
        <w:rPr/>
        <w:t>Weak repayment discipline in some public empowerment funds undermines revolving capital.</w:t>
      </w:r>
    </w:p>
    <w:p>
      <w:pPr>
        <w:pStyle w:val="Heading3"/>
        <w:rPr/>
      </w:pPr>
      <w:r>
        <w:rPr/>
        <w:t>Enablers</w:t>
      </w:r>
    </w:p>
    <w:p>
      <w:pPr>
        <w:pStyle w:val="ListParagraph"/>
        <w:numPr>
          <w:ilvl w:val="0"/>
          <w:numId w:val="92"/>
        </w:numPr>
        <w:rPr/>
      </w:pPr>
      <w:r>
        <w:rPr/>
        <w:t>Active and expanding credit guarantee infrastructure (ZCGS, BoZ SBGI pilot).</w:t>
      </w:r>
    </w:p>
    <w:p>
      <w:pPr>
        <w:pStyle w:val="ListParagraph"/>
        <w:numPr>
          <w:ilvl w:val="0"/>
          <w:numId w:val="93"/>
        </w:numPr>
        <w:rPr/>
      </w:pPr>
      <w:r>
        <w:rPr/>
        <w:t>Functioning movable collateral registry enabling asset-based lending.</w:t>
      </w:r>
    </w:p>
    <w:p>
      <w:pPr>
        <w:pStyle w:val="ListParagraph"/>
        <w:numPr>
          <w:ilvl w:val="0"/>
          <w:numId w:val="94"/>
        </w:numPr>
        <w:rPr/>
      </w:pPr>
      <w:r>
        <w:rPr/>
        <w:t>Livingstone as a mature destination; Kazungula OSBP; KAZA Univisa operational with Zimbabwe; visa waivers for many source markets.</w:t>
      </w:r>
    </w:p>
    <w:p>
      <w:pPr>
        <w:pStyle w:val="ListParagraph"/>
        <w:numPr>
          <w:ilvl w:val="0"/>
          <w:numId w:val="95"/>
        </w:numPr>
        <w:rPr/>
      </w:pPr>
      <w:r>
        <w:rPr/>
        <w:t>Large-scale World Bank tourism investment and growing budget allocations to tourism.</w:t>
      </w:r>
    </w:p>
    <w:p>
      <w:pPr>
        <w:pStyle w:val="ListParagraph"/>
        <w:numPr>
          <w:ilvl w:val="0"/>
          <w:numId w:val="96"/>
        </w:numPr>
        <w:rPr/>
      </w:pPr>
      <w:r>
        <w:rPr/>
        <w:t>Very high savings-group penetration in rural areas.</w:t>
      </w:r>
    </w:p>
    <w:p>
      <w:pPr>
        <w:pStyle w:val="Heading3"/>
        <w:rPr/>
      </w:pPr>
      <w:r>
        <w:rPr/>
        <w:t>Harmonisation Opportunities</w:t>
      </w:r>
    </w:p>
    <w:p>
      <w:pPr>
        <w:pStyle w:val="ListParagraph"/>
        <w:numPr>
          <w:ilvl w:val="0"/>
          <w:numId w:val="97"/>
        </w:numPr>
        <w:rPr/>
      </w:pPr>
      <w:r>
        <w:rPr/>
        <w:t>Expanding the KAZA Univisa and integrating Kazungula/Victoria Falls border processes.</w:t>
      </w:r>
    </w:p>
    <w:p>
      <w:pPr>
        <w:pStyle w:val="ListParagraph"/>
        <w:numPr>
          <w:ilvl w:val="0"/>
          <w:numId w:val="98"/>
        </w:numPr>
        <w:rPr/>
      </w:pPr>
      <w:r>
        <w:rPr/>
        <w:t>Shared Livingstone–Victoria Falls destination management, including joint MSME supplier registries.</w:t>
      </w:r>
    </w:p>
    <w:p>
      <w:pPr>
        <w:pStyle w:val="ListParagraph"/>
        <w:numPr>
          <w:ilvl w:val="0"/>
          <w:numId w:val="99"/>
        </w:numPr>
        <w:rPr/>
      </w:pPr>
      <w:r>
        <w:rPr/>
        <w:t>Alignment of ZCGS terms with ECGC (Zimbabwe) and CGS (Namibia) for cross-border tourism enterprises.</w:t>
      </w:r>
    </w:p>
    <w:p>
      <w:pPr>
        <w:pStyle w:val="ListParagraph"/>
        <w:numPr>
          <w:ilvl w:val="0"/>
          <w:numId w:val="100"/>
        </w:numPr>
        <w:rPr/>
      </w:pPr>
      <w:r>
        <w:rPr/>
        <w:t>Harmonised community revenue-sharing standards between CRBs and Namibian/Botswanan community institutions.</w:t>
      </w:r>
    </w:p>
    <w:p>
      <w:pPr>
        <w:pStyle w:val="Heading2"/>
        <w:rPr/>
      </w:pPr>
      <w:bookmarkStart w:id="46" w:name="__RefHeading___Toc4775_309009763"/>
      <w:bookmarkEnd w:id="46"/>
      <w:r>
        <w:rPr/>
        <w:t>6.6 Large Tourism Companies, Investors, DMCs and Lodge Chains</w:t>
      </w:r>
    </w:p>
    <w:p>
      <w:pPr>
        <w:pStyle w:val="Normal"/>
        <w:keepNext w:val="true"/>
        <w:spacing w:before="160" w:after="80"/>
        <w:rPr/>
      </w:pPr>
      <w:r>
        <w:rPr>
          <w:b/>
          <w:bCs/>
          <w:color w:val="1F5135"/>
          <w:sz w:val="20"/>
          <w:szCs w:val="20"/>
        </w:rPr>
        <w:t xml:space="preserve">Table 27: </w:t>
      </w:r>
      <w:r>
        <w:rPr>
          <w:i/>
          <w:iCs/>
          <w:sz w:val="20"/>
          <w:szCs w:val="20"/>
        </w:rPr>
        <w:t>Potential private-sector partners — Zambia</w:t>
      </w:r>
    </w:p>
    <w:tbl>
      <w:tblPr>
        <w:tblW w:w="9026" w:type="dxa"/>
        <w:jc w:val="left"/>
        <w:tblInd w:w="0" w:type="dxa"/>
        <w:tblLayout w:type="fixed"/>
        <w:tblCellMar>
          <w:top w:w="60" w:type="dxa"/>
          <w:left w:w="100" w:type="dxa"/>
          <w:bottom w:w="60" w:type="dxa"/>
          <w:right w:w="100" w:type="dxa"/>
        </w:tblCellMar>
      </w:tblPr>
      <w:tblGrid>
        <w:gridCol w:w="2600"/>
        <w:gridCol w:w="2998"/>
        <w:gridCol w:w="3428"/>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Company / investor</w:t>
            </w:r>
          </w:p>
        </w:tc>
        <w:tc>
          <w:tcPr>
            <w:tcW w:w="29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Footprint in KAZA corridor</w:t>
            </w:r>
          </w:p>
        </w:tc>
        <w:tc>
          <w:tcPr>
            <w:tcW w:w="34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Partnership potential for MSME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Large Livingstone resorts (e.g. Royal Livingstone and Avani Victoria Falls Resort), David Livingstone Safari Lodge, Protea by Marriott Livingstone</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Mosi-oa-Tunya/Livingstone</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High-volume procurement of food, laundry, transport and crafts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Tongabezi; Thorntree River Lodge (Green Safaris); Toka Leya (Wilderness); Sanctuary Sussi &amp; Chuma; Islands of Siankaba</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Upper Zambezi</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Supplier development; community partnerships; foundation co-funding</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Kafue operators (e.g. Wilderness, Green Safaris, Mukambi, Musekese, KaingU)</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Kafue NP and GMAs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Remote-area supply chains (food, maintenance, transport); community guiding</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DMCs and activity operators (e.g. Bushtracks Africa, Safari Par Excellence, Livingstone’s Adventure, Batoka Sky)</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Livingstone–Victoria Falls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Forward contracts and booking-backed finance for small activity operators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Proflight Zambia and air charter operators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Domestic air access to Livingstone and Kafue</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Destination packaging; indirect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Impact investors (e.g. Kukula Capital) and local pension funds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 growth capital</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Co-investment in growth-stage tourism MSMEs</w:t>
            </w:r>
          </w:p>
        </w:tc>
      </w:tr>
    </w:tbl>
    <w:p>
      <w:pPr>
        <w:pStyle w:val="Normal"/>
        <w:spacing w:before="0" w:after="120"/>
        <w:rPr/>
      </w:pPr>
      <w:r>
        <w:rPr/>
      </w:r>
    </w:p>
    <w:p>
      <w:pPr>
        <w:pStyle w:val="Heading2"/>
        <w:rPr/>
      </w:pPr>
      <w:bookmarkStart w:id="47" w:name="__RefHeading___Toc4777_309009763"/>
      <w:bookmarkEnd w:id="47"/>
      <w:r>
        <w:rPr/>
        <w:t>6.7 Assessment of Potential Partner Financial Institutions</w:t>
      </w:r>
    </w:p>
    <w:p>
      <w:pPr>
        <w:pStyle w:val="Normal"/>
        <w:keepNext w:val="true"/>
        <w:spacing w:before="160" w:after="80"/>
        <w:rPr/>
      </w:pPr>
      <w:r>
        <w:rPr>
          <w:b/>
          <w:bCs/>
          <w:color w:val="1F5135"/>
          <w:sz w:val="20"/>
          <w:szCs w:val="20"/>
        </w:rPr>
        <w:t xml:space="preserve">Table 28: </w:t>
      </w:r>
      <w:r>
        <w:rPr>
          <w:i/>
          <w:iCs/>
          <w:sz w:val="20"/>
          <w:szCs w:val="20"/>
        </w:rPr>
        <w:t>Indicative assessment of partner financial institutions — Zambia</w:t>
      </w:r>
    </w:p>
    <w:tbl>
      <w:tblPr>
        <w:tblW w:w="9026" w:type="dxa"/>
        <w:jc w:val="left"/>
        <w:tblInd w:w="0" w:type="dxa"/>
        <w:tblLayout w:type="fixed"/>
        <w:tblCellMar>
          <w:top w:w="60" w:type="dxa"/>
          <w:left w:w="100" w:type="dxa"/>
          <w:bottom w:w="60" w:type="dxa"/>
          <w:right w:w="100" w:type="dxa"/>
        </w:tblCellMar>
      </w:tblPr>
      <w:tblGrid>
        <w:gridCol w:w="2198"/>
        <w:gridCol w:w="1302"/>
        <w:gridCol w:w="1300"/>
        <w:gridCol w:w="1298"/>
        <w:gridCol w:w="2928"/>
      </w:tblGrid>
      <w:tr>
        <w:trPr>
          <w:tblHeader w:val="true"/>
        </w:trPr>
        <w:tc>
          <w:tcPr>
            <w:tcW w:w="21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Institution</w:t>
            </w:r>
          </w:p>
        </w:tc>
        <w:tc>
          <w:tcPr>
            <w:tcW w:w="1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Capacity</w:t>
            </w:r>
          </w:p>
        </w:tc>
        <w:tc>
          <w:tcPr>
            <w:tcW w:w="13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Strategic interest</w:t>
            </w:r>
          </w:p>
        </w:tc>
        <w:tc>
          <w:tcPr>
            <w:tcW w:w="12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Risk appetite</w:t>
            </w:r>
          </w:p>
        </w:tc>
        <w:tc>
          <w:tcPr>
            <w:tcW w:w="29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Pilot suitability</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 Credit Guarantee Scheme</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Lead candidate: tourism/KAZA guarantee window across partner banks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Zanaco</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(SME, digital)</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Largest domestic bank; rural reach; digital SME lending</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Stanbic Bank Zambia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Group conservation-finance experience; corporate tourism anchors; supplier finance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FNB Zambia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(ZCGS partner)</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K100m ZCGS partnership; youth/women focus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Absa Bank Zambia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K1bn CEEC SME facility; co-financing</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Bank of Zambia</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Wholesale funding; capacity constraints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CEEC</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Concessional loans incl. vehicles; needs stronger credit discipline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MFIs (Agora, VisionFund, LOLC) and digital lenders</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 and VSLA-linked loans; digital working capital</w:t>
            </w:r>
          </w:p>
        </w:tc>
      </w:tr>
    </w:tbl>
    <w:p>
      <w:pPr>
        <w:pStyle w:val="Normal"/>
        <w:spacing w:before="0" w:after="120"/>
        <w:rPr/>
      </w:pPr>
      <w:r>
        <w:rPr/>
      </w:r>
    </w:p>
    <w:p>
      <w:pPr>
        <w:pStyle w:val="Heading2"/>
        <w:rPr/>
      </w:pPr>
      <w:bookmarkStart w:id="48" w:name="__RefHeading___Toc4779_309009763"/>
      <w:bookmarkEnd w:id="48"/>
      <w:r>
        <w:rPr/>
        <w:t>6.8 Development Banks, Foundations and Impact Investors</w:t>
      </w:r>
    </w:p>
    <w:p>
      <w:pPr>
        <w:pStyle w:val="Normal"/>
        <w:keepNext w:val="true"/>
        <w:spacing w:before="160" w:after="80"/>
        <w:rPr/>
      </w:pPr>
      <w:r>
        <w:rPr>
          <w:b/>
          <w:bCs/>
          <w:color w:val="1F5135"/>
          <w:sz w:val="20"/>
          <w:szCs w:val="20"/>
        </w:rPr>
        <w:t xml:space="preserve">Table 29: </w:t>
      </w:r>
      <w:r>
        <w:rPr>
          <w:i/>
          <w:iCs/>
          <w:sz w:val="20"/>
          <w:szCs w:val="20"/>
        </w:rPr>
        <w:t>DFIs, foundations and impact investors with aligned mandates — Zambia</w:t>
      </w:r>
    </w:p>
    <w:tbl>
      <w:tblPr>
        <w:tblW w:w="9026" w:type="dxa"/>
        <w:jc w:val="left"/>
        <w:tblInd w:w="0" w:type="dxa"/>
        <w:tblLayout w:type="fixed"/>
        <w:tblCellMar>
          <w:top w:w="60" w:type="dxa"/>
          <w:left w:w="100" w:type="dxa"/>
          <w:bottom w:w="60" w:type="dxa"/>
          <w:right w:w="100" w:type="dxa"/>
        </w:tblCellMar>
      </w:tblPr>
      <w:tblGrid>
        <w:gridCol w:w="2600"/>
        <w:gridCol w:w="3200"/>
        <w:gridCol w:w="3226"/>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Organisation</w:t>
            </w:r>
          </w:p>
        </w:tc>
        <w:tc>
          <w:tcPr>
            <w:tcW w:w="32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Mandate / activity</w:t>
            </w:r>
          </w:p>
        </w:tc>
        <w:tc>
          <w:tcPr>
            <w:tcW w:w="32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Alignment with R-NBT MSME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World Bank / IFC</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100m tourism credit; financial inclusion; IFC risk-sharing</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Matching grants for communities; potential bank risk-sharing for tourism MSMEs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AfDB</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 and women’s finance (AFAWA), green growth</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Lines and guarantees to banks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EU; KfW / GIZ; Sweden; FCDO</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growth, KAZA, private-sector development</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Blended pilots, TA, guarantees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Peace Parks Foundation</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TFCAs, Simalaha, Sioma Ngwezi</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conservancy enterprise development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Mastercard Foundation; AECF</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Youth employment and enterprise; challenge funds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 and patient capital for MSMEs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National Advisory Board for Impact Investment (NABII); Bank of Zambia</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Impact investment ecosystem; SBGI guarantee pilot</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Co-design of guarantee and impact instruments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Kukula Capital and other local impact funds</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 equity and quasi-equity</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Growth capital for tourism MSMEs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TDB Group; Afreximbank; FMO; Proparco; BII</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Lines of credit and equity in banks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Wholesale funding for tourism SME lines</w:t>
            </w:r>
          </w:p>
        </w:tc>
      </w:tr>
    </w:tbl>
    <w:p>
      <w:pPr>
        <w:pStyle w:val="Normal"/>
        <w:spacing w:before="0" w:after="120"/>
        <w:rPr/>
      </w:pPr>
      <w:r>
        <w:rPr/>
      </w:r>
    </w:p>
    <w:p>
      <w:pPr>
        <w:pStyle w:val="Heading2"/>
        <w:rPr/>
      </w:pPr>
      <w:bookmarkStart w:id="49" w:name="__RefHeading___Toc4781_309009763"/>
      <w:bookmarkEnd w:id="49"/>
      <w:r>
        <w:rPr/>
        <w:t>6.9 Existing Guarantee Schemes, Revolving Funds and Other Mechanisms</w:t>
      </w:r>
    </w:p>
    <w:p>
      <w:pPr>
        <w:pStyle w:val="Normal"/>
        <w:keepNext w:val="true"/>
        <w:spacing w:before="160" w:after="80"/>
        <w:rPr/>
      </w:pPr>
      <w:r>
        <w:rPr>
          <w:b/>
          <w:bCs/>
          <w:color w:val="1F5135"/>
          <w:sz w:val="20"/>
          <w:szCs w:val="20"/>
        </w:rPr>
        <w:t xml:space="preserve">Table 30: </w:t>
      </w:r>
      <w:r>
        <w:rPr>
          <w:i/>
          <w:iCs/>
          <w:sz w:val="20"/>
          <w:szCs w:val="20"/>
        </w:rPr>
        <w:t>Mechanisms to strengthen or replicate — Zambia</w:t>
      </w:r>
    </w:p>
    <w:tbl>
      <w:tblPr>
        <w:tblW w:w="9026" w:type="dxa"/>
        <w:jc w:val="left"/>
        <w:tblInd w:w="0" w:type="dxa"/>
        <w:tblLayout w:type="fixed"/>
        <w:tblCellMar>
          <w:top w:w="60" w:type="dxa"/>
          <w:left w:w="100" w:type="dxa"/>
          <w:bottom w:w="60" w:type="dxa"/>
          <w:right w:w="100" w:type="dxa"/>
        </w:tblCellMar>
      </w:tblPr>
      <w:tblGrid>
        <w:gridCol w:w="2400"/>
        <w:gridCol w:w="3299"/>
        <w:gridCol w:w="3327"/>
      </w:tblGrid>
      <w:tr>
        <w:trPr>
          <w:tblHeader w:val="true"/>
        </w:trPr>
        <w:tc>
          <w:tcPr>
            <w:tcW w:w="24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Mechanism</w:t>
            </w:r>
          </w:p>
        </w:tc>
        <w:tc>
          <w:tcPr>
            <w:tcW w:w="32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Status</w:t>
            </w:r>
          </w:p>
        </w:tc>
        <w:tc>
          <w:tcPr>
            <w:tcW w:w="3327"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Strengthen / replicate</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Zambia Credit Guarantee Scheme (ZCGS)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15 partner lenders; e.g. K100m FNB partnership with K50m guarantee</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Tourism/KAZA window with seasonal repayment; DFI counter-guarantees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 of Zambia Small Business Growth Initiative</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Pilot credit guarantee scheme; EOIs closed September 2025; rollout targeted Q1 2026</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Include tourism MSMEs in Southern/Western Provinces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CEEC Empowerment Fund</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vehicle and SME loans</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product line with BDS and repayment incentives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Development Fund (tourism levy)</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Provided for in the Tourism and Hospitality Act</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Allocate a share as first-loss or matching grants for MSMEs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World Bank matching grants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Under implementation</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Blend with ZCGS-backed loans for larger community investments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CRB community revenues; Simalaha Conservancy</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Ring-fenced community revolving funds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VSLAs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Widespread</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Graduation to MFI/bank loans; group-based tourism enterprise finance</w:t>
            </w:r>
          </w:p>
        </w:tc>
      </w:tr>
    </w:tbl>
    <w:p>
      <w:pPr>
        <w:pStyle w:val="Normal"/>
        <w:spacing w:before="0" w:after="120"/>
        <w:rPr/>
      </w:pPr>
      <w:r>
        <w:rPr/>
      </w:r>
    </w:p>
    <w:p>
      <w:pPr>
        <w:pStyle w:val="Normal"/>
        <w:pBdr>
          <w:left w:val="single" w:sz="24" w:space="8" w:color="C8A951"/>
        </w:pBdr>
        <w:shd w:val="clear" w:color="auto" w:fill="E8F0EA"/>
        <w:spacing w:before="160" w:after="200"/>
        <w:ind w:left="200" w:right="200"/>
        <w:rPr/>
      </w:pPr>
      <w:r>
        <w:rPr>
          <w:i/>
          <w:iCs/>
          <w:sz w:val="21"/>
          <w:szCs w:val="21"/>
        </w:rPr>
        <w:t>Zambia priority: a ZCGS tourism window with partner banks in Livingstone and Kafue, blended with World Bank matching grants and VSLA-to-MFI graduation for community enterprises.</w:t>
      </w:r>
      <w:r>
        <w:br w:type="page"/>
      </w:r>
    </w:p>
    <w:p>
      <w:pPr>
        <w:pStyle w:val="Heading1"/>
        <w:spacing w:before="0" w:after="240"/>
        <w:rPr/>
      </w:pPr>
      <w:bookmarkStart w:id="50" w:name="__RefHeading___Toc4783_309009763"/>
      <w:bookmarkEnd w:id="50"/>
      <w:r>
        <w:rPr/>
        <w:t>7. Zimbabwe</w:t>
      </w:r>
    </w:p>
    <w:p>
      <w:pPr>
        <w:pStyle w:val="Heading2"/>
        <w:rPr/>
      </w:pPr>
      <w:bookmarkStart w:id="51" w:name="__RefHeading___Toc4785_309009763"/>
      <w:bookmarkEnd w:id="51"/>
      <w:r>
        <w:rPr/>
        <w:t>7.1 Country Context: The Zimbabwean KAZA Component</w:t>
      </w:r>
    </w:p>
    <w:p>
      <w:pPr>
        <w:pStyle w:val="Normal"/>
        <w:jc w:val="both"/>
        <w:rPr/>
      </w:pPr>
      <w:r>
        <w:rPr/>
        <w:t>Zimbabwe’s KAZA component lies in Matabeleland North and the western Kariba basin, encompassing Hwange National Park, Victoria Falls and Zambezi National Parks, Kazuma Pan, Matetsi safari areas, Chizarira National Park and Chete Safari Area, and communal areas in Hwange, Binga and Tsholotsho districts. Victoria Falls is the region’s busiest tourism hub, served by an international airport, and is linked to Livingstone through the KAZA Univisa.</w:t>
      </w:r>
    </w:p>
    <w:p>
      <w:pPr>
        <w:pStyle w:val="Normal"/>
        <w:jc w:val="both"/>
        <w:rPr/>
      </w:pPr>
      <w:r>
        <w:rPr/>
        <w:t>Zimbabwe has a strong private tourism sector but a difficult financial environment. The Zimbabwe Gold (ZiG) currency was introduced in April 2024; a multi-currency system persists with the US dollar dominating tourism transactions, and authorities have signalled a de-dollarisation roadmap to 2030. Bank lending is short-term and expensive, and Zimbabwe’s external arrears restrict lending from the World Bank and AfDB, which is limited largely to grants pending an arrears clearance and debt resolution process. Victoria Falls has been designated a Special Economic Zone and offshore financial services centre, hosting the USD-denominated Victoria Falls Stock Exchange (VFEX). The CAMPFIRE programme gives Rural District Councils (RDCs) ‘Appropriate Authority’ over wildlife on communal land.</w:t>
      </w:r>
    </w:p>
    <w:p>
      <w:pPr>
        <w:pStyle w:val="Heading2"/>
        <w:rPr/>
      </w:pPr>
      <w:bookmarkStart w:id="52" w:name="__RefHeading___Toc4787_309009763"/>
      <w:bookmarkEnd w:id="52"/>
      <w:r>
        <w:rPr/>
        <w:t>7.2 Mapping of Financial Actors and Adaptable Products</w:t>
      </w:r>
    </w:p>
    <w:p>
      <w:pPr>
        <w:pStyle w:val="Normal"/>
        <w:keepNext w:val="true"/>
        <w:spacing w:before="160" w:after="80"/>
        <w:rPr/>
      </w:pPr>
      <w:r>
        <w:rPr>
          <w:b/>
          <w:bCs/>
          <w:color w:val="1F5135"/>
          <w:sz w:val="20"/>
          <w:szCs w:val="20"/>
        </w:rPr>
        <w:t xml:space="preserve">Table 31: </w:t>
      </w:r>
      <w:r>
        <w:rPr>
          <w:i/>
          <w:iCs/>
          <w:sz w:val="20"/>
          <w:szCs w:val="20"/>
        </w:rPr>
        <w:t>Financial actors in Zimbabwe and products adaptable for R-NBT MSMEs</w:t>
      </w:r>
    </w:p>
    <w:tbl>
      <w:tblPr>
        <w:tblW w:w="9026" w:type="dxa"/>
        <w:jc w:val="left"/>
        <w:tblInd w:w="0" w:type="dxa"/>
        <w:tblLayout w:type="fixed"/>
        <w:tblCellMar>
          <w:top w:w="60" w:type="dxa"/>
          <w:left w:w="100" w:type="dxa"/>
          <w:bottom w:w="60" w:type="dxa"/>
          <w:right w:w="100" w:type="dxa"/>
        </w:tblCellMar>
      </w:tblPr>
      <w:tblGrid>
        <w:gridCol w:w="1698"/>
        <w:gridCol w:w="3302"/>
        <w:gridCol w:w="4026"/>
      </w:tblGrid>
      <w:tr>
        <w:trPr>
          <w:tblHeader w:val="true"/>
        </w:trPr>
        <w:tc>
          <w:tcPr>
            <w:tcW w:w="16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Category</w:t>
            </w:r>
          </w:p>
        </w:tc>
        <w:tc>
          <w:tcPr>
            <w:tcW w:w="3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Key actors</w:t>
            </w:r>
          </w:p>
        </w:tc>
        <w:tc>
          <w:tcPr>
            <w:tcW w:w="40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Products adaptable for R-NBT MSMEs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Commercial banks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CBZ Bank, Stanbic Bank Zimbabwe, FBC Bank, CABS, NMB Bank, Steward Bank, ZB Bank, BancABC, First Capital Bank, Ecobank, Nedbank Zimbabwe, POSB (state)</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Short-term USD loans and overdrafts, asset finance, ECGC-backed loans, digital SME products; branches in Victoria Falls and Hwange</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Development finance institutions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Infrastructure Development Bank of Zimbabwe (IDBZ); Small and Medium Enterprises Development Corporation (SMEDCO); EmpowerBank; Zimbabwe Women’s Microfinance Bank; AFC Land and Development Bank</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SMEDCO MSME loans; EmpowerBank youth loans; women’s microfinance; IDBZ infrastructure and green finance (GCF-accredited)</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Guarantee institutions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Export Credit Guarantee Corporation of Zimbabwe (ECGC), an RBZ subsidiary</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MSME Credit Guarantee Scheme (since 2018), all sectors including tourism</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Microfinance</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Deposit-taking and credit-only MFIs regulated by RBZ under the Microfinance Act (members of ZAMFI)</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micro and small loans; high pricing; group lending</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 groups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Internal Savings and Lending schemes (ISALs), mukando and women’s groups</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common; base for linkage and group lending</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Fintech and digital finance</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EcoCash, OneMoney, InnBucks, Zimswitch/ZIPIT, remittance platforms; RBZ fintech regulatory sandbox</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Digital payments and remittances; transaction data for scoring</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Blended and public facilities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RBZ Tourism Revival Fund (USD 15m, low uptake); Cabinet-approved tourism revolving fund (status unclear); donor programmes (EU, FCDO, KfW/GIZ)</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Lessons for design of tourism-specific facilities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Community-based mechanisms</w:t>
            </w:r>
          </w:p>
        </w:tc>
        <w:tc>
          <w:tcPr>
            <w:tcW w:w="3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CAMPFIRE revenues to RDCs and wards; community trusts and lodge–community partnerships</w:t>
            </w:r>
          </w:p>
        </w:tc>
        <w:tc>
          <w:tcPr>
            <w:tcW w:w="40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Ward-level revenues that can capitalise revolving funds</w:t>
            </w:r>
          </w:p>
        </w:tc>
      </w:tr>
    </w:tbl>
    <w:p>
      <w:pPr>
        <w:pStyle w:val="Normal"/>
        <w:spacing w:before="0" w:after="120"/>
        <w:rPr/>
      </w:pPr>
      <w:r>
        <w:rPr/>
      </w:r>
    </w:p>
    <w:p>
      <w:pPr>
        <w:pStyle w:val="Heading2"/>
        <w:rPr/>
      </w:pPr>
      <w:bookmarkStart w:id="53" w:name="__RefHeading___Toc4789_309009763"/>
      <w:bookmarkEnd w:id="53"/>
      <w:r>
        <w:rPr/>
        <w:t>7.3 Business Support Organisations and Stakeholders</w:t>
      </w:r>
    </w:p>
    <w:p>
      <w:pPr>
        <w:pStyle w:val="Normal"/>
        <w:keepNext w:val="true"/>
        <w:spacing w:before="160" w:after="80"/>
        <w:rPr/>
      </w:pPr>
      <w:r>
        <w:rPr>
          <w:b/>
          <w:bCs/>
          <w:color w:val="1F5135"/>
          <w:sz w:val="20"/>
          <w:szCs w:val="20"/>
        </w:rPr>
        <w:t xml:space="preserve">Table 32: </w:t>
      </w:r>
      <w:r>
        <w:rPr>
          <w:i/>
          <w:iCs/>
          <w:sz w:val="20"/>
          <w:szCs w:val="20"/>
        </w:rPr>
        <w:t>BSOs and stakeholders for nature-based tourism in Zimbabwe’s KAZA corridor</w:t>
      </w:r>
    </w:p>
    <w:tbl>
      <w:tblPr>
        <w:tblW w:w="9026" w:type="dxa"/>
        <w:jc w:val="left"/>
        <w:tblInd w:w="0" w:type="dxa"/>
        <w:tblLayout w:type="fixed"/>
        <w:tblCellMar>
          <w:top w:w="60" w:type="dxa"/>
          <w:left w:w="100" w:type="dxa"/>
          <w:bottom w:w="60" w:type="dxa"/>
          <w:right w:w="100" w:type="dxa"/>
        </w:tblCellMar>
      </w:tblPr>
      <w:tblGrid>
        <w:gridCol w:w="2600"/>
        <w:gridCol w:w="2598"/>
        <w:gridCol w:w="3828"/>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Organisation</w:t>
            </w:r>
          </w:p>
        </w:tc>
        <w:tc>
          <w:tcPr>
            <w:tcW w:w="25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Type</w:t>
            </w:r>
          </w:p>
        </w:tc>
        <w:tc>
          <w:tcPr>
            <w:tcW w:w="38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Role and relevance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Ministry of Tourism and Hospitality Industry</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Government</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policy, National Tourism Recovery and Growth Strategy</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Zimbabwe Tourism Authority (ZTA)</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Parastatal</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Registration, grading, tourism levy, marketing</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Zimbabwe Parks and Wildlife Management Authority (ZimParks); Ministry of Environment, Climate and Wildlife</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Government</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Park management and concessions; KAZA National Coordination Unit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Hwange, Binga and Tsholotsho RDCs; Victoria Falls City Council</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Local government</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CAMPFIRE Appropriate Authority; licensing; local levies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CAMPFIRE Association</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network</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Representation of CAMPFIRE districts and communities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Business Council of Zimbabwe; Hospitality Association of Zimbabwe; Zimbabwe Council for Tourism</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Industry associations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Advocacy, including for tourism revolving fund and concessionary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Safari Operators Association of Zimbabwe; Zimbabwe Professional Hunters and Guides Association; Zimbabwe Association of Tour and Safari Operators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Industry associations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Guiding standards, operator representation</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Ministry of Women Affairs, Community, Small and Medium Enterprises Development; SMEDCO</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Government / public BSO</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MSME policy, finance and BDS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ZIDA; ZimTrade; Confederation of Zimbabwe Industries; Zimbabwe National Chamber of Commerce</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Investment and trade bodies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Investment facilitation; market linkages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NGOs: Painted Dog Conservation, Bhejane Trust, Victoria Falls Wildlife Trust, WWF Zimbabwe, Children in the Wilderness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Conservation and community NGOs</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enterprise, conservation employment, HWC mitigation</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Lupane State University; NUST; hospitality and tourism training institutions</w:t>
            </w:r>
          </w:p>
        </w:tc>
        <w:tc>
          <w:tcPr>
            <w:tcW w:w="25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Academic / training</w:t>
            </w:r>
          </w:p>
        </w:tc>
        <w:tc>
          <w:tcPr>
            <w:tcW w:w="38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Skills, research, enterprise support</w:t>
            </w:r>
          </w:p>
        </w:tc>
      </w:tr>
    </w:tbl>
    <w:p>
      <w:pPr>
        <w:pStyle w:val="Normal"/>
        <w:spacing w:before="0" w:after="120"/>
        <w:rPr/>
      </w:pPr>
      <w:r>
        <w:rPr/>
      </w:r>
    </w:p>
    <w:p>
      <w:pPr>
        <w:pStyle w:val="Heading2"/>
        <w:rPr/>
      </w:pPr>
      <w:bookmarkStart w:id="54" w:name="__RefHeading___Toc4791_309009763"/>
      <w:bookmarkEnd w:id="54"/>
      <w:r>
        <w:rPr/>
        <w:t>7.4 Analysis of Available Financial Products</w:t>
      </w:r>
    </w:p>
    <w:p>
      <w:pPr>
        <w:pStyle w:val="Normal"/>
        <w:jc w:val="both"/>
        <w:rPr/>
      </w:pPr>
      <w:r>
        <w:rPr/>
        <w:t>The supply of finance to tourism MSMEs in Zimbabwe is constrained less by the absence of institutions than by currency risk, cost and tenor. Industry bodies have long called for a concessional tourism revolving fund, citing bank interest rates that at times reached very high levels in local currency. A USD 15 million RBZ Tourism Revival Fund experienced low uptake — reportedly only three applicants after seven months — with operators citing currency-related concerns. ECGC’s MSME Credit Guarantee Scheme, introduced in 2018 and open to all sectors, reported plans in 2023 to guarantee around USD 60 million for 200 SMEs. These experiences show that facility design (currency, pricing, eligibility, process) is as important as funding volume.</w:t>
      </w:r>
    </w:p>
    <w:p>
      <w:pPr>
        <w:pStyle w:val="Normal"/>
        <w:keepNext w:val="true"/>
        <w:spacing w:before="160" w:after="80"/>
        <w:rPr/>
      </w:pPr>
      <w:r>
        <w:rPr>
          <w:b/>
          <w:bCs/>
          <w:color w:val="1F5135"/>
          <w:sz w:val="20"/>
          <w:szCs w:val="20"/>
        </w:rPr>
        <w:t xml:space="preserve">Table 33: </w:t>
      </w:r>
      <w:r>
        <w:rPr>
          <w:i/>
          <w:iCs/>
          <w:sz w:val="20"/>
          <w:szCs w:val="20"/>
        </w:rPr>
        <w:t>Accessibility and relevance of financial products — Zimbabwe</w:t>
      </w:r>
    </w:p>
    <w:tbl>
      <w:tblPr>
        <w:tblW w:w="9026" w:type="dxa"/>
        <w:jc w:val="left"/>
        <w:tblInd w:w="0" w:type="dxa"/>
        <w:tblLayout w:type="fixed"/>
        <w:tblCellMar>
          <w:top w:w="60" w:type="dxa"/>
          <w:left w:w="100" w:type="dxa"/>
          <w:bottom w:w="60" w:type="dxa"/>
          <w:right w:w="100" w:type="dxa"/>
        </w:tblCellMar>
      </w:tblPr>
      <w:tblGrid>
        <w:gridCol w:w="1698"/>
        <w:gridCol w:w="2601"/>
        <w:gridCol w:w="1299"/>
        <w:gridCol w:w="1302"/>
        <w:gridCol w:w="2126"/>
      </w:tblGrid>
      <w:tr>
        <w:trPr>
          <w:tblHeader w:val="true"/>
        </w:trPr>
        <w:tc>
          <w:tcPr>
            <w:tcW w:w="16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Product</w:t>
            </w:r>
          </w:p>
        </w:tc>
        <w:tc>
          <w:tcPr>
            <w:tcW w:w="26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Main providers</w:t>
            </w:r>
          </w:p>
        </w:tc>
        <w:tc>
          <w:tcPr>
            <w:tcW w:w="12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Access</w:t>
            </w:r>
          </w:p>
        </w:tc>
        <w:tc>
          <w:tcPr>
            <w:tcW w:w="1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Relevance</w:t>
            </w:r>
          </w:p>
        </w:tc>
        <w:tc>
          <w:tcPr>
            <w:tcW w:w="21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Comment</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Term loans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Banks (USD), SMEDCO, IDBZ</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Tenors short; collateral heavy; USD loans to USD earners easier</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Working capital</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Banks, MFIs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Common but costly; seasonal structures rare</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Guarantees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ECGC MSME Credit Guarantee Scheme</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All-sector; tourism uptake unknown; awareness low</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Micro-loans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MFIs, ZWMB, EmpowerBank</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Women and youth targeting; high pricing</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Donors, NGOs, operator foundations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Important given arrears constraints on DFIs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Revolving funds</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Revival Fund; CAMPFIRE ward funds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Redesign needed to address currency and process issues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Leasing / asset finance</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 asset finance, vehicle dealers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Vehicles and boats for Victoria Falls activity operators</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Equity</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VFEX listings, private equity, operator JV equity</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low</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Larger firms only</w:t>
            </w:r>
          </w:p>
        </w:tc>
      </w:tr>
      <w:tr>
        <w:trPr>
          <w:cantSplit w:val="true"/>
        </w:trPr>
        <w:tc>
          <w:tcPr>
            <w:tcW w:w="16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finance</w:t>
            </w:r>
          </w:p>
        </w:tc>
        <w:tc>
          <w:tcPr>
            <w:tcW w:w="26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IDBZ, solar suppliers/PAYGo, bank green lines</w:t>
            </w:r>
          </w:p>
        </w:tc>
        <w:tc>
          <w:tcPr>
            <w:tcW w:w="1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1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Solar critical given grid instability</w:t>
            </w:r>
          </w:p>
        </w:tc>
      </w:tr>
    </w:tbl>
    <w:p>
      <w:pPr>
        <w:pStyle w:val="Normal"/>
        <w:spacing w:before="0" w:after="120"/>
        <w:rPr/>
      </w:pPr>
      <w:r>
        <w:rPr/>
      </w:r>
    </w:p>
    <w:p>
      <w:pPr>
        <w:pStyle w:val="Heading2"/>
        <w:rPr/>
      </w:pPr>
      <w:bookmarkStart w:id="55" w:name="__RefHeading___Toc4793_309009763"/>
      <w:bookmarkEnd w:id="55"/>
      <w:r>
        <w:rPr/>
        <w:t>7.5 Regulatory and Policy Environment</w:t>
      </w:r>
    </w:p>
    <w:p>
      <w:pPr>
        <w:pStyle w:val="Heading3"/>
        <w:rPr/>
      </w:pPr>
      <w:r>
        <w:rPr/>
        <w:t>Key Frameworks</w:t>
      </w:r>
    </w:p>
    <w:p>
      <w:pPr>
        <w:pStyle w:val="ListParagraph"/>
        <w:numPr>
          <w:ilvl w:val="0"/>
          <w:numId w:val="101"/>
        </w:numPr>
        <w:rPr/>
      </w:pPr>
      <w:r>
        <w:rPr/>
        <w:t>Tourism and wildlife: Tourism Act [Chapter 14:20]; Parks and Wild Life Act [Chapter 20:14] (Appropriate Authority to RDCs); Environmental Management Act [Chapter 20:27]; National Tourism Policy; National Tourism Recovery and Growth Strategy.</w:t>
      </w:r>
    </w:p>
    <w:p>
      <w:pPr>
        <w:pStyle w:val="ListParagraph"/>
        <w:numPr>
          <w:ilvl w:val="0"/>
          <w:numId w:val="102"/>
        </w:numPr>
        <w:rPr/>
      </w:pPr>
      <w:r>
        <w:rPr/>
        <w:t>Development planning: National Development Strategy 1 (2021–2025) and successor NDS2 (2026–2030).</w:t>
      </w:r>
    </w:p>
    <w:p>
      <w:pPr>
        <w:pStyle w:val="ListParagraph"/>
        <w:numPr>
          <w:ilvl w:val="0"/>
          <w:numId w:val="103"/>
        </w:numPr>
        <w:rPr/>
      </w:pPr>
      <w:r>
        <w:rPr/>
        <w:t>Investment: Zimbabwe Investment and Development Agency Act (2019); Special Economic Zones framework (Victoria Falls); indigenisation and empowerment framework with reserved sectors for citizens.</w:t>
      </w:r>
    </w:p>
    <w:p>
      <w:pPr>
        <w:pStyle w:val="ListParagraph"/>
        <w:numPr>
          <w:ilvl w:val="0"/>
          <w:numId w:val="104"/>
        </w:numPr>
        <w:rPr/>
      </w:pPr>
      <w:r>
        <w:rPr/>
        <w:t>Finance: Banking Act; Microfinance Act [Chapter 24:29]; Movable Property Security Interests Act (2017) and collateral registry; RBZ credit registry; RBZ fintech sandbox; monetary and exchange-control directives (ZiG, multi-currency).</w:t>
      </w:r>
    </w:p>
    <w:p>
      <w:pPr>
        <w:pStyle w:val="Heading3"/>
        <w:rPr/>
      </w:pPr>
      <w:r>
        <w:rPr/>
        <w:t>Barriers</w:t>
      </w:r>
    </w:p>
    <w:p>
      <w:pPr>
        <w:pStyle w:val="ListParagraph"/>
        <w:numPr>
          <w:ilvl w:val="0"/>
          <w:numId w:val="105"/>
        </w:numPr>
        <w:rPr/>
      </w:pPr>
      <w:r>
        <w:rPr/>
        <w:t>Currency instability and changing exchange-control rules undermine long-term planning and the attractiveness of local-currency facilities.</w:t>
      </w:r>
    </w:p>
    <w:p>
      <w:pPr>
        <w:pStyle w:val="ListParagraph"/>
        <w:numPr>
          <w:ilvl w:val="0"/>
          <w:numId w:val="106"/>
        </w:numPr>
        <w:rPr/>
      </w:pPr>
      <w:r>
        <w:rPr/>
        <w:t>High real interest rates and very short tenors; limited long-term funding in the banking system.</w:t>
      </w:r>
    </w:p>
    <w:p>
      <w:pPr>
        <w:pStyle w:val="ListParagraph"/>
        <w:numPr>
          <w:ilvl w:val="0"/>
          <w:numId w:val="107"/>
        </w:numPr>
        <w:rPr/>
      </w:pPr>
      <w:r>
        <w:rPr/>
        <w:t>Sovereign arrears limit concessional lending by multilateral development banks.</w:t>
      </w:r>
    </w:p>
    <w:p>
      <w:pPr>
        <w:pStyle w:val="ListParagraph"/>
        <w:numPr>
          <w:ilvl w:val="0"/>
          <w:numId w:val="108"/>
        </w:numPr>
        <w:rPr/>
      </w:pPr>
      <w:r>
        <w:rPr/>
        <w:t>Multiple overlapping licences, levies and fees (ZTA, ZimParks, RDCs, EMA, councils) raise compliance costs for small operators.</w:t>
      </w:r>
    </w:p>
    <w:p>
      <w:pPr>
        <w:pStyle w:val="ListParagraph"/>
        <w:numPr>
          <w:ilvl w:val="0"/>
          <w:numId w:val="109"/>
        </w:numPr>
        <w:rPr/>
      </w:pPr>
      <w:r>
        <w:rPr/>
        <w:t>Communal land under RDC authority cannot be used as collateral.</w:t>
      </w:r>
    </w:p>
    <w:p>
      <w:pPr>
        <w:pStyle w:val="Heading3"/>
        <w:rPr/>
      </w:pPr>
      <w:r>
        <w:rPr/>
        <w:t>Enablers</w:t>
      </w:r>
    </w:p>
    <w:p>
      <w:pPr>
        <w:pStyle w:val="ListParagraph"/>
        <w:numPr>
          <w:ilvl w:val="0"/>
          <w:numId w:val="110"/>
        </w:numPr>
        <w:rPr/>
      </w:pPr>
      <w:r>
        <w:rPr/>
        <w:t>Strong, internationally connected tourism private sector in Victoria Falls and Hwange.</w:t>
      </w:r>
    </w:p>
    <w:p>
      <w:pPr>
        <w:pStyle w:val="ListParagraph"/>
        <w:numPr>
          <w:ilvl w:val="0"/>
          <w:numId w:val="111"/>
        </w:numPr>
        <w:rPr/>
      </w:pPr>
      <w:r>
        <w:rPr/>
        <w:t>Operational MSME credit guarantee scheme (ECGC) and movable collateral registry.</w:t>
      </w:r>
    </w:p>
    <w:p>
      <w:pPr>
        <w:pStyle w:val="ListParagraph"/>
        <w:numPr>
          <w:ilvl w:val="0"/>
          <w:numId w:val="112"/>
        </w:numPr>
        <w:rPr/>
      </w:pPr>
      <w:r>
        <w:rPr/>
        <w:t>Victoria Falls SEZ and VFEX with USD-denominated instruments.</w:t>
      </w:r>
    </w:p>
    <w:p>
      <w:pPr>
        <w:pStyle w:val="ListParagraph"/>
        <w:numPr>
          <w:ilvl w:val="0"/>
          <w:numId w:val="113"/>
        </w:numPr>
        <w:rPr/>
      </w:pPr>
      <w:r>
        <w:rPr/>
        <w:t>KAZA Univisa operational with Zambia.</w:t>
      </w:r>
    </w:p>
    <w:p>
      <w:pPr>
        <w:pStyle w:val="ListParagraph"/>
        <w:numPr>
          <w:ilvl w:val="0"/>
          <w:numId w:val="114"/>
        </w:numPr>
        <w:rPr/>
      </w:pPr>
      <w:r>
        <w:rPr/>
        <w:t>Long CAMPFIRE experience with community revenue sharing.</w:t>
      </w:r>
    </w:p>
    <w:p>
      <w:pPr>
        <w:pStyle w:val="Heading3"/>
        <w:rPr/>
      </w:pPr>
      <w:r>
        <w:rPr/>
        <w:t>Harmonisation Opportunities</w:t>
      </w:r>
    </w:p>
    <w:p>
      <w:pPr>
        <w:pStyle w:val="ListParagraph"/>
        <w:numPr>
          <w:ilvl w:val="0"/>
          <w:numId w:val="115"/>
        </w:numPr>
        <w:rPr/>
      </w:pPr>
      <w:r>
        <w:rPr/>
        <w:t>Joint Livingstone–Victoria Falls destination initiatives and Univisa extension.</w:t>
      </w:r>
    </w:p>
    <w:p>
      <w:pPr>
        <w:pStyle w:val="ListParagraph"/>
        <w:numPr>
          <w:ilvl w:val="0"/>
          <w:numId w:val="116"/>
        </w:numPr>
        <w:rPr/>
      </w:pPr>
      <w:r>
        <w:rPr/>
        <w:t>Rationalisation of tourism levies and licences, benchmarked against neighbouring states.</w:t>
      </w:r>
    </w:p>
    <w:p>
      <w:pPr>
        <w:pStyle w:val="ListParagraph"/>
        <w:numPr>
          <w:ilvl w:val="0"/>
          <w:numId w:val="117"/>
        </w:numPr>
        <w:rPr/>
      </w:pPr>
      <w:r>
        <w:rPr/>
        <w:t>Aligning ECGC guarantee terms with ZCGS (Zambia) to support cross-border activity operators.</w:t>
      </w:r>
    </w:p>
    <w:p>
      <w:pPr>
        <w:pStyle w:val="ListParagraph"/>
        <w:numPr>
          <w:ilvl w:val="0"/>
          <w:numId w:val="118"/>
        </w:numPr>
        <w:rPr/>
      </w:pPr>
      <w:r>
        <w:rPr/>
        <w:t>Shared community revenue-sharing standards between CAMPFIRE and other KAZA community institutions.</w:t>
      </w:r>
    </w:p>
    <w:p>
      <w:pPr>
        <w:pStyle w:val="Heading2"/>
        <w:rPr/>
      </w:pPr>
      <w:bookmarkStart w:id="56" w:name="__RefHeading___Toc4795_309009763"/>
      <w:bookmarkEnd w:id="56"/>
      <w:r>
        <w:rPr/>
        <w:t>7.6 Large Tourism Companies, Investors, DMCs and Lodge Chains</w:t>
      </w:r>
    </w:p>
    <w:p>
      <w:pPr>
        <w:pStyle w:val="Normal"/>
        <w:keepNext w:val="true"/>
        <w:spacing w:before="160" w:after="80"/>
        <w:rPr/>
      </w:pPr>
      <w:r>
        <w:rPr>
          <w:b/>
          <w:bCs/>
          <w:color w:val="1F5135"/>
          <w:sz w:val="20"/>
          <w:szCs w:val="20"/>
        </w:rPr>
        <w:t xml:space="preserve">Table 34: </w:t>
      </w:r>
      <w:r>
        <w:rPr>
          <w:i/>
          <w:iCs/>
          <w:sz w:val="20"/>
          <w:szCs w:val="20"/>
        </w:rPr>
        <w:t>Potential private-sector partners — Zimbabwe</w:t>
      </w:r>
    </w:p>
    <w:tbl>
      <w:tblPr>
        <w:tblW w:w="9026" w:type="dxa"/>
        <w:jc w:val="left"/>
        <w:tblInd w:w="0" w:type="dxa"/>
        <w:tblLayout w:type="fixed"/>
        <w:tblCellMar>
          <w:top w:w="60" w:type="dxa"/>
          <w:left w:w="100" w:type="dxa"/>
          <w:bottom w:w="60" w:type="dxa"/>
          <w:right w:w="100" w:type="dxa"/>
        </w:tblCellMar>
      </w:tblPr>
      <w:tblGrid>
        <w:gridCol w:w="2600"/>
        <w:gridCol w:w="2998"/>
        <w:gridCol w:w="3428"/>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Company / investor</w:t>
            </w:r>
          </w:p>
        </w:tc>
        <w:tc>
          <w:tcPr>
            <w:tcW w:w="29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Footprint in KAZA corridor</w:t>
            </w:r>
          </w:p>
        </w:tc>
        <w:tc>
          <w:tcPr>
            <w:tcW w:w="34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Partnership potential for MSME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African Sun; Meikles Hospitality (Victoria Falls Hotel); Rainbow Tourism Group</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Victoria Falls and Hwange hotels; listed groups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Large-scale procurement; listed-company ESG commitments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Africa Albida Tourism</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Victoria Falls Safari Lodge, Lokuthula Lodges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Established community and supplier programmes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Wild Horizons; Shearwater Adventures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Activities, lodges and DMC services in Victoria Falls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Activity sub-contracting; forward contracts with small operators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Imvelo Safari Lodges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Hwange; community partnerships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enterprise linkages; agricultural supply</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Wilderness; African Bush Camps; Camp Hwange; The Hide</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Hwange NP camps</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Supplier development; foundation co-funding</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Victoria Falls River Lodge, Matetsi, Gorges Lodge, Ilala Lodge and others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Zambezi NP, Matetsi, Batoka Gorge, town</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Food, crafts and services procurement</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Airlines and air access (Air Zimbabwe, Fastjet, regional carriers)</w:t>
            </w:r>
          </w:p>
        </w:tc>
        <w:tc>
          <w:tcPr>
            <w:tcW w:w="29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Victoria Falls International Airport</w:t>
            </w:r>
          </w:p>
        </w:tc>
        <w:tc>
          <w:tcPr>
            <w:tcW w:w="34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Destination packaging; indirect</w:t>
            </w:r>
          </w:p>
        </w:tc>
      </w:tr>
    </w:tbl>
    <w:p>
      <w:pPr>
        <w:pStyle w:val="Normal"/>
        <w:spacing w:before="0" w:after="120"/>
        <w:rPr/>
      </w:pPr>
      <w:r>
        <w:rPr/>
      </w:r>
    </w:p>
    <w:p>
      <w:pPr>
        <w:pStyle w:val="Heading2"/>
        <w:rPr/>
      </w:pPr>
      <w:bookmarkStart w:id="57" w:name="__RefHeading___Toc4797_309009763"/>
      <w:bookmarkEnd w:id="57"/>
      <w:r>
        <w:rPr/>
        <w:t>7.7 Assessment of Potential Partner Financial Institutions</w:t>
      </w:r>
    </w:p>
    <w:p>
      <w:pPr>
        <w:pStyle w:val="Normal"/>
        <w:keepNext w:val="true"/>
        <w:spacing w:before="160" w:after="80"/>
        <w:rPr/>
      </w:pPr>
      <w:r>
        <w:rPr>
          <w:b/>
          <w:bCs/>
          <w:color w:val="1F5135"/>
          <w:sz w:val="20"/>
          <w:szCs w:val="20"/>
        </w:rPr>
        <w:t xml:space="preserve">Table 35: </w:t>
      </w:r>
      <w:r>
        <w:rPr>
          <w:i/>
          <w:iCs/>
          <w:sz w:val="20"/>
          <w:szCs w:val="20"/>
        </w:rPr>
        <w:t>Indicative assessment of partner financial institutions — Zimbabwe</w:t>
      </w:r>
    </w:p>
    <w:tbl>
      <w:tblPr>
        <w:tblW w:w="9026" w:type="dxa"/>
        <w:jc w:val="left"/>
        <w:tblInd w:w="0" w:type="dxa"/>
        <w:tblLayout w:type="fixed"/>
        <w:tblCellMar>
          <w:top w:w="60" w:type="dxa"/>
          <w:left w:w="100" w:type="dxa"/>
          <w:bottom w:w="60" w:type="dxa"/>
          <w:right w:w="100" w:type="dxa"/>
        </w:tblCellMar>
      </w:tblPr>
      <w:tblGrid>
        <w:gridCol w:w="2198"/>
        <w:gridCol w:w="1302"/>
        <w:gridCol w:w="1300"/>
        <w:gridCol w:w="1298"/>
        <w:gridCol w:w="2928"/>
      </w:tblGrid>
      <w:tr>
        <w:trPr>
          <w:tblHeader w:val="true"/>
        </w:trPr>
        <w:tc>
          <w:tcPr>
            <w:tcW w:w="21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Institution</w:t>
            </w:r>
          </w:p>
        </w:tc>
        <w:tc>
          <w:tcPr>
            <w:tcW w:w="1302"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Capacity</w:t>
            </w:r>
          </w:p>
        </w:tc>
        <w:tc>
          <w:tcPr>
            <w:tcW w:w="13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Strategic interest</w:t>
            </w:r>
          </w:p>
        </w:tc>
        <w:tc>
          <w:tcPr>
            <w:tcW w:w="129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Risk appetite</w:t>
            </w:r>
          </w:p>
        </w:tc>
        <w:tc>
          <w:tcPr>
            <w:tcW w:w="2928"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Pilot suitability</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ECGC (MSME Credit Guarantee Scheme)</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Lead candidate: tourism window with partner banks in Victoria Falls/Hwange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CBZ Bank</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Largest bank; SME and agri experience; Victoria Falls presence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Stanbic Bank Zimbabwe</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Corporate tourism clients; group supplier/conservation finance experience</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FBC Bank; CABS; NMB Bank</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 units; DFI partnerships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Steward Bank</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 (digital)</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Digital SME products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SMEDCO; EmpowerBank; Zimbabwe Women’s Microfinance Bank</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 (mandate)</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Targeted MSME, youth and women finance; liquidity constraints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IDBZ</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 (green/infrastructure)</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GCF channel; green infrastructure in tourism hubs</w:t>
            </w:r>
          </w:p>
        </w:tc>
      </w:tr>
      <w:tr>
        <w:trPr>
          <w:cantSplit w:val="true"/>
        </w:trPr>
        <w:tc>
          <w:tcPr>
            <w:tcW w:w="21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Selected MFIs</w:t>
            </w:r>
          </w:p>
        </w:tc>
        <w:tc>
          <w:tcPr>
            <w:tcW w:w="1302"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29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c>
          <w:tcPr>
            <w:tcW w:w="2928"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Micro and group loans</w:t>
            </w:r>
          </w:p>
        </w:tc>
      </w:tr>
    </w:tbl>
    <w:p>
      <w:pPr>
        <w:pStyle w:val="Normal"/>
        <w:spacing w:before="0" w:after="120"/>
        <w:rPr/>
      </w:pPr>
      <w:r>
        <w:rPr/>
      </w:r>
    </w:p>
    <w:p>
      <w:pPr>
        <w:pStyle w:val="Heading2"/>
        <w:rPr/>
      </w:pPr>
      <w:bookmarkStart w:id="58" w:name="__RefHeading___Toc4799_309009763"/>
      <w:bookmarkEnd w:id="58"/>
      <w:r>
        <w:rPr/>
        <w:t>7.8 Development Banks, Foundations and Impact Investors</w:t>
      </w:r>
    </w:p>
    <w:p>
      <w:pPr>
        <w:pStyle w:val="Normal"/>
        <w:keepNext w:val="true"/>
        <w:spacing w:before="160" w:after="80"/>
        <w:rPr/>
      </w:pPr>
      <w:r>
        <w:rPr>
          <w:b/>
          <w:bCs/>
          <w:color w:val="1F5135"/>
          <w:sz w:val="20"/>
          <w:szCs w:val="20"/>
        </w:rPr>
        <w:t xml:space="preserve">Table 36: </w:t>
      </w:r>
      <w:r>
        <w:rPr>
          <w:i/>
          <w:iCs/>
          <w:sz w:val="20"/>
          <w:szCs w:val="20"/>
        </w:rPr>
        <w:t>DFIs, foundations and impact investors with aligned mandates — Zimbabwe</w:t>
      </w:r>
    </w:p>
    <w:tbl>
      <w:tblPr>
        <w:tblW w:w="9026" w:type="dxa"/>
        <w:jc w:val="left"/>
        <w:tblInd w:w="0" w:type="dxa"/>
        <w:tblLayout w:type="fixed"/>
        <w:tblCellMar>
          <w:top w:w="60" w:type="dxa"/>
          <w:left w:w="100" w:type="dxa"/>
          <w:bottom w:w="60" w:type="dxa"/>
          <w:right w:w="100" w:type="dxa"/>
        </w:tblCellMar>
      </w:tblPr>
      <w:tblGrid>
        <w:gridCol w:w="2600"/>
        <w:gridCol w:w="3200"/>
        <w:gridCol w:w="3226"/>
      </w:tblGrid>
      <w:tr>
        <w:trPr>
          <w:tblHeader w:val="true"/>
        </w:trPr>
        <w:tc>
          <w:tcPr>
            <w:tcW w:w="26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Organisation</w:t>
            </w:r>
          </w:p>
        </w:tc>
        <w:tc>
          <w:tcPr>
            <w:tcW w:w="32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Mandate / activity</w:t>
            </w:r>
          </w:p>
        </w:tc>
        <w:tc>
          <w:tcPr>
            <w:tcW w:w="32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Alignment with R-NBT MSME finance</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IFC</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Private-sector risk-sharing and advisory</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Not constrained by sovereign arrears; risk-sharing with banks for SMEs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World Bank; AfDB</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 arrears clearance process</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Limited lending; grant-based TA and community programmes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EU; FCDO; Sweden; KfW / GIZ</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Resilience, private sector, KAZA</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 and blended pilots; TA for guarantee window</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Afreximbank; TDB Group</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Trade finance and lines of credit</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Wholesale USD funding to banks for SME lines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Climate Fund (via IDBZ)</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Climate finance</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Solar and resilience finance in tourism hubs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AECF and other challenge funds</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Enterprise grants and patient capital</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Grant-to-debt pathways for MSMEs</w:t>
            </w:r>
          </w:p>
        </w:tc>
      </w:tr>
      <w:tr>
        <w:trPr>
          <w:cantSplit w:val="true"/>
        </w:trPr>
        <w:tc>
          <w:tcPr>
            <w:tcW w:w="26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WWF; Painted Dog Conservation; Bhejane Trust; Tusk and other foundations</w:t>
            </w:r>
          </w:p>
        </w:tc>
        <w:tc>
          <w:tcPr>
            <w:tcW w:w="32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Conservation and community development</w:t>
            </w:r>
          </w:p>
        </w:tc>
        <w:tc>
          <w:tcPr>
            <w:tcW w:w="32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enterprise and conservation-linked livelihoods</w:t>
            </w:r>
          </w:p>
        </w:tc>
      </w:tr>
    </w:tbl>
    <w:p>
      <w:pPr>
        <w:pStyle w:val="Normal"/>
        <w:spacing w:before="0" w:after="120"/>
        <w:rPr/>
      </w:pPr>
      <w:r>
        <w:rPr/>
      </w:r>
    </w:p>
    <w:p>
      <w:pPr>
        <w:pStyle w:val="Heading2"/>
        <w:rPr/>
      </w:pPr>
      <w:bookmarkStart w:id="59" w:name="__RefHeading___Toc4801_309009763"/>
      <w:bookmarkEnd w:id="59"/>
      <w:r>
        <w:rPr/>
        <w:t>7.9 Existing Guarantee Schemes, Revolving Funds and Other Mechanisms</w:t>
      </w:r>
    </w:p>
    <w:p>
      <w:pPr>
        <w:pStyle w:val="Normal"/>
        <w:keepNext w:val="true"/>
        <w:spacing w:before="160" w:after="80"/>
        <w:rPr/>
      </w:pPr>
      <w:r>
        <w:rPr>
          <w:b/>
          <w:bCs/>
          <w:color w:val="1F5135"/>
          <w:sz w:val="20"/>
          <w:szCs w:val="20"/>
        </w:rPr>
        <w:t xml:space="preserve">Table 37: </w:t>
      </w:r>
      <w:r>
        <w:rPr>
          <w:i/>
          <w:iCs/>
          <w:sz w:val="20"/>
          <w:szCs w:val="20"/>
        </w:rPr>
        <w:t>Mechanisms to strengthen or replicate — Zimbabwe</w:t>
      </w:r>
    </w:p>
    <w:tbl>
      <w:tblPr>
        <w:tblW w:w="9026" w:type="dxa"/>
        <w:jc w:val="left"/>
        <w:tblInd w:w="0" w:type="dxa"/>
        <w:tblLayout w:type="fixed"/>
        <w:tblCellMar>
          <w:top w:w="60" w:type="dxa"/>
          <w:left w:w="100" w:type="dxa"/>
          <w:bottom w:w="60" w:type="dxa"/>
          <w:right w:w="100" w:type="dxa"/>
        </w:tblCellMar>
      </w:tblPr>
      <w:tblGrid>
        <w:gridCol w:w="2400"/>
        <w:gridCol w:w="3299"/>
        <w:gridCol w:w="3327"/>
      </w:tblGrid>
      <w:tr>
        <w:trPr>
          <w:tblHeader w:val="true"/>
        </w:trPr>
        <w:tc>
          <w:tcPr>
            <w:tcW w:w="24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Mechanism</w:t>
            </w:r>
          </w:p>
        </w:tc>
        <w:tc>
          <w:tcPr>
            <w:tcW w:w="32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Status</w:t>
            </w:r>
          </w:p>
        </w:tc>
        <w:tc>
          <w:tcPr>
            <w:tcW w:w="3327"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Strengthen / replicate</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ECGC MSME Credit Guarantee Scheme</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since 2018; targeted USD 60m for 200 SMEs (2023)</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window; awareness and bank training; DFI counter-guarantee</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RBZ Tourism Revival Fund</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USD 15m; low uptake</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Redesign: USD-denominated, simpler process, MSME-specific terms, bank intermediation</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Cabinet-approved tourism revolving fund</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Approved in principle; operational status unclear</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Clarify status; consider structuring with ECGC and banks</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CAMPFIRE ward revenues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revenue reduced where hunting declines</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Ring-fence share for enterprise revolving funds; diversify into photographic tourism</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SMEDCO, EmpowerBank, ZWMB lending</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liquidity constraints</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 lines with blended funding</w:t>
            </w:r>
          </w:p>
        </w:tc>
      </w:tr>
      <w:tr>
        <w:trPr>
          <w:cantSplit w:val="true"/>
        </w:trPr>
        <w:tc>
          <w:tcPr>
            <w:tcW w:w="2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ISALs / savings groups</w:t>
            </w:r>
          </w:p>
        </w:tc>
        <w:tc>
          <w:tcPr>
            <w:tcW w:w="32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Widespread</w:t>
            </w:r>
          </w:p>
        </w:tc>
        <w:tc>
          <w:tcPr>
            <w:tcW w:w="3327"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Linkage to MFIs and banks; group asset loans</w:t>
            </w:r>
          </w:p>
        </w:tc>
      </w:tr>
    </w:tbl>
    <w:p>
      <w:pPr>
        <w:pStyle w:val="Normal"/>
        <w:spacing w:before="0" w:after="120"/>
        <w:rPr/>
      </w:pPr>
      <w:r>
        <w:rPr/>
      </w:r>
    </w:p>
    <w:p>
      <w:pPr>
        <w:pStyle w:val="Normal"/>
        <w:pBdr>
          <w:left w:val="single" w:sz="24" w:space="8" w:color="C8A951"/>
        </w:pBdr>
        <w:shd w:val="clear" w:color="auto" w:fill="E8F0EA"/>
        <w:spacing w:before="160" w:after="200"/>
        <w:ind w:left="200" w:right="200"/>
        <w:rPr/>
      </w:pPr>
      <w:r>
        <w:rPr>
          <w:i/>
          <w:iCs/>
          <w:sz w:val="21"/>
          <w:szCs w:val="21"/>
        </w:rPr>
        <w:t>Zimbabwe priority: USD-denominated, contract-backed and ECGC-guaranteed finance via Victoria Falls banks, anchored by large operators, with CAMPFIRE-linked community revolving funds.</w:t>
      </w:r>
      <w:r>
        <w:br w:type="page"/>
      </w:r>
    </w:p>
    <w:p>
      <w:pPr>
        <w:pStyle w:val="Heading1"/>
        <w:spacing w:before="0" w:after="240"/>
        <w:rPr/>
      </w:pPr>
      <w:bookmarkStart w:id="60" w:name="__RefHeading___Toc4803_309009763"/>
      <w:bookmarkEnd w:id="60"/>
      <w:r>
        <w:rPr/>
        <w:t>8. Cross-Country Synthesis</w:t>
      </w:r>
    </w:p>
    <w:p>
      <w:pPr>
        <w:pStyle w:val="Heading2"/>
        <w:rPr/>
      </w:pPr>
      <w:bookmarkStart w:id="61" w:name="__RefHeading___Toc4805_309009763"/>
      <w:bookmarkEnd w:id="61"/>
      <w:r>
        <w:rPr/>
        <w:t>8.1 Comparative Overview</w:t>
      </w:r>
    </w:p>
    <w:p>
      <w:pPr>
        <w:pStyle w:val="Normal"/>
        <w:keepNext w:val="true"/>
        <w:spacing w:before="160" w:after="80"/>
        <w:rPr/>
      </w:pPr>
      <w:r>
        <w:rPr>
          <w:b/>
          <w:bCs/>
          <w:color w:val="1F5135"/>
          <w:sz w:val="20"/>
          <w:szCs w:val="20"/>
        </w:rPr>
        <w:t xml:space="preserve">Table 38: </w:t>
      </w:r>
      <w:r>
        <w:rPr>
          <w:i/>
          <w:iCs/>
          <w:sz w:val="20"/>
          <w:szCs w:val="20"/>
        </w:rPr>
        <w:t>Comparative overview of finance readiness for R-NBT MSMEs across KAZA states</w:t>
      </w:r>
    </w:p>
    <w:tbl>
      <w:tblPr>
        <w:tblW w:w="9026" w:type="dxa"/>
        <w:jc w:val="left"/>
        <w:tblInd w:w="0" w:type="dxa"/>
        <w:tblLayout w:type="fixed"/>
        <w:tblCellMar>
          <w:top w:w="60" w:type="dxa"/>
          <w:left w:w="100" w:type="dxa"/>
          <w:bottom w:w="60" w:type="dxa"/>
          <w:right w:w="100" w:type="dxa"/>
        </w:tblCellMar>
      </w:tblPr>
      <w:tblGrid>
        <w:gridCol w:w="2000"/>
        <w:gridCol w:w="1400"/>
        <w:gridCol w:w="1400"/>
        <w:gridCol w:w="1399"/>
        <w:gridCol w:w="1400"/>
        <w:gridCol w:w="1426"/>
      </w:tblGrid>
      <w:tr>
        <w:trPr>
          <w:tblHeader w:val="true"/>
        </w:trPr>
        <w:tc>
          <w:tcPr>
            <w:tcW w:w="20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Dimension</w:t>
            </w:r>
          </w:p>
        </w:tc>
        <w:tc>
          <w:tcPr>
            <w:tcW w:w="14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Angola</w:t>
            </w:r>
          </w:p>
        </w:tc>
        <w:tc>
          <w:tcPr>
            <w:tcW w:w="14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Botswana</w:t>
            </w:r>
          </w:p>
        </w:tc>
        <w:tc>
          <w:tcPr>
            <w:tcW w:w="13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Namibia</w:t>
            </w:r>
          </w:p>
        </w:tc>
        <w:tc>
          <w:tcPr>
            <w:tcW w:w="14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Zambia</w:t>
            </w:r>
          </w:p>
        </w:tc>
        <w:tc>
          <w:tcPr>
            <w:tcW w:w="1426"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Zimbabwe</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Bank presence in KAZA hubs</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3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Medium–High</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Operational credit guarantee scheme</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FGC (national)</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Not identified</w:t>
            </w:r>
          </w:p>
        </w:tc>
        <w:tc>
          <w:tcPr>
            <w:tcW w:w="13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CGS</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ZCGS + BoZ pilot</w:t>
            </w:r>
          </w:p>
        </w:tc>
        <w:tc>
          <w:tcPr>
            <w:tcW w:w="1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ECGC</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Tourism-specific DFI window</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No</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Partial (CEDA/NDB)</w:t>
            </w:r>
          </w:p>
        </w:tc>
        <w:tc>
          <w:tcPr>
            <w:tcW w:w="13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Yes (DBN)</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Partial (CEEC)</w:t>
            </w:r>
          </w:p>
        </w:tc>
        <w:tc>
          <w:tcPr>
            <w:tcW w:w="1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No (past revival fund)</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Community revenue mechanisms</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Nascent</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CBNRM Trusts</w:t>
            </w:r>
          </w:p>
        </w:tc>
        <w:tc>
          <w:tcPr>
            <w:tcW w:w="13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Conservancies, CCFN, GPTF</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CRBs, Simalaha</w:t>
            </w:r>
          </w:p>
        </w:tc>
        <w:tc>
          <w:tcPr>
            <w:tcW w:w="1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CAMPFIRE</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Savings group coverage</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3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Green finance channel</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Weak</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Corporate precedents</w:t>
            </w:r>
          </w:p>
        </w:tc>
        <w:tc>
          <w:tcPr>
            <w:tcW w:w="13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EIF (GCF)</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Bond framework, PAYGo</w:t>
            </w:r>
          </w:p>
        </w:tc>
        <w:tc>
          <w:tcPr>
            <w:tcW w:w="1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IDBZ (GCF)</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Macro / currency risk</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Low–Medium</w:t>
            </w:r>
          </w:p>
        </w:tc>
        <w:tc>
          <w:tcPr>
            <w:tcW w:w="13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Private anchor density</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Low</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Very high</w:t>
            </w:r>
          </w:p>
        </w:tc>
        <w:tc>
          <w:tcPr>
            <w:tcW w:w="13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Medium</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c>
          <w:tcPr>
            <w:tcW w:w="1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High</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Overall finance readiness</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Emerging</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Advanced</w:t>
            </w:r>
          </w:p>
        </w:tc>
        <w:tc>
          <w:tcPr>
            <w:tcW w:w="13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Advanced</w:t>
            </w:r>
          </w:p>
        </w:tc>
        <w:tc>
          <w:tcPr>
            <w:tcW w:w="14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Intermediate</w:t>
            </w:r>
          </w:p>
        </w:tc>
        <w:tc>
          <w:tcPr>
            <w:tcW w:w="1426"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Intermediate</w:t>
            </w:r>
          </w:p>
        </w:tc>
      </w:tr>
    </w:tbl>
    <w:p>
      <w:pPr>
        <w:pStyle w:val="Normal"/>
        <w:spacing w:before="0" w:after="120"/>
        <w:rPr/>
      </w:pPr>
      <w:r>
        <w:rPr/>
      </w:r>
    </w:p>
    <w:p>
      <w:pPr>
        <w:pStyle w:val="Heading2"/>
        <w:rPr/>
      </w:pPr>
      <w:bookmarkStart w:id="62" w:name="__RefHeading___Toc4807_309009763"/>
      <w:bookmarkEnd w:id="62"/>
      <w:r>
        <w:rPr/>
        <w:t>8.2 Common Barriers</w:t>
      </w:r>
    </w:p>
    <w:p>
      <w:pPr>
        <w:pStyle w:val="ListParagraph"/>
        <w:numPr>
          <w:ilvl w:val="0"/>
          <w:numId w:val="119"/>
        </w:numPr>
        <w:rPr/>
      </w:pPr>
      <w:r>
        <w:rPr/>
        <w:t>Collateral mismatch: tenure on communal, customary and concession land is not bankable; movable collateral registries are under-used.</w:t>
      </w:r>
    </w:p>
    <w:p>
      <w:pPr>
        <w:pStyle w:val="ListParagraph"/>
        <w:numPr>
          <w:ilvl w:val="0"/>
          <w:numId w:val="120"/>
        </w:numPr>
        <w:rPr/>
      </w:pPr>
      <w:r>
        <w:rPr/>
        <w:t>Product mismatch: amortisation schedules ignore tourism seasonality; minimum loan sizes and transaction costs are too high for micro-enterprises.</w:t>
      </w:r>
    </w:p>
    <w:p>
      <w:pPr>
        <w:pStyle w:val="ListParagraph"/>
        <w:numPr>
          <w:ilvl w:val="0"/>
          <w:numId w:val="121"/>
        </w:numPr>
        <w:rPr/>
      </w:pPr>
      <w:r>
        <w:rPr/>
        <w:t>Information gaps: limited records, informality and weak credit histories; banks lack sector knowledge of R-NBT.</w:t>
      </w:r>
    </w:p>
    <w:p>
      <w:pPr>
        <w:pStyle w:val="ListParagraph"/>
        <w:numPr>
          <w:ilvl w:val="0"/>
          <w:numId w:val="122"/>
        </w:numPr>
        <w:rPr/>
      </w:pPr>
      <w:r>
        <w:rPr/>
        <w:t>Fragmented support: BSOs, NGOs and financiers operate in silos, with weak pipelines of investment-ready MSMEs.</w:t>
      </w:r>
    </w:p>
    <w:p>
      <w:pPr>
        <w:pStyle w:val="ListParagraph"/>
        <w:numPr>
          <w:ilvl w:val="0"/>
          <w:numId w:val="123"/>
        </w:numPr>
        <w:rPr/>
      </w:pPr>
      <w:r>
        <w:rPr/>
        <w:t>Shock exposure: pandemics, droughts, human–wildlife conflict and currency swings increase perceived risk.</w:t>
      </w:r>
    </w:p>
    <w:p>
      <w:pPr>
        <w:pStyle w:val="Heading2"/>
        <w:rPr/>
      </w:pPr>
      <w:bookmarkStart w:id="63" w:name="__RefHeading___Toc4809_309009763"/>
      <w:bookmarkEnd w:id="63"/>
      <w:r>
        <w:rPr/>
        <w:t>8.3 Harmonisation Opportunities at KAZA Level</w:t>
      </w:r>
    </w:p>
    <w:p>
      <w:pPr>
        <w:pStyle w:val="Normal"/>
        <w:jc w:val="both"/>
        <w:rPr/>
      </w:pPr>
      <w:r>
        <w:rPr/>
        <w:t>Because access to finance is governed nationally, KAZA-level harmonisation should focus on soft infrastructure that lowers cost and risk for national financiers rather than on regulatory convergence:</w:t>
      </w:r>
    </w:p>
    <w:p>
      <w:pPr>
        <w:pStyle w:val="ListParagraph"/>
        <w:numPr>
          <w:ilvl w:val="0"/>
          <w:numId w:val="124"/>
        </w:numPr>
        <w:rPr/>
      </w:pPr>
      <w:r>
        <w:rPr>
          <w:b/>
          <w:bCs/>
        </w:rPr>
        <w:t>Common R-NBT eligibility and screening framework</w:t>
      </w:r>
      <w:r>
        <w:rPr/>
        <w:t>: a shared definition of regenerative tourism MSMEs, environmental and social criteria and impact indicators that banks, guarantee schemes and DFIs can adopt.</w:t>
      </w:r>
    </w:p>
    <w:p>
      <w:pPr>
        <w:pStyle w:val="ListParagraph"/>
        <w:numPr>
          <w:ilvl w:val="0"/>
          <w:numId w:val="125"/>
        </w:numPr>
        <w:rPr/>
      </w:pPr>
      <w:r>
        <w:rPr>
          <w:b/>
          <w:bCs/>
        </w:rPr>
        <w:t>KAZA MSME pipeline and data platform</w:t>
      </w:r>
      <w:r>
        <w:rPr/>
        <w:t>: a shared registry of investment-ready MSMEs, supplier databases of large operators and anonymised repayment data to inform credit risk.</w:t>
      </w:r>
    </w:p>
    <w:p>
      <w:pPr>
        <w:pStyle w:val="ListParagraph"/>
        <w:numPr>
          <w:ilvl w:val="0"/>
          <w:numId w:val="126"/>
        </w:numPr>
        <w:rPr/>
      </w:pPr>
      <w:r>
        <w:rPr>
          <w:b/>
          <w:bCs/>
        </w:rPr>
        <w:t>Aligned guarantee terms</w:t>
      </w:r>
      <w:r>
        <w:rPr/>
        <w:t>: coordinated tourism windows in CGS, ZCGS, ECGC, FGC and a future Botswana facility, with a regional counter-guarantee (e.g. AGF) and common reporting.</w:t>
      </w:r>
    </w:p>
    <w:p>
      <w:pPr>
        <w:pStyle w:val="ListParagraph"/>
        <w:numPr>
          <w:ilvl w:val="0"/>
          <w:numId w:val="127"/>
        </w:numPr>
        <w:rPr/>
      </w:pPr>
      <w:r>
        <w:rPr>
          <w:b/>
          <w:bCs/>
        </w:rPr>
        <w:t>Standard supplier-finance contract template</w:t>
      </w:r>
      <w:r>
        <w:rPr/>
        <w:t>: building on the Wilderness–Stanbic model for use by operators and banks across states.</w:t>
      </w:r>
    </w:p>
    <w:p>
      <w:pPr>
        <w:pStyle w:val="ListParagraph"/>
        <w:numPr>
          <w:ilvl w:val="0"/>
          <w:numId w:val="128"/>
        </w:numPr>
        <w:rPr/>
      </w:pPr>
      <w:r>
        <w:rPr>
          <w:b/>
          <w:bCs/>
        </w:rPr>
        <w:t>Univisa and border facilitation</w:t>
      </w:r>
      <w:r>
        <w:rPr/>
        <w:t>: full Univisa adoption and simplified crossings to support multi-country itineraries and cross-border MSMEs.</w:t>
      </w:r>
    </w:p>
    <w:p>
      <w:pPr>
        <w:pStyle w:val="ListParagraph"/>
        <w:numPr>
          <w:ilvl w:val="0"/>
          <w:numId w:val="129"/>
        </w:numPr>
        <w:rPr/>
      </w:pPr>
      <w:r>
        <w:rPr>
          <w:b/>
          <w:bCs/>
        </w:rPr>
        <w:t>Payments</w:t>
      </w:r>
      <w:r>
        <w:rPr/>
        <w:t>: lower-cost cross-border tourism payments through SADC payment infrastructure and mobile-money interoperability.</w:t>
      </w:r>
      <w:r>
        <w:br w:type="page"/>
      </w:r>
    </w:p>
    <w:p>
      <w:pPr>
        <w:pStyle w:val="Heading1"/>
        <w:spacing w:before="0" w:after="240"/>
        <w:rPr/>
      </w:pPr>
      <w:bookmarkStart w:id="64" w:name="__RefHeading___Toc4811_309009763"/>
      <w:bookmarkEnd w:id="64"/>
      <w:r>
        <w:rPr/>
        <w:t>9. Recommendations and Pilot Options</w:t>
      </w:r>
    </w:p>
    <w:p>
      <w:pPr>
        <w:pStyle w:val="Heading2"/>
        <w:rPr/>
      </w:pPr>
      <w:bookmarkStart w:id="65" w:name="__RefHeading___Toc4813_309009763"/>
      <w:bookmarkEnd w:id="65"/>
      <w:r>
        <w:rPr/>
        <w:t>9.1 Candidate Pilot Mechanisms</w:t>
      </w:r>
    </w:p>
    <w:p>
      <w:pPr>
        <w:pStyle w:val="Normal"/>
        <w:keepNext w:val="true"/>
        <w:spacing w:before="160" w:after="80"/>
        <w:rPr/>
      </w:pPr>
      <w:r>
        <w:rPr>
          <w:b/>
          <w:bCs/>
          <w:color w:val="1F5135"/>
          <w:sz w:val="20"/>
          <w:szCs w:val="20"/>
        </w:rPr>
        <w:t xml:space="preserve">Table 39: </w:t>
      </w:r>
      <w:r>
        <w:rPr>
          <w:i/>
          <w:iCs/>
          <w:sz w:val="20"/>
          <w:szCs w:val="20"/>
        </w:rPr>
        <w:t>Candidate MSME-tailored financial mechanisms for piloting</w:t>
      </w:r>
    </w:p>
    <w:tbl>
      <w:tblPr>
        <w:tblW w:w="9026" w:type="dxa"/>
        <w:jc w:val="left"/>
        <w:tblInd w:w="0" w:type="dxa"/>
        <w:tblLayout w:type="fixed"/>
        <w:tblCellMar>
          <w:top w:w="60" w:type="dxa"/>
          <w:left w:w="100" w:type="dxa"/>
          <w:bottom w:w="60" w:type="dxa"/>
          <w:right w:w="100" w:type="dxa"/>
        </w:tblCellMar>
      </w:tblPr>
      <w:tblGrid>
        <w:gridCol w:w="2000"/>
        <w:gridCol w:w="2699"/>
        <w:gridCol w:w="2201"/>
        <w:gridCol w:w="2125"/>
      </w:tblGrid>
      <w:tr>
        <w:trPr>
          <w:tblHeader w:val="true"/>
        </w:trPr>
        <w:tc>
          <w:tcPr>
            <w:tcW w:w="2000"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Mechanism</w:t>
            </w:r>
          </w:p>
        </w:tc>
        <w:tc>
          <w:tcPr>
            <w:tcW w:w="2699"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Design features</w:t>
            </w:r>
          </w:p>
        </w:tc>
        <w:tc>
          <w:tcPr>
            <w:tcW w:w="2201"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Best-fit countries</w:t>
            </w:r>
          </w:p>
        </w:tc>
        <w:tc>
          <w:tcPr>
            <w:tcW w:w="2125" w:type="dxa"/>
            <w:tcBorders>
              <w:top w:val="single" w:sz="4" w:space="0" w:color="B7C4BB"/>
              <w:left w:val="single" w:sz="4" w:space="0" w:color="B7C4BB"/>
              <w:bottom w:val="single" w:sz="4" w:space="0" w:color="B7C4BB"/>
              <w:right w:val="single" w:sz="4" w:space="0" w:color="B7C4BB"/>
            </w:tcBorders>
            <w:shd w:color="auto" w:fill="1F5135" w:val="clear"/>
          </w:tcPr>
          <w:p>
            <w:pPr>
              <w:pStyle w:val="Normal"/>
              <w:spacing w:lineRule="exact" w:line="252" w:before="0" w:after="0"/>
              <w:rPr/>
            </w:pPr>
            <w:r>
              <w:rPr>
                <w:b/>
                <w:bCs/>
                <w:color w:val="FFFFFF"/>
                <w:sz w:val="18"/>
                <w:szCs w:val="18"/>
              </w:rPr>
              <w:t>Lead partners (indicative)</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1. Contract-backed supplier and receivables finance</w:t>
            </w:r>
          </w:p>
        </w:tc>
        <w:tc>
          <w:tcPr>
            <w:tcW w:w="26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Loans to MSME suppliers secured by assignment of purchase contracts or booking receivables from anchor operators/DMCs; seasonal repayment; TA on supplier readiness</w:t>
            </w:r>
          </w:p>
        </w:tc>
        <w:tc>
          <w:tcPr>
            <w:tcW w:w="22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Botswana, Zambia, Zimbabwe, Namibia</w:t>
            </w:r>
          </w:p>
        </w:tc>
        <w:tc>
          <w:tcPr>
            <w:tcW w:w="21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Stanbic (BW, ZM, ZW), anchor operators (Wilderness, Gondwana, Wild Horizons), LEA/BSOs</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2. Tourism/KAZA windows in national guarantee schemes</w:t>
            </w:r>
          </w:p>
        </w:tc>
        <w:tc>
          <w:tcPr>
            <w:tcW w:w="26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50–70% partial guarantees; acceptance of leasehold/JV contracts as alternative security; seasonal grace periods; regional counter-guarantee</w:t>
            </w:r>
          </w:p>
        </w:tc>
        <w:tc>
          <w:tcPr>
            <w:tcW w:w="22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 Zambia, Zimbabwe, Angola; new facility in Botswana</w:t>
            </w:r>
          </w:p>
        </w:tc>
        <w:tc>
          <w:tcPr>
            <w:tcW w:w="21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CGS/DBN, ZCGS, ECGC, FGC; AGF; partner banks</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3. Community revolving funds</w:t>
            </w:r>
          </w:p>
        </w:tc>
        <w:tc>
          <w:tcPr>
            <w:tcW w:w="26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Capitalised from conservancy/CBO/CAMPFIRE revenues plus donor matching; managed by MFI or trust with transparent rules; linked to VSLAs</w:t>
            </w:r>
          </w:p>
        </w:tc>
        <w:tc>
          <w:tcPr>
            <w:tcW w:w="22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Namibia, Zambia, Zimbabwe, Botswana</w:t>
            </w:r>
          </w:p>
        </w:tc>
        <w:tc>
          <w:tcPr>
            <w:tcW w:w="21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Conservancies, CRBs, RDCs, CCFN, NGOs, MFIs</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4. Green asset finance and leasing</w:t>
            </w:r>
          </w:p>
        </w:tc>
        <w:tc>
          <w:tcPr>
            <w:tcW w:w="26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Lease or loan for solar, water, efficient vehicles, boats; vendor partnerships; green credit lines with TA</w:t>
            </w:r>
          </w:p>
        </w:tc>
        <w:tc>
          <w:tcPr>
            <w:tcW w:w="22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All five states</w:t>
            </w:r>
          </w:p>
        </w:tc>
        <w:tc>
          <w:tcPr>
            <w:tcW w:w="21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EIF, IDBZ, bank asset-finance units, solar vendors, DFIs</w:t>
            </w:r>
          </w:p>
        </w:tc>
      </w:tr>
      <w:tr>
        <w:trPr>
          <w:cantSplit w:val="true"/>
        </w:trPr>
        <w:tc>
          <w:tcPr>
            <w:tcW w:w="2000"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5. Readiness and grant-to-loan facility</w:t>
            </w:r>
          </w:p>
        </w:tc>
        <w:tc>
          <w:tcPr>
            <w:tcW w:w="2699"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Grants and TA to formalise and prepare MSMEs, converting to loans or guarantees on milestones</w:t>
            </w:r>
          </w:p>
        </w:tc>
        <w:tc>
          <w:tcPr>
            <w:tcW w:w="2201"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Angola (priority), all states for community enterprises</w:t>
            </w:r>
          </w:p>
        </w:tc>
        <w:tc>
          <w:tcPr>
            <w:tcW w:w="2125" w:type="dxa"/>
            <w:tcBorders>
              <w:top w:val="single" w:sz="4" w:space="0" w:color="B7C4BB"/>
              <w:left w:val="single" w:sz="4" w:space="0" w:color="B7C4BB"/>
              <w:bottom w:val="single" w:sz="4" w:space="0" w:color="B7C4BB"/>
              <w:right w:val="single" w:sz="4" w:space="0" w:color="B7C4BB"/>
            </w:tcBorders>
          </w:tcPr>
          <w:p>
            <w:pPr>
              <w:pStyle w:val="Normal"/>
              <w:spacing w:lineRule="exact" w:line="252" w:before="0" w:after="0"/>
              <w:rPr/>
            </w:pPr>
            <w:r>
              <w:rPr>
                <w:sz w:val="18"/>
                <w:szCs w:val="18"/>
              </w:rPr>
              <w:t>KfW/GIZ, EU, foundations, INAPEM/LEA/BSOs</w:t>
            </w:r>
          </w:p>
        </w:tc>
      </w:tr>
    </w:tbl>
    <w:p>
      <w:pPr>
        <w:pStyle w:val="Normal"/>
        <w:spacing w:before="0" w:after="120"/>
        <w:rPr/>
      </w:pPr>
      <w:r>
        <w:rPr/>
      </w:r>
    </w:p>
    <w:p>
      <w:pPr>
        <w:pStyle w:val="Heading2"/>
        <w:rPr/>
      </w:pPr>
      <w:bookmarkStart w:id="66" w:name="__RefHeading___Toc4815_309009763"/>
      <w:bookmarkEnd w:id="66"/>
      <w:r>
        <w:rPr/>
        <w:t>9.2 Design Principles</w:t>
      </w:r>
    </w:p>
    <w:p>
      <w:pPr>
        <w:pStyle w:val="ListParagraph"/>
        <w:numPr>
          <w:ilvl w:val="0"/>
          <w:numId w:val="130"/>
        </w:numPr>
        <w:rPr/>
      </w:pPr>
      <w:r>
        <w:rPr/>
        <w:t>Match repayment to tourism seasonality (grace periods in the low season, balloon or revenue-linked repayments).</w:t>
      </w:r>
    </w:p>
    <w:p>
      <w:pPr>
        <w:pStyle w:val="ListParagraph"/>
        <w:numPr>
          <w:ilvl w:val="0"/>
          <w:numId w:val="131"/>
        </w:numPr>
        <w:rPr/>
      </w:pPr>
      <w:r>
        <w:rPr/>
        <w:t>Denominate loans in the currency of revenues where regulation allows, or provide currency risk mitigation.</w:t>
      </w:r>
    </w:p>
    <w:p>
      <w:pPr>
        <w:pStyle w:val="ListParagraph"/>
        <w:numPr>
          <w:ilvl w:val="0"/>
          <w:numId w:val="132"/>
        </w:numPr>
        <w:rPr/>
      </w:pPr>
      <w:r>
        <w:rPr/>
        <w:t>Use anchor operators, booking platforms and digital payments to reduce information asymmetry.</w:t>
      </w:r>
    </w:p>
    <w:p>
      <w:pPr>
        <w:pStyle w:val="ListParagraph"/>
        <w:numPr>
          <w:ilvl w:val="0"/>
          <w:numId w:val="133"/>
        </w:numPr>
        <w:rPr/>
      </w:pPr>
      <w:r>
        <w:rPr/>
        <w:t>Blend concessional capital only where it unlocks additional commercial lending; avoid crowding out.</w:t>
      </w:r>
    </w:p>
    <w:p>
      <w:pPr>
        <w:pStyle w:val="ListParagraph"/>
        <w:numPr>
          <w:ilvl w:val="0"/>
          <w:numId w:val="134"/>
        </w:numPr>
        <w:rPr/>
      </w:pPr>
      <w:r>
        <w:rPr/>
        <w:t>Embed regenerative criteria (biodiversity, community benefit, climate resilience) with simple, verifiable indicators.</w:t>
      </w:r>
    </w:p>
    <w:p>
      <w:pPr>
        <w:pStyle w:val="ListParagraph"/>
        <w:numPr>
          <w:ilvl w:val="0"/>
          <w:numId w:val="135"/>
        </w:numPr>
        <w:rPr/>
      </w:pPr>
      <w:r>
        <w:rPr/>
        <w:t>Learn from low-uptake facilities: simple processes, intermediation by banks, active marketing through BSOs.</w:t>
      </w:r>
    </w:p>
    <w:p>
      <w:pPr>
        <w:pStyle w:val="Heading2"/>
        <w:rPr/>
      </w:pPr>
      <w:bookmarkStart w:id="67" w:name="__RefHeading___Toc4817_309009763"/>
      <w:bookmarkEnd w:id="67"/>
      <w:r>
        <w:rPr/>
        <w:t>9.3 Next Steps</w:t>
      </w:r>
    </w:p>
    <w:p>
      <w:pPr>
        <w:pStyle w:val="ListParagraph"/>
        <w:numPr>
          <w:ilvl w:val="0"/>
          <w:numId w:val="136"/>
        </w:numPr>
        <w:rPr/>
      </w:pPr>
      <w:r>
        <w:rPr/>
        <w:t>Validate institutional assessments through interviews with shortlisted financial institutions, guarantee schemes and anchor operators in each state.</w:t>
      </w:r>
    </w:p>
    <w:p>
      <w:pPr>
        <w:pStyle w:val="ListParagraph"/>
        <w:numPr>
          <w:ilvl w:val="0"/>
          <w:numId w:val="137"/>
        </w:numPr>
        <w:rPr/>
      </w:pPr>
      <w:r>
        <w:rPr/>
        <w:t>Hold national stakeholder workshops to prioritise one or two pilot mechanisms per country.</w:t>
      </w:r>
    </w:p>
    <w:p>
      <w:pPr>
        <w:pStyle w:val="ListParagraph"/>
        <w:numPr>
          <w:ilvl w:val="0"/>
          <w:numId w:val="138"/>
        </w:numPr>
        <w:rPr/>
      </w:pPr>
      <w:r>
        <w:rPr/>
        <w:t>Develop term sheets and risk-sharing structures with lead partners; confirm funding sources for first-loss and TA.</w:t>
      </w:r>
    </w:p>
    <w:p>
      <w:pPr>
        <w:pStyle w:val="ListParagraph"/>
        <w:numPr>
          <w:ilvl w:val="0"/>
          <w:numId w:val="139"/>
        </w:numPr>
        <w:rPr/>
      </w:pPr>
      <w:r>
        <w:rPr/>
        <w:t>Establish a KAZA-level learning and data platform to track pilot performance and support replication.</w:t>
      </w:r>
      <w:r>
        <w:br w:type="page"/>
      </w:r>
    </w:p>
    <w:p>
      <w:pPr>
        <w:pStyle w:val="Heading1"/>
        <w:spacing w:before="0" w:after="240"/>
        <w:rPr/>
      </w:pPr>
      <w:bookmarkStart w:id="68" w:name="__RefHeading___Toc4819_309009763"/>
      <w:bookmarkEnd w:id="68"/>
      <w:r>
        <w:rPr/>
        <w:t>References</w:t>
      </w:r>
    </w:p>
    <w:p>
      <w:pPr>
        <w:pStyle w:val="Normal"/>
        <w:spacing w:before="0" w:after="160"/>
        <w:rPr/>
      </w:pPr>
      <w:r>
        <w:rPr>
          <w:i/>
          <w:iCs/>
          <w:color w:val="555555"/>
          <w:sz w:val="20"/>
          <w:szCs w:val="20"/>
        </w:rPr>
        <w:t>Web sources were accessed between September and October 2026. Titles of news items are given as published or in abbreviated form.</w:t>
      </w:r>
    </w:p>
    <w:p>
      <w:pPr>
        <w:pStyle w:val="Normal"/>
        <w:spacing w:before="0" w:after="100"/>
        <w:ind w:hanging="567" w:left="567"/>
        <w:rPr/>
      </w:pPr>
      <w:r>
        <w:rPr>
          <w:sz w:val="20"/>
          <w:szCs w:val="20"/>
        </w:rPr>
        <w:t>ANGOP (2021). PRODESI disponibiliza para Cuando Cubango Kz 900 milhões. Agência Angola Press. https://angop.ao/en/noticias/economia/prodesi-disponibiliza-para-cuando-cubango-kz-900-milhoes</w:t>
      </w:r>
    </w:p>
    <w:p>
      <w:pPr>
        <w:pStyle w:val="Normal"/>
        <w:spacing w:before="0" w:after="100"/>
        <w:ind w:hanging="567" w:left="567"/>
        <w:rPr/>
      </w:pPr>
      <w:r>
        <w:rPr>
          <w:sz w:val="20"/>
          <w:szCs w:val="20"/>
        </w:rPr>
        <w:t>Banco Nacional de Angola (2022). Aviso n.º 10/2022 sobre a concessão de crédito ao sector real da economia. Luanda: BNA. https://www.bna.ao</w:t>
      </w:r>
    </w:p>
    <w:p>
      <w:pPr>
        <w:pStyle w:val="Normal"/>
        <w:spacing w:before="0" w:after="100"/>
        <w:ind w:hanging="567" w:left="567"/>
        <w:rPr/>
      </w:pPr>
      <w:r>
        <w:rPr>
          <w:sz w:val="20"/>
          <w:szCs w:val="20"/>
        </w:rPr>
        <w:t>Bank of Botswana (2025). Annual Report 2024. Gaborone: Bank of Botswana. https://www.bankofbotswana.bw</w:t>
      </w:r>
    </w:p>
    <w:p>
      <w:pPr>
        <w:pStyle w:val="Normal"/>
        <w:spacing w:before="0" w:after="100"/>
        <w:ind w:hanging="567" w:left="567"/>
        <w:rPr/>
      </w:pPr>
      <w:r>
        <w:rPr>
          <w:sz w:val="20"/>
          <w:szCs w:val="20"/>
        </w:rPr>
        <w:t>Bank of Namibia (2025). Annual Report 2024 and Financial Stability Report. Windhoek: Bank of Namibia. https://www.bon.com.na</w:t>
      </w:r>
    </w:p>
    <w:p>
      <w:pPr>
        <w:pStyle w:val="Normal"/>
        <w:spacing w:before="0" w:after="100"/>
        <w:ind w:hanging="567" w:left="567"/>
        <w:rPr/>
      </w:pPr>
      <w:r>
        <w:rPr>
          <w:sz w:val="20"/>
          <w:szCs w:val="20"/>
        </w:rPr>
        <w:t>Bank of Zambia (2024). National Financial Inclusion Strategy II (2024–2028). Lusaka: Bank of Zambia / Ministry of Finance and National Planning. https://www.boz.zm</w:t>
      </w:r>
    </w:p>
    <w:p>
      <w:pPr>
        <w:pStyle w:val="Normal"/>
        <w:spacing w:before="0" w:after="100"/>
        <w:ind w:hanging="567" w:left="567"/>
        <w:rPr/>
      </w:pPr>
      <w:r>
        <w:rPr>
          <w:sz w:val="20"/>
          <w:szCs w:val="20"/>
        </w:rPr>
        <w:t>Bank of Zambia &amp; National Advisory Board for Impact Investment (2025). Call for Expressions of Interest: Small Business Growth Initiative (pilot credit guarantee scheme). https://regalert.today/document/876f97e0-06eb-448f-9fb6-7502f337a9ae</w:t>
      </w:r>
    </w:p>
    <w:p>
      <w:pPr>
        <w:pStyle w:val="Normal"/>
        <w:spacing w:before="0" w:after="100"/>
        <w:ind w:hanging="567" w:left="567"/>
        <w:rPr/>
      </w:pPr>
      <w:r>
        <w:rPr>
          <w:sz w:val="20"/>
          <w:szCs w:val="20"/>
        </w:rPr>
        <w:t>Business Standard (2024). Southern African countries launch Schengen-style visa: all you need to know. https://www.business-standard.com/finance/personal-finance/southern-african-countries-launch-schengen-style-visa-all-you-need-to-know-124060400922_1.html</w:t>
      </w:r>
    </w:p>
    <w:p>
      <w:pPr>
        <w:pStyle w:val="Normal"/>
        <w:spacing w:before="0" w:after="100"/>
        <w:ind w:hanging="567" w:left="567"/>
        <w:rPr/>
      </w:pPr>
      <w:r>
        <w:rPr>
          <w:sz w:val="20"/>
          <w:szCs w:val="20"/>
        </w:rPr>
        <w:t>Business Times Zimbabwe (n.d.). Cabinet approves revolving fund for tourism sector. https://businesstimes.co.zw/cabinet-approves-revolving-fund-for-tourism-sector/</w:t>
      </w:r>
    </w:p>
    <w:p>
      <w:pPr>
        <w:pStyle w:val="Normal"/>
        <w:spacing w:before="0" w:after="100"/>
        <w:ind w:hanging="567" w:left="567"/>
        <w:rPr/>
      </w:pPr>
      <w:r>
        <w:rPr>
          <w:sz w:val="20"/>
          <w:szCs w:val="20"/>
        </w:rPr>
        <w:t>Daily News Botswana (2025). Wilderness, Stanbic sign MoU on supplier financing model. Botswana Press Agency. https://dailynews.gov.bw/news-detail/87299</w:t>
      </w:r>
    </w:p>
    <w:p>
      <w:pPr>
        <w:pStyle w:val="Normal"/>
        <w:spacing w:before="0" w:after="100"/>
        <w:ind w:hanging="567" w:left="567"/>
        <w:rPr/>
      </w:pPr>
      <w:r>
        <w:rPr>
          <w:sz w:val="20"/>
          <w:szCs w:val="20"/>
        </w:rPr>
        <w:t>Development Bank of Namibia (2020). The Minister of Finance has launched the Credit Guarantee Scheme. https://www.dbn.com.na/2020/08/27/the-minister-of-finance-has-launched-the-credit-guarantee-scheme/</w:t>
      </w:r>
    </w:p>
    <w:p>
      <w:pPr>
        <w:pStyle w:val="Normal"/>
        <w:spacing w:before="0" w:after="100"/>
        <w:ind w:hanging="567" w:left="567"/>
        <w:rPr/>
      </w:pPr>
      <w:r>
        <w:rPr>
          <w:sz w:val="20"/>
          <w:szCs w:val="20"/>
        </w:rPr>
        <w:t>Development Bank of Namibia (2022). Finance for Tourism and Hospitality (information sheet). https://www.dbn.com.na/wp-content/uploads/2026/02/2022-04-Tourism-info-sheet.pdf</w:t>
      </w:r>
    </w:p>
    <w:p>
      <w:pPr>
        <w:pStyle w:val="Normal"/>
        <w:spacing w:before="0" w:after="100"/>
        <w:ind w:hanging="567" w:left="567"/>
        <w:rPr/>
      </w:pPr>
      <w:r>
        <w:rPr>
          <w:sz w:val="20"/>
          <w:szCs w:val="20"/>
        </w:rPr>
        <w:t>Forbes África Lusófona (2023). Aprovadas garantias de crédito de 27,7 mil milhões de kwanzas. https://forbesafricalusofona.com/?p=14758</w:t>
      </w:r>
    </w:p>
    <w:p>
      <w:pPr>
        <w:pStyle w:val="Normal"/>
        <w:spacing w:before="0" w:after="100"/>
        <w:ind w:hanging="567" w:left="567"/>
        <w:rPr/>
      </w:pPr>
      <w:r>
        <w:rPr>
          <w:sz w:val="20"/>
          <w:szCs w:val="20"/>
        </w:rPr>
        <w:t>Forbes África Lusófona (2024). FGC lança linha de garantia “Diversifica Mais” para facilitar o acesso ao financiamento bancário. https://forbesafricalusofona.com/?p=108769</w:t>
      </w:r>
    </w:p>
    <w:p>
      <w:pPr>
        <w:pStyle w:val="Normal"/>
        <w:spacing w:before="0" w:after="100"/>
        <w:ind w:hanging="567" w:left="567"/>
        <w:rPr/>
      </w:pPr>
      <w:r>
        <w:rPr>
          <w:sz w:val="20"/>
          <w:szCs w:val="20"/>
        </w:rPr>
        <w:t>Government of the Republic of Botswana (2007). Community Based Natural Resource Management Policy. Gaborone: Government Printer.</w:t>
      </w:r>
    </w:p>
    <w:p>
      <w:pPr>
        <w:pStyle w:val="Normal"/>
        <w:spacing w:before="0" w:after="100"/>
        <w:ind w:hanging="567" w:left="567"/>
        <w:rPr/>
      </w:pPr>
      <w:r>
        <w:rPr>
          <w:sz w:val="20"/>
          <w:szCs w:val="20"/>
        </w:rPr>
        <w:t>Government of the Republic of Botswana (2009). Tourism Act, No. 22 of 2009. Gaborone: Government Printer.</w:t>
      </w:r>
    </w:p>
    <w:p>
      <w:pPr>
        <w:pStyle w:val="Normal"/>
        <w:spacing w:before="0" w:after="100"/>
        <w:ind w:hanging="567" w:left="567"/>
        <w:rPr/>
      </w:pPr>
      <w:r>
        <w:rPr>
          <w:sz w:val="20"/>
          <w:szCs w:val="20"/>
        </w:rPr>
        <w:t>Government of the Republic of Namibia (1996). Nature Conservation Amendment Act, No. 5 of 1996. Windhoek: Government Gazette.</w:t>
      </w:r>
    </w:p>
    <w:p>
      <w:pPr>
        <w:pStyle w:val="Normal"/>
        <w:spacing w:before="0" w:after="100"/>
        <w:ind w:hanging="567" w:left="567"/>
        <w:rPr/>
      </w:pPr>
      <w:r>
        <w:rPr>
          <w:sz w:val="20"/>
          <w:szCs w:val="20"/>
        </w:rPr>
        <w:t>Government of the Republic of Zambia (2015). Tourism and Hospitality Act, No. 13 of 2015; Zambia Wildlife Act, No. 14 of 2015. Lusaka: Government Printer.</w:t>
      </w:r>
    </w:p>
    <w:p>
      <w:pPr>
        <w:pStyle w:val="Normal"/>
        <w:spacing w:before="0" w:after="100"/>
        <w:ind w:hanging="567" w:left="567"/>
        <w:rPr/>
      </w:pPr>
      <w:r>
        <w:rPr>
          <w:sz w:val="20"/>
          <w:szCs w:val="20"/>
        </w:rPr>
        <w:t>Government of the Republic of Zambia (2016). Movable Property (Security Interest) Act, No. 3 of 2016. Lusaka: Government Printer.</w:t>
      </w:r>
    </w:p>
    <w:p>
      <w:pPr>
        <w:pStyle w:val="Normal"/>
        <w:spacing w:before="0" w:after="100"/>
        <w:ind w:hanging="567" w:left="567"/>
        <w:rPr/>
      </w:pPr>
      <w:r>
        <w:rPr>
          <w:sz w:val="20"/>
          <w:szCs w:val="20"/>
        </w:rPr>
        <w:t>Government of Zimbabwe (2019). Zimbabwe Investment and Development Agency Act [Chapter 14:37]. Harare: Government Printer.</w:t>
      </w:r>
    </w:p>
    <w:p>
      <w:pPr>
        <w:pStyle w:val="Normal"/>
        <w:spacing w:before="0" w:after="100"/>
        <w:ind w:hanging="567" w:left="567"/>
        <w:rPr/>
      </w:pPr>
      <w:r>
        <w:rPr>
          <w:sz w:val="20"/>
          <w:szCs w:val="20"/>
        </w:rPr>
        <w:t>KAZA TFCA Secretariat (2011). Treaty between the Governments of the Republic of Angola, the Republic of Botswana, the Republic of Namibia, the Republic of Zambia and the Republic of Zimbabwe on the Establishment of the Kavango Zambezi Transfrontier Conservation Area. Kasane: KAZA Secretariat. https://www.kavangozambezi.org</w:t>
      </w:r>
    </w:p>
    <w:p>
      <w:pPr>
        <w:pStyle w:val="Normal"/>
        <w:spacing w:before="0" w:after="100"/>
        <w:ind w:hanging="567" w:left="567"/>
        <w:rPr/>
      </w:pPr>
      <w:r>
        <w:rPr>
          <w:sz w:val="20"/>
          <w:szCs w:val="20"/>
        </w:rPr>
        <w:t>KAZA TFCA Secretariat (2015). Master Integrated Development Plan 2015–2020. Kasane: KAZA Secretariat.</w:t>
      </w:r>
    </w:p>
    <w:p>
      <w:pPr>
        <w:pStyle w:val="Normal"/>
        <w:spacing w:before="0" w:after="100"/>
        <w:ind w:hanging="567" w:left="567"/>
        <w:rPr/>
      </w:pPr>
      <w:r>
        <w:rPr>
          <w:sz w:val="20"/>
          <w:szCs w:val="20"/>
        </w:rPr>
        <w:t>Lindsey, P., Allan, J., Brehony, P. et al. (2020). Conserving Africa’s wildlife and wildlands through the COVID-19 crisis and beyond. Nature Ecology &amp; Evolution, 4, 1300–1310.</w:t>
      </w:r>
    </w:p>
    <w:p>
      <w:pPr>
        <w:pStyle w:val="Normal"/>
        <w:spacing w:before="0" w:after="100"/>
        <w:ind w:hanging="567" w:left="567"/>
        <w:rPr/>
      </w:pPr>
      <w:r>
        <w:rPr>
          <w:sz w:val="20"/>
          <w:szCs w:val="20"/>
        </w:rPr>
        <w:t>Mmegi (2026). Wilderness, LEA herald new era for citizen participation in tourism. https://www.mmegi.bw/ampArticle/123339</w:t>
      </w:r>
    </w:p>
    <w:p>
      <w:pPr>
        <w:pStyle w:val="Normal"/>
        <w:spacing w:before="0" w:after="100"/>
        <w:ind w:hanging="567" w:left="567"/>
        <w:rPr/>
      </w:pPr>
      <w:r>
        <w:rPr>
          <w:sz w:val="20"/>
          <w:szCs w:val="20"/>
        </w:rPr>
        <w:t>NACSO (various years). The State of Community Conservation in Namibia: Annual Report. Windhoek: Namibian Association of CBNRM Support Organisations. https://www.nacso.org.na</w:t>
      </w:r>
    </w:p>
    <w:p>
      <w:pPr>
        <w:pStyle w:val="Normal"/>
        <w:spacing w:before="0" w:after="100"/>
        <w:ind w:hanging="567" w:left="567"/>
        <w:rPr/>
      </w:pPr>
      <w:r>
        <w:rPr>
          <w:sz w:val="20"/>
          <w:szCs w:val="20"/>
        </w:rPr>
        <w:t>NewsDay (2023). ECGC rolls out US$60m credit guarantees. https://www.newsday.co.zw/theindependent/amp/business-digest/article/200016067/ecgc-rolls-out-us60m-credit-guarantees</w:t>
      </w:r>
    </w:p>
    <w:p>
      <w:pPr>
        <w:pStyle w:val="Normal"/>
        <w:spacing w:before="0" w:after="100"/>
        <w:ind w:hanging="567" w:left="567"/>
        <w:rPr/>
      </w:pPr>
      <w:r>
        <w:rPr>
          <w:sz w:val="20"/>
          <w:szCs w:val="20"/>
        </w:rPr>
        <w:t>NewsDay / The Independent (2022). Tourism seeks revolving fund facility to bolster recovery. https://newsday.co.zw/business/article/200004029/tourism-seeks-revolving-fund-facility-to-bolster-recovery</w:t>
      </w:r>
    </w:p>
    <w:p>
      <w:pPr>
        <w:pStyle w:val="Normal"/>
        <w:spacing w:before="0" w:after="100"/>
        <w:ind w:hanging="567" w:left="567"/>
        <w:rPr/>
      </w:pPr>
      <w:r>
        <w:rPr>
          <w:sz w:val="20"/>
          <w:szCs w:val="20"/>
        </w:rPr>
        <w:t>One Love Zambia (n.d.). CEEC commended for extending empowerment loans to the tourism sector. https://onelovezambia.com/?p=6219</w:t>
      </w:r>
    </w:p>
    <w:p>
      <w:pPr>
        <w:pStyle w:val="Normal"/>
        <w:spacing w:before="0" w:after="100"/>
        <w:ind w:hanging="567" w:left="567"/>
        <w:rPr/>
      </w:pPr>
      <w:r>
        <w:rPr>
          <w:sz w:val="20"/>
          <w:szCs w:val="20"/>
        </w:rPr>
        <w:t>Parliament of Botswana (2026). Committee of Supply Speech, Ministry of Trade and Entrepreneurship, 16 February 2026. https://www.parliament.gov.bw</w:t>
      </w:r>
    </w:p>
    <w:p>
      <w:pPr>
        <w:pStyle w:val="Normal"/>
        <w:spacing w:before="0" w:after="100"/>
        <w:ind w:hanging="567" w:left="567"/>
        <w:rPr/>
      </w:pPr>
      <w:r>
        <w:rPr>
          <w:sz w:val="20"/>
          <w:szCs w:val="20"/>
        </w:rPr>
        <w:t>Republikein (2020). Credit guarantee scheme for SMEs. https://www.republikein.com.na/nuus/credit-guarantee-scheme-for-smes2020-08-20</w:t>
      </w:r>
    </w:p>
    <w:p>
      <w:pPr>
        <w:pStyle w:val="Normal"/>
        <w:spacing w:before="0" w:after="100"/>
        <w:ind w:hanging="567" w:left="567"/>
        <w:rPr/>
      </w:pPr>
      <w:r>
        <w:rPr>
          <w:sz w:val="20"/>
          <w:szCs w:val="20"/>
        </w:rPr>
        <w:t>SADC Secretariat (2020). SADC Tourism Programme 2020–2030. Gaborone: SADC.</w:t>
      </w:r>
    </w:p>
    <w:p>
      <w:pPr>
        <w:pStyle w:val="Normal"/>
        <w:spacing w:before="0" w:after="100"/>
        <w:ind w:hanging="567" w:left="567"/>
        <w:rPr/>
      </w:pPr>
      <w:r>
        <w:rPr>
          <w:sz w:val="20"/>
          <w:szCs w:val="20"/>
        </w:rPr>
        <w:t>Standard Bank Group (2024). Stanbic Bank Botswana leads first nature conservation financing in Africa. https://corporateandinvestment.standardbank.com/cib/global/deals/stanbic-bank-botswana-leads-first-nature-conservation-financing-in-africa</w:t>
      </w:r>
    </w:p>
    <w:p>
      <w:pPr>
        <w:pStyle w:val="Normal"/>
        <w:spacing w:before="0" w:after="100"/>
        <w:ind w:hanging="567" w:left="567"/>
        <w:rPr/>
      </w:pPr>
      <w:r>
        <w:rPr>
          <w:sz w:val="20"/>
          <w:szCs w:val="20"/>
        </w:rPr>
        <w:t>The Brief (2026). Credit guarantee scheme disburses N$145m to 153 SMEs. https://thebrief.com.na/2026/04/credit-guarantee-scheme-disburses-n145m-to-153-smes/</w:t>
      </w:r>
    </w:p>
    <w:p>
      <w:pPr>
        <w:pStyle w:val="Normal"/>
        <w:spacing w:before="0" w:after="100"/>
        <w:ind w:hanging="567" w:left="567"/>
        <w:rPr/>
      </w:pPr>
      <w:r>
        <w:rPr>
          <w:sz w:val="20"/>
          <w:szCs w:val="20"/>
        </w:rPr>
        <w:t>The Herald (n.d.). Low uptake for tourism fund. https://www.heraldonline.co.zw/low-uptake-for-tourism-fund/</w:t>
      </w:r>
    </w:p>
    <w:p>
      <w:pPr>
        <w:pStyle w:val="Normal"/>
        <w:spacing w:before="0" w:after="100"/>
        <w:ind w:hanging="567" w:left="567"/>
        <w:rPr/>
      </w:pPr>
      <w:r>
        <w:rPr>
          <w:sz w:val="20"/>
          <w:szCs w:val="20"/>
        </w:rPr>
        <w:t>The Patriot on Sunday (2025). SMMEs upbeat, grateful to LEA. https://thepatriot.co.bw/smmes-upbeat-grateful-to-lea</w:t>
      </w:r>
    </w:p>
    <w:p>
      <w:pPr>
        <w:pStyle w:val="Normal"/>
        <w:spacing w:before="0" w:after="100"/>
        <w:ind w:hanging="567" w:left="567"/>
        <w:rPr/>
      </w:pPr>
      <w:r>
        <w:rPr>
          <w:sz w:val="20"/>
          <w:szCs w:val="20"/>
        </w:rPr>
        <w:t>Travel Daily News (2025). Zambia receives $100m boost for green, resilient and transformational tourism development. https://www.traveldailynews.com/organizations/zambia-receives-100m-boost-for-green-resilient-and-transformational-tourism-development/</w:t>
      </w:r>
    </w:p>
    <w:p>
      <w:pPr>
        <w:pStyle w:val="Normal"/>
        <w:spacing w:before="0" w:after="100"/>
        <w:ind w:hanging="567" w:left="567"/>
        <w:rPr/>
      </w:pPr>
      <w:r>
        <w:rPr>
          <w:sz w:val="20"/>
          <w:szCs w:val="20"/>
        </w:rPr>
        <w:t>Ver Angola (2023). Conselho da República aprova alteração administrativa para 20 províncias e 325 municípios. https://www.verangola.net/va/pt/122023/Politica/38315/</w:t>
      </w:r>
    </w:p>
    <w:p>
      <w:pPr>
        <w:pStyle w:val="Normal"/>
        <w:spacing w:before="0" w:after="100"/>
        <w:ind w:hanging="567" w:left="567"/>
        <w:rPr/>
      </w:pPr>
      <w:r>
        <w:rPr>
          <w:sz w:val="20"/>
          <w:szCs w:val="20"/>
        </w:rPr>
        <w:t>Ver Angola (2025). Cuando: a nova província que nasce com uma mão-cheia de promessas. https://www.verangola.net/va/pt/092025/Sociedade/45789/</w:t>
      </w:r>
    </w:p>
    <w:p>
      <w:pPr>
        <w:pStyle w:val="Normal"/>
        <w:spacing w:before="0" w:after="100"/>
        <w:ind w:hanging="567" w:left="567"/>
        <w:rPr/>
      </w:pPr>
      <w:r>
        <w:rPr>
          <w:sz w:val="20"/>
          <w:szCs w:val="20"/>
        </w:rPr>
        <w:t>World Bank (2021). Banking on Protected Areas: Promoting Sustainable Protected Area Tourism to Benefit Local Economies. Washington, DC: World Bank.</w:t>
      </w:r>
    </w:p>
    <w:p>
      <w:pPr>
        <w:pStyle w:val="Normal"/>
        <w:spacing w:before="0" w:after="100"/>
        <w:ind w:hanging="567" w:left="567"/>
        <w:rPr/>
      </w:pPr>
      <w:r>
        <w:rPr>
          <w:sz w:val="20"/>
          <w:szCs w:val="20"/>
        </w:rPr>
        <w:t>World Bank (2025). The Global Findex Database 2025. Washington, DC: World Bank. https://www.worldbank.org/globalfindex</w:t>
      </w:r>
    </w:p>
    <w:p>
      <w:pPr>
        <w:pStyle w:val="Normal"/>
        <w:spacing w:before="0" w:after="100"/>
        <w:ind w:hanging="567" w:left="567"/>
        <w:rPr/>
      </w:pPr>
      <w:r>
        <w:rPr>
          <w:sz w:val="20"/>
          <w:szCs w:val="20"/>
        </w:rPr>
        <w:t>Zambia Monitor (2025). Government outlines MSME empowerment and 2026 tourism allocation. https://www.zambiamonitor.com/?p=71605</w:t>
      </w:r>
    </w:p>
    <w:p>
      <w:pPr>
        <w:pStyle w:val="Normal"/>
        <w:spacing w:before="0" w:after="100"/>
        <w:ind w:hanging="567" w:left="567"/>
        <w:rPr/>
      </w:pPr>
      <w:r>
        <w:rPr>
          <w:sz w:val="20"/>
          <w:szCs w:val="20"/>
        </w:rPr>
        <w:t>Zambia Monitor (2025). ZCGS partners First Alliance Bank on SME guarantees. https://www.zambiamonitor.com/?p=67514</w:t>
      </w:r>
    </w:p>
    <w:p>
      <w:pPr>
        <w:pStyle w:val="Normal"/>
        <w:spacing w:before="0" w:after="100"/>
        <w:ind w:hanging="567" w:left="567"/>
        <w:rPr/>
      </w:pPr>
      <w:r>
        <w:rPr>
          <w:sz w:val="20"/>
          <w:szCs w:val="20"/>
        </w:rPr>
        <w:t>Zambia Monitor (2025). ZCGS, FNB Zambia sign K100 million partnership for MSMEs. https://www.zambiamonitor.com/?p=69748</w:t>
      </w:r>
    </w:p>
    <w:sectPr>
      <w:headerReference w:type="default" r:id="rId8"/>
      <w:headerReference w:type="first" r:id="rId9"/>
      <w:footerReference w:type="default" r:id="rId10"/>
      <w:footerReference w:type="first" r:id="rId11"/>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555555"/>
        <w:sz w:val="18"/>
        <w:szCs w:val="18"/>
      </w:rPr>
      <w:t xml:space="preserve">Page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w:instrText>
    </w:r>
    <w:r>
      <w:rPr/>
      <w:fldChar w:fldCharType="separate"/>
    </w:r>
    <w:r>
      <w:rPr/>
      <w:t>53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555555"/>
        <w:sz w:val="18"/>
        <w:szCs w:val="18"/>
      </w:rPr>
      <w:t xml:space="preserve">Page </w:t>
    </w:r>
    <w:r>
      <w:rPr/>
      <w:fldChar w:fldCharType="begin"/>
    </w:r>
    <w:r>
      <w:rPr/>
      <w:instrText xml:space="preserve"> PAGE </w:instrText>
    </w:r>
    <w:r>
      <w:rPr/>
      <w:fldChar w:fldCharType="separate"/>
    </w:r>
    <w:r>
      <w:rPr/>
      <w:t>53</w:t>
    </w:r>
    <w:r>
      <w:rPr/>
      <w:fldChar w:fldCharType="end"/>
    </w:r>
    <w:r>
      <w:rPr/>
      <w:t xml:space="preserve"> of </w:t>
    </w:r>
    <w:r>
      <w:rPr/>
      <w:fldChar w:fldCharType="begin"/>
    </w:r>
    <w:r>
      <w:rPr/>
      <w:instrText xml:space="preserve"> NUMPAGES </w:instrText>
    </w:r>
    <w:r>
      <w:rPr/>
      <w:fldChar w:fldCharType="separate"/>
    </w:r>
    <w:r>
      <w:rPr/>
      <w:t>53</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Pr>
        <w:color w:val="777777"/>
        <w:sz w:val="16"/>
        <w:szCs w:val="16"/>
      </w:rPr>
      <w:t>KAZA Financial Landscape Analysis — R-NBT MSMEs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Pr>
        <w:color w:val="777777"/>
        <w:sz w:val="16"/>
        <w:szCs w:val="16"/>
      </w:rPr>
      <w:t>KAZA Financial Landscape Analysis — R-NBT MSMEs</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7"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567"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exact" w:line="276" w:before="0" w:after="12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C8A951"/>
      </w:pBdr>
      <w:spacing w:before="0" w:after="240"/>
      <w:outlineLvl w:val="0"/>
    </w:pPr>
    <w:rPr>
      <w:rFonts w:ascii="Calibri" w:hAnsi="Calibri" w:eastAsia="Calibri" w:cs="Calibri"/>
      <w:b/>
      <w:bCs/>
      <w:color w:val="1F5135"/>
      <w:sz w:val="34"/>
      <w:szCs w:val="34"/>
    </w:rPr>
  </w:style>
  <w:style w:type="paragraph" w:styleId="Heading2">
    <w:name w:val="Heading 2"/>
    <w:basedOn w:val="Heading"/>
    <w:qFormat/>
    <w:pPr>
      <w:keepNext w:val="true"/>
      <w:spacing w:before="320" w:after="140"/>
      <w:outlineLvl w:val="1"/>
    </w:pPr>
    <w:rPr>
      <w:rFonts w:ascii="Calibri" w:hAnsi="Calibri" w:eastAsia="Calibri" w:cs="Calibri"/>
      <w:b/>
      <w:bCs/>
      <w:color w:val="1F5135"/>
      <w:sz w:val="26"/>
      <w:szCs w:val="26"/>
    </w:rPr>
  </w:style>
  <w:style w:type="paragraph" w:styleId="Heading3">
    <w:name w:val="Heading 3"/>
    <w:basedOn w:val="Heading"/>
    <w:qFormat/>
    <w:pPr>
      <w:keepNext w:val="true"/>
      <w:spacing w:before="200" w:after="100"/>
      <w:outlineLvl w:val="2"/>
    </w:pPr>
    <w:rPr>
      <w:rFonts w:ascii="Calibri" w:hAnsi="Calibri" w:eastAsia="Calibri" w:cs="Calibri"/>
      <w:b/>
      <w:bCs/>
      <w:color w:val="3D6B50"/>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lineRule="exact" w:line="276" w:before="0" w:after="12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lineRule="exact" w:line="276" w:before="0" w:after="12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53</Pages>
  <Words>13860</Words>
  <Characters>91140</Characters>
  <CharactersWithSpaces>103006</CharactersWithSpaces>
  <Paragraphs>1810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2026-10-10T10:06:08Z</dcterms:created>
  <dc:creator>KAZA R-NBT Finance Study</dc:creator>
  <dc:description>Financial landscape analysis for regenerative nature-based tourism MSMEs across the five KAZA Partner States</dc:description>
  <dc:language>en-US</dc:language>
  <cp:lastModifiedBy/>
  <dcterms:modified xsi:type="dcterms:W3CDTF">2026-10-10T10:06:36Z</dcterms:modified>
  <cp:revision>3</cp:revision>
  <dc:subject/>
  <dc:title>Financial Landscape Analysis – KAZA R-NBT MSMEs</dc:title>
</cp:coreProperties>
</file>

<file path=docProps/custom.xml><?xml version="1.0" encoding="utf-8"?>
<Properties xmlns="http://schemas.openxmlformats.org/officeDocument/2006/custom-properties" xmlns:vt="http://schemas.openxmlformats.org/officeDocument/2006/docPropsVTypes"/>
</file>